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72"/>
        </w:rPr>
        <w:t>兴隆县人民检察院</w:t>
      </w:r>
    </w:p>
    <w:p>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宋体" w:hAnsi="宋体" w:eastAsia="宋体" w:cs="宋体"/>
          <w:color w:val="000000"/>
          <w:sz w:val="21"/>
        </w:rPr>
        <w:t xml:space="preserve"> </w:t>
      </w:r>
    </w:p>
    <w:p>
      <w:pPr>
        <w:spacing w:before="0" w:after="0" w:line="240" w:lineRule="auto"/>
        <w:ind w:firstLine="0"/>
        <w:jc w:val="center"/>
        <w:outlineLvl w:val="9"/>
      </w:pPr>
      <w:r>
        <w:rPr>
          <w:rFonts w:ascii="方正楷体_GBK" w:hAnsi="方正楷体_GBK" w:eastAsia="方正楷体_GBK" w:cs="方正楷体_GBK"/>
          <w:b/>
          <w:color w:val="000000"/>
          <w:sz w:val="32"/>
        </w:rPr>
        <w:t>兴隆县人民检察院编制</w:t>
      </w:r>
    </w:p>
    <w:p>
      <w:pPr>
        <w:spacing w:before="0" w:after="0" w:line="240" w:lineRule="auto"/>
        <w:ind w:firstLine="0"/>
        <w:jc w:val="center"/>
        <w:outlineLvl w:val="9"/>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承德市财政局审核</w:t>
      </w:r>
    </w:p>
    <w:p>
      <w:pPr>
        <w:spacing w:before="0" w:after="0" w:line="240" w:lineRule="auto"/>
        <w:ind w:firstLine="0"/>
        <w:jc w:val="center"/>
        <w:outlineLvl w:val="9"/>
        <w:sectPr>
          <w:pgSz w:w="11900" w:h="16840"/>
          <w:pgMar w:top="1984" w:right="1304" w:bottom="1134" w:left="1304" w:header="720" w:footer="720" w:gutter="0"/>
          <w:cols w:space="720" w:num="1"/>
          <w:titlePg/>
        </w:sectPr>
      </w:pPr>
    </w:p>
    <w:p>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pPr>
        <w:pStyle w:val="2"/>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pPr>
        <w:pStyle w:val="2"/>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pPr>
        <w:pStyle w:val="2"/>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1.公务运转经费绩效目标表</w:t>
      </w:r>
      <w:r>
        <w:tab/>
      </w:r>
      <w:r>
        <w:fldChar w:fldCharType="begin"/>
      </w:r>
      <w:r>
        <w:instrText xml:space="preserve">PAGEREF _Toc_4_4_0000000004 \h</w:instrText>
      </w:r>
      <w:r>
        <w:fldChar w:fldCharType="separate"/>
      </w:r>
      <w:r>
        <w:t>5</w:t>
      </w:r>
      <w:r>
        <w:fldChar w:fldCharType="end"/>
      </w:r>
      <w:r>
        <w:fldChar w:fldCharType="end"/>
      </w:r>
    </w:p>
    <w:p>
      <w:pPr>
        <w:pStyle w:val="2"/>
        <w:tabs>
          <w:tab w:val="right" w:leader="dot" w:pos="9282"/>
        </w:tabs>
      </w:pPr>
      <w:r>
        <w:fldChar w:fldCharType="begin"/>
      </w:r>
      <w:r>
        <w:instrText xml:space="preserve"> HYPERLINK \l "_Toc_4_4_0000000005" </w:instrText>
      </w:r>
      <w:r>
        <w:fldChar w:fldCharType="separate"/>
      </w:r>
      <w:r>
        <w:t>2.劳务派遣人员经费绩效目标表</w:t>
      </w:r>
      <w:r>
        <w:tab/>
      </w:r>
      <w:r>
        <w:fldChar w:fldCharType="begin"/>
      </w:r>
      <w:r>
        <w:instrText xml:space="preserve">PAGEREF _Toc_4_4_0000000005 \h</w:instrText>
      </w:r>
      <w:r>
        <w:fldChar w:fldCharType="separate"/>
      </w:r>
      <w:r>
        <w:t>6</w:t>
      </w:r>
      <w:r>
        <w:fldChar w:fldCharType="end"/>
      </w:r>
      <w:r>
        <w:fldChar w:fldCharType="end"/>
      </w:r>
    </w:p>
    <w:p>
      <w:pPr>
        <w:pStyle w:val="2"/>
        <w:tabs>
          <w:tab w:val="right" w:leader="dot" w:pos="9282"/>
        </w:tabs>
      </w:pPr>
      <w:r>
        <w:fldChar w:fldCharType="begin"/>
      </w:r>
      <w:r>
        <w:instrText xml:space="preserve"> HYPERLINK \l "_Toc_4_4_0000000006" </w:instrText>
      </w:r>
      <w:r>
        <w:fldChar w:fldCharType="separate"/>
      </w:r>
      <w:r>
        <w:t>3.聘用制书记员经费绩效目标表</w:t>
      </w:r>
      <w:r>
        <w:tab/>
      </w:r>
      <w:r>
        <w:fldChar w:fldCharType="begin"/>
      </w:r>
      <w:r>
        <w:instrText xml:space="preserve">PAGEREF _Toc_4_4_0000000006 \h</w:instrText>
      </w:r>
      <w:r>
        <w:fldChar w:fldCharType="separate"/>
      </w:r>
      <w:r>
        <w:t>7</w:t>
      </w:r>
      <w:r>
        <w:fldChar w:fldCharType="end"/>
      </w:r>
      <w:r>
        <w:fldChar w:fldCharType="end"/>
      </w:r>
    </w:p>
    <w:p>
      <w:pPr>
        <w:pStyle w:val="2"/>
        <w:tabs>
          <w:tab w:val="right" w:leader="dot" w:pos="9282"/>
        </w:tabs>
      </w:pPr>
      <w:r>
        <w:fldChar w:fldCharType="begin"/>
      </w:r>
      <w:r>
        <w:instrText xml:space="preserve"> HYPERLINK \l "_Toc_4_4_0000000007" </w:instrText>
      </w:r>
      <w:r>
        <w:fldChar w:fldCharType="separate"/>
      </w:r>
      <w:r>
        <w:t>4.其他聘用人员经费绩效目标表</w:t>
      </w:r>
      <w:r>
        <w:tab/>
      </w:r>
      <w:r>
        <w:fldChar w:fldCharType="begin"/>
      </w:r>
      <w:r>
        <w:instrText xml:space="preserve">PAGEREF _Toc_4_4_0000000007 \h</w:instrText>
      </w:r>
      <w:r>
        <w:fldChar w:fldCharType="separate"/>
      </w:r>
      <w:r>
        <w:t>8</w:t>
      </w:r>
      <w:r>
        <w:fldChar w:fldCharType="end"/>
      </w:r>
      <w:r>
        <w:fldChar w:fldCharType="end"/>
      </w:r>
    </w:p>
    <w:p>
      <w:pPr>
        <w:pStyle w:val="2"/>
        <w:tabs>
          <w:tab w:val="right" w:leader="dot" w:pos="9282"/>
        </w:tabs>
      </w:pPr>
    </w:p>
    <w:p>
      <w:r>
        <w:fldChar w:fldCharType="end"/>
      </w:r>
    </w:p>
    <w:p>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10" w:after="10"/>
        <w:ind w:firstLine="560"/>
        <w:jc w:val="left"/>
        <w:outlineLvl w:val="1"/>
      </w:pPr>
      <w:bookmarkStart w:id="0" w:name="_Toc_2_2_0000000001"/>
      <w:r>
        <w:rPr>
          <w:rFonts w:ascii="方正黑体_GBK" w:hAnsi="方正黑体_GBK" w:eastAsia="方正黑体_GBK" w:cs="方正黑体_GBK"/>
          <w:color w:val="000000"/>
          <w:sz w:val="28"/>
        </w:rPr>
        <w:t>一、总体绩效目标</w:t>
      </w:r>
      <w:bookmarkEnd w:id="0"/>
    </w:p>
    <w:p>
      <w:pPr>
        <w:pStyle w:val="8"/>
      </w:pPr>
      <w:r>
        <w:t>我院将认真学习贯彻党的二十届三中全会精神，慎终如始抓紧抓实党纪学习教育、严明法纪专题教育和清廉机关建设，以高质效检察履职为建设新时代“四个兴隆”高质量跨越式发展贡献检察力量。</w:t>
      </w:r>
    </w:p>
    <w:p>
      <w:pPr>
        <w:pStyle w:val="8"/>
        <w:rPr>
          <w:rFonts w:ascii="方正黑体_GBK" w:hAnsi="方正黑体_GBK" w:eastAsia="方正黑体_GBK" w:cs="方正黑体_GBK"/>
          <w:color w:val="000000"/>
          <w:sz w:val="28"/>
          <w:szCs w:val="24"/>
          <w:lang w:val="en-US" w:eastAsia="uk-UA" w:bidi="ar-SA"/>
        </w:rPr>
      </w:pPr>
      <w:r>
        <w:rPr>
          <w:rFonts w:ascii="方正黑体_GBK" w:hAnsi="方正黑体_GBK" w:eastAsia="方正黑体_GBK" w:cs="方正黑体_GBK"/>
          <w:color w:val="000000"/>
          <w:sz w:val="28"/>
          <w:szCs w:val="24"/>
          <w:lang w:val="en-US" w:eastAsia="uk-UA" w:bidi="ar-SA"/>
        </w:rPr>
        <w:t>二、分项绩效目标</w:t>
      </w:r>
    </w:p>
    <w:p>
      <w:pPr>
        <w:pStyle w:val="8"/>
      </w:pPr>
      <w:r>
        <w:t>一是旗帜鲜明讲政治。坚持把党的领导贯彻检察工作各方面全过程，不断学思践悟习近平法治思想，严格执行中央政法工作条例和重大事项请示报告制度，以问题、责任、整改、落实清单和时间表的方式，推动县委和上级检察机关决策部署落地落实。切实突出强化政治理论武装，严格落实党组、党组理论中心组和“第一议题”制度，筑牢政治忠诚思想根基。</w:t>
      </w:r>
    </w:p>
    <w:p>
      <w:pPr>
        <w:pStyle w:val="8"/>
      </w:pPr>
      <w:r>
        <w:t>二是积极融入发展大局。服务平安兴隆建设，常态化开展扫黑除恶专项斗争，严厉打击盗抢骗、黄赌毒危害食药安全等影响公共安全、人民群众财产生命安全的犯罪。深入实施“检察护企”“检护民生”专项行动，持续优化法治化营商环境。将依法打击破坏生态环境资源违法犯罪与保卫生态安全公益诉讼检察专项工作相结合，抗牢守护“碧水、青山、蓝天”的检察职责。</w:t>
      </w:r>
    </w:p>
    <w:p>
      <w:pPr>
        <w:pStyle w:val="8"/>
      </w:pPr>
      <w:r>
        <w:t>三是全力践行司法为民。严厉打击侵犯公民个人信息、电信网络诈骗等涉网络犯罪，持续加强对妇女、儿童、残疾人、新就业形态劳动者等特殊群体权益保护。全面准确落实宽严相济刑事政策，积极探索非法捕捞水产品、帮信等轻罪案件的治理路径，深化“简案优质办”。坚持多元化解，积极运用新时代“枫桥经验”化解涉法涉检矛盾纠纷，推动更高水平的平安兴隆建设。</w:t>
      </w:r>
    </w:p>
    <w:p>
      <w:pPr>
        <w:pStyle w:val="8"/>
      </w:pPr>
      <w:r>
        <w:t>四是打造忠诚可靠检察队伍。把贯彻执行党中央决策部署和履行法律监督职责结合起来，通过任务项目化、清单化将党的绝对领导落实到具体的检察工作中。持续巩固党纪学习教育成果，检视差距和不足。常态化开展警示教育，树牢规矩意识和纪律意识，抓实队伍建设。持续优化人才培养模式和考核评价机制，通过岗位大练兵、业务竞赛加强后备人才储备，激励干警履职尽责。</w:t>
      </w:r>
    </w:p>
    <w:p>
      <w:pPr>
        <w:pStyle w:val="8"/>
        <w:rPr>
          <w:rFonts w:ascii="方正黑体_GBK" w:hAnsi="方正黑体_GBK" w:eastAsia="方正黑体_GBK" w:cs="方正黑体_GBK"/>
          <w:color w:val="000000"/>
          <w:sz w:val="28"/>
          <w:szCs w:val="24"/>
          <w:lang w:val="en-US" w:eastAsia="uk-UA" w:bidi="ar-SA"/>
        </w:rPr>
      </w:pPr>
      <w:r>
        <w:rPr>
          <w:rFonts w:ascii="方正黑体_GBK" w:hAnsi="方正黑体_GBK" w:eastAsia="方正黑体_GBK" w:cs="方正黑体_GBK"/>
          <w:color w:val="000000"/>
          <w:sz w:val="28"/>
          <w:szCs w:val="24"/>
          <w:lang w:val="en-US" w:eastAsia="uk-UA" w:bidi="ar-SA"/>
        </w:rPr>
        <w:t>三、工作保障措施</w:t>
      </w:r>
    </w:p>
    <w:p>
      <w:pPr>
        <w:pStyle w:val="8"/>
      </w:pPr>
      <w:r>
        <w:t>完善制度建设。制定完善预算绩效管理制度、资金管理办法、工作保障制度、内部控制制度等，为全年预算绩效目标的实现奠定了良好制度基础。</w:t>
      </w:r>
    </w:p>
    <w:p>
      <w:pPr>
        <w:pStyle w:val="8"/>
      </w:pPr>
      <w:r>
        <w:t>加强支出管理。通过优化支出结构、编细编实预算、加快履行政府采购手续、尽快启动项目、及时支付资金、6月底前细化代编预算、按规定及时下达资金等多种措施，确保支出进度达标。</w:t>
      </w:r>
    </w:p>
    <w:p>
      <w:pPr>
        <w:pStyle w:val="8"/>
      </w:pPr>
      <w:r>
        <w:t>加强绩效运行监控。按要求开展绩效运行监控，发现问题及时采取措施，确保绩效目标如期保质实现。</w:t>
      </w:r>
    </w:p>
    <w:p>
      <w:pPr>
        <w:pStyle w:val="8"/>
      </w:pPr>
      <w:r>
        <w:t>做好绩效自评。按要求开展上年度部门预算绩效自评和重点评价工作，对评价中发现的问题及时整改，调整优化支出结构，提高财政资金使用效益。</w:t>
      </w:r>
    </w:p>
    <w:p>
      <w:pPr>
        <w:pStyle w:val="8"/>
      </w:pPr>
      <w:r>
        <w:t>规范财务资产管理。完善财务管理制度，严格审批程序，加强固定资产登记、使用和报废处置管理，做到支出合理，物尽其用。</w:t>
      </w:r>
    </w:p>
    <w:p>
      <w:pPr>
        <w:pStyle w:val="8"/>
      </w:pP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8"/>
      </w:pPr>
      <w:r>
        <w:t>加强宣传培训调研等。加强人员培训，提高本部门职工业务素质；加强调研，提出优化财政资金配置、提高资金使用效益的意见意见；加大宣传力度，强化预算绩效管理意识，促进预算绩效管理水平进一步提升。</w:t>
      </w:r>
    </w:p>
    <w:p>
      <w:pPr>
        <w:spacing w:before="10" w:after="10"/>
        <w:ind w:firstLine="560"/>
        <w:jc w:val="left"/>
        <w:outlineLvl w:val="1"/>
      </w:pPr>
    </w:p>
    <w:p>
      <w:pPr>
        <w:pStyle w:val="9"/>
      </w:pPr>
    </w:p>
    <w:p>
      <w:pPr>
        <w:spacing w:before="10" w:after="10"/>
        <w:ind w:firstLine="560"/>
        <w:jc w:val="left"/>
        <w:outlineLvl w:val="1"/>
      </w:pPr>
    </w:p>
    <w:p>
      <w:pPr>
        <w:pStyle w:val="10"/>
      </w:pPr>
    </w:p>
    <w:p>
      <w:pPr>
        <w:spacing w:before="0" w:after="0" w:line="240" w:lineRule="auto"/>
        <w:ind w:firstLine="0"/>
        <w:jc w:val="center"/>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1" w:name="_Toc_4_4_0000000004"/>
      <w:r>
        <w:rPr>
          <w:rFonts w:ascii="方正仿宋_GBK" w:hAnsi="方正仿宋_GBK" w:eastAsia="方正仿宋_GBK" w:cs="方正仿宋_GBK"/>
          <w:color w:val="000000"/>
          <w:sz w:val="28"/>
        </w:rPr>
        <w:t>1.公务运转经费绩效目标表</w:t>
      </w:r>
      <w:bookmarkEnd w:id="1"/>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341001兴隆县人民检察院本级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13080025P00030810002Y</w:t>
            </w:r>
          </w:p>
        </w:tc>
        <w:tc>
          <w:tcPr>
            <w:tcW w:w="1587" w:type="dxa"/>
            <w:vAlign w:val="center"/>
          </w:tcPr>
          <w:p>
            <w:pPr>
              <w:pStyle w:val="14"/>
            </w:pPr>
            <w:r>
              <w:t>项目名称</w:t>
            </w:r>
          </w:p>
        </w:tc>
        <w:tc>
          <w:tcPr>
            <w:tcW w:w="4423" w:type="dxa"/>
            <w:gridSpan w:val="3"/>
            <w:vAlign w:val="center"/>
          </w:tcPr>
          <w:p>
            <w:pPr>
              <w:pStyle w:val="13"/>
            </w:pPr>
            <w:r>
              <w:t>公务运转经费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94.00</w:t>
            </w:r>
          </w:p>
        </w:tc>
        <w:tc>
          <w:tcPr>
            <w:tcW w:w="1587" w:type="dxa"/>
            <w:vAlign w:val="center"/>
          </w:tcPr>
          <w:p>
            <w:pPr>
              <w:pStyle w:val="14"/>
            </w:pPr>
            <w:r>
              <w:t>其中：财政    资金</w:t>
            </w:r>
          </w:p>
        </w:tc>
        <w:tc>
          <w:tcPr>
            <w:tcW w:w="1304" w:type="dxa"/>
            <w:vAlign w:val="center"/>
          </w:tcPr>
          <w:p>
            <w:pPr>
              <w:pStyle w:val="13"/>
            </w:pPr>
            <w:r>
              <w:t>94.00</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2025年12月31日前全年计划投入94万元，用于补充单位公用经费的不足，达到保障机关正常运转的效果。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1.2025年12月31日前全年计划投入94万元，用于补充单位公用经费的不足，达到保障机关正常运转的效果。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工作日保障单位运转</w:t>
            </w:r>
          </w:p>
        </w:tc>
        <w:tc>
          <w:tcPr>
            <w:tcW w:w="2891" w:type="dxa"/>
            <w:vAlign w:val="center"/>
          </w:tcPr>
          <w:p>
            <w:pPr>
              <w:pStyle w:val="13"/>
            </w:pPr>
            <w:r>
              <w:t>工作日保障单位运转</w:t>
            </w:r>
          </w:p>
        </w:tc>
        <w:tc>
          <w:tcPr>
            <w:tcW w:w="1276" w:type="dxa"/>
            <w:vAlign w:val="center"/>
          </w:tcPr>
          <w:p>
            <w:pPr>
              <w:pStyle w:val="13"/>
            </w:pPr>
            <w:r>
              <w:t>≥8小时</w:t>
            </w:r>
          </w:p>
        </w:tc>
        <w:tc>
          <w:tcPr>
            <w:tcW w:w="1843" w:type="dxa"/>
            <w:vAlign w:val="center"/>
          </w:tcPr>
          <w:p>
            <w:pPr>
              <w:pStyle w:val="13"/>
            </w:pPr>
            <w:r>
              <w:t>行政事业单位法定工作时间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经费支出准确率</w:t>
            </w:r>
          </w:p>
        </w:tc>
        <w:tc>
          <w:tcPr>
            <w:tcW w:w="2891" w:type="dxa"/>
            <w:vAlign w:val="center"/>
          </w:tcPr>
          <w:p>
            <w:pPr>
              <w:pStyle w:val="13"/>
            </w:pPr>
            <w:r>
              <w:t>经费支出准确率</w:t>
            </w:r>
          </w:p>
        </w:tc>
        <w:tc>
          <w:tcPr>
            <w:tcW w:w="1276" w:type="dxa"/>
            <w:vAlign w:val="center"/>
          </w:tcPr>
          <w:p>
            <w:pPr>
              <w:pStyle w:val="13"/>
            </w:pPr>
            <w:r>
              <w:t>100%</w:t>
            </w:r>
          </w:p>
        </w:tc>
        <w:tc>
          <w:tcPr>
            <w:tcW w:w="1843" w:type="dxa"/>
            <w:vAlign w:val="center"/>
          </w:tcPr>
          <w:p>
            <w:pPr>
              <w:pStyle w:val="13"/>
            </w:pPr>
            <w:r>
              <w:t>符合财务管理制度和内控要求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按时间进度要求支付使用资金</w:t>
            </w:r>
          </w:p>
        </w:tc>
        <w:tc>
          <w:tcPr>
            <w:tcW w:w="2891" w:type="dxa"/>
            <w:vAlign w:val="center"/>
          </w:tcPr>
          <w:p>
            <w:pPr>
              <w:pStyle w:val="13"/>
            </w:pPr>
            <w:r>
              <w:t>按时间进度要求支付使用资金</w:t>
            </w:r>
          </w:p>
        </w:tc>
        <w:tc>
          <w:tcPr>
            <w:tcW w:w="1276" w:type="dxa"/>
            <w:vAlign w:val="center"/>
          </w:tcPr>
          <w:p>
            <w:pPr>
              <w:pStyle w:val="13"/>
            </w:pPr>
            <w:r>
              <w:t>12月底前</w:t>
            </w:r>
          </w:p>
        </w:tc>
        <w:tc>
          <w:tcPr>
            <w:tcW w:w="1843" w:type="dxa"/>
            <w:vAlign w:val="center"/>
          </w:tcPr>
          <w:p>
            <w:pPr>
              <w:pStyle w:val="13"/>
            </w:pPr>
            <w:r>
              <w:t>支出进度要求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经费总成本</w:t>
            </w:r>
          </w:p>
        </w:tc>
        <w:tc>
          <w:tcPr>
            <w:tcW w:w="2891" w:type="dxa"/>
            <w:vAlign w:val="center"/>
          </w:tcPr>
          <w:p>
            <w:pPr>
              <w:pStyle w:val="13"/>
            </w:pPr>
            <w:r>
              <w:t>经费总成本</w:t>
            </w:r>
          </w:p>
        </w:tc>
        <w:tc>
          <w:tcPr>
            <w:tcW w:w="1276" w:type="dxa"/>
            <w:vAlign w:val="center"/>
          </w:tcPr>
          <w:p>
            <w:pPr>
              <w:pStyle w:val="13"/>
            </w:pPr>
            <w:r>
              <w:t>≤94万元</w:t>
            </w:r>
          </w:p>
        </w:tc>
        <w:tc>
          <w:tcPr>
            <w:tcW w:w="1843" w:type="dxa"/>
            <w:vAlign w:val="center"/>
          </w:tcPr>
          <w:p>
            <w:pPr>
              <w:pStyle w:val="13"/>
            </w:pPr>
            <w:r>
              <w:t>经费核定数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经济效益指标</w:t>
            </w:r>
          </w:p>
        </w:tc>
        <w:tc>
          <w:tcPr>
            <w:tcW w:w="1332" w:type="dxa"/>
            <w:vAlign w:val="center"/>
          </w:tcPr>
          <w:p>
            <w:pPr>
              <w:pStyle w:val="13"/>
            </w:pPr>
            <w:r>
              <w:t>“三公经费”有效控制情况</w:t>
            </w:r>
          </w:p>
        </w:tc>
        <w:tc>
          <w:tcPr>
            <w:tcW w:w="2891" w:type="dxa"/>
            <w:vAlign w:val="center"/>
          </w:tcPr>
          <w:p>
            <w:pPr>
              <w:pStyle w:val="13"/>
            </w:pPr>
            <w:r>
              <w:t>“三公经费”有效控制情况</w:t>
            </w:r>
          </w:p>
        </w:tc>
        <w:tc>
          <w:tcPr>
            <w:tcW w:w="1276" w:type="dxa"/>
            <w:vAlign w:val="center"/>
          </w:tcPr>
          <w:p>
            <w:pPr>
              <w:pStyle w:val="13"/>
            </w:pPr>
            <w:r>
              <w:t>小于前三年平均值</w:t>
            </w:r>
          </w:p>
        </w:tc>
        <w:tc>
          <w:tcPr>
            <w:tcW w:w="1843" w:type="dxa"/>
            <w:vAlign w:val="center"/>
          </w:tcPr>
          <w:p>
            <w:pPr>
              <w:pStyle w:val="13"/>
            </w:pPr>
            <w:r>
              <w:t>响应“压缩开支,厉行节约”要求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社会效益指标</w:t>
            </w:r>
          </w:p>
        </w:tc>
        <w:tc>
          <w:tcPr>
            <w:tcW w:w="1332" w:type="dxa"/>
            <w:vAlign w:val="center"/>
          </w:tcPr>
          <w:p>
            <w:pPr>
              <w:pStyle w:val="13"/>
            </w:pPr>
            <w:r>
              <w:t>提升公共服务质量</w:t>
            </w:r>
          </w:p>
        </w:tc>
        <w:tc>
          <w:tcPr>
            <w:tcW w:w="2891" w:type="dxa"/>
            <w:vAlign w:val="center"/>
          </w:tcPr>
          <w:p>
            <w:pPr>
              <w:pStyle w:val="13"/>
            </w:pPr>
            <w:r>
              <w:t>提升公共服务质量</w:t>
            </w:r>
          </w:p>
        </w:tc>
        <w:tc>
          <w:tcPr>
            <w:tcW w:w="1276" w:type="dxa"/>
            <w:vAlign w:val="center"/>
          </w:tcPr>
          <w:p>
            <w:pPr>
              <w:pStyle w:val="13"/>
            </w:pPr>
            <w:r>
              <w:t>较上年度增加5%</w:t>
            </w:r>
          </w:p>
        </w:tc>
        <w:tc>
          <w:tcPr>
            <w:tcW w:w="1843" w:type="dxa"/>
            <w:vAlign w:val="center"/>
          </w:tcPr>
          <w:p>
            <w:pPr>
              <w:pStyle w:val="13"/>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机关工作人员满意率</w:t>
            </w:r>
          </w:p>
        </w:tc>
        <w:tc>
          <w:tcPr>
            <w:tcW w:w="2891" w:type="dxa"/>
            <w:vAlign w:val="center"/>
          </w:tcPr>
          <w:p>
            <w:pPr>
              <w:pStyle w:val="13"/>
            </w:pPr>
            <w:r>
              <w:t>机关工作人员满意率</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2" w:name="_Toc_4_4_0000000005"/>
      <w:r>
        <w:rPr>
          <w:rFonts w:ascii="方正仿宋_GBK" w:hAnsi="方正仿宋_GBK" w:eastAsia="方正仿宋_GBK" w:cs="方正仿宋_GBK"/>
          <w:color w:val="000000"/>
          <w:sz w:val="28"/>
        </w:rPr>
        <w:t>2.劳务派遣人员经费绩效目标表</w:t>
      </w:r>
      <w:bookmarkEnd w:id="2"/>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341001兴隆县人民检察院本级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13080025P00031010002Q</w:t>
            </w:r>
          </w:p>
        </w:tc>
        <w:tc>
          <w:tcPr>
            <w:tcW w:w="1587" w:type="dxa"/>
            <w:vAlign w:val="center"/>
          </w:tcPr>
          <w:p>
            <w:pPr>
              <w:pStyle w:val="14"/>
            </w:pPr>
            <w:r>
              <w:t>项目名称</w:t>
            </w:r>
          </w:p>
        </w:tc>
        <w:tc>
          <w:tcPr>
            <w:tcW w:w="4423" w:type="dxa"/>
            <w:gridSpan w:val="3"/>
            <w:vAlign w:val="center"/>
          </w:tcPr>
          <w:p>
            <w:pPr>
              <w:pStyle w:val="13"/>
            </w:pPr>
            <w:r>
              <w:t>劳务派遣人员经费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48.67</w:t>
            </w:r>
          </w:p>
        </w:tc>
        <w:tc>
          <w:tcPr>
            <w:tcW w:w="1587" w:type="dxa"/>
            <w:vAlign w:val="center"/>
          </w:tcPr>
          <w:p>
            <w:pPr>
              <w:pStyle w:val="14"/>
            </w:pPr>
            <w:r>
              <w:t>其中：财政    资金</w:t>
            </w:r>
          </w:p>
        </w:tc>
        <w:tc>
          <w:tcPr>
            <w:tcW w:w="1304" w:type="dxa"/>
            <w:vAlign w:val="center"/>
          </w:tcPr>
          <w:p>
            <w:pPr>
              <w:pStyle w:val="13"/>
            </w:pPr>
            <w:r>
              <w:t>48.67</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截至2025年12月31日，拟投入48.67万元用于为11名劳务派遣人员发放工资、缴纳五险一金，以达到补充办案、办公力量，提高工作效率的效果。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1.截至2025年12月31日，拟投入48.67万元用于为11名劳务派遣人员发放工资、缴纳五险一金，以达到补充办案、办公力量，提高工作效率的效果。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经费保障人数</w:t>
            </w:r>
          </w:p>
        </w:tc>
        <w:tc>
          <w:tcPr>
            <w:tcW w:w="2891" w:type="dxa"/>
            <w:vAlign w:val="center"/>
          </w:tcPr>
          <w:p>
            <w:pPr>
              <w:pStyle w:val="13"/>
            </w:pPr>
            <w:r>
              <w:t>保障劳务派遣人员人数</w:t>
            </w:r>
          </w:p>
        </w:tc>
        <w:tc>
          <w:tcPr>
            <w:tcW w:w="1276" w:type="dxa"/>
            <w:vAlign w:val="center"/>
          </w:tcPr>
          <w:p>
            <w:pPr>
              <w:pStyle w:val="13"/>
            </w:pPr>
            <w:r>
              <w:t>11人</w:t>
            </w:r>
          </w:p>
        </w:tc>
        <w:tc>
          <w:tcPr>
            <w:tcW w:w="1843" w:type="dxa"/>
            <w:vAlign w:val="center"/>
          </w:tcPr>
          <w:p>
            <w:pPr>
              <w:pStyle w:val="13"/>
            </w:pPr>
            <w:r>
              <w:t>实际人数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工资发放准确率</w:t>
            </w:r>
          </w:p>
        </w:tc>
        <w:tc>
          <w:tcPr>
            <w:tcW w:w="2891" w:type="dxa"/>
            <w:vAlign w:val="center"/>
          </w:tcPr>
          <w:p>
            <w:pPr>
              <w:pStyle w:val="13"/>
            </w:pPr>
            <w:r>
              <w:t>工资发放准确率</w:t>
            </w:r>
          </w:p>
        </w:tc>
        <w:tc>
          <w:tcPr>
            <w:tcW w:w="1276" w:type="dxa"/>
            <w:vAlign w:val="center"/>
          </w:tcPr>
          <w:p>
            <w:pPr>
              <w:pStyle w:val="13"/>
            </w:pPr>
            <w:r>
              <w:t>100%</w:t>
            </w:r>
          </w:p>
        </w:tc>
        <w:tc>
          <w:tcPr>
            <w:tcW w:w="1843" w:type="dxa"/>
            <w:vAlign w:val="center"/>
          </w:tcPr>
          <w:p>
            <w:pPr>
              <w:pStyle w:val="13"/>
            </w:pPr>
            <w:r>
              <w:t>符合财务管理制度和内控要求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工资发放及时率</w:t>
            </w:r>
          </w:p>
        </w:tc>
        <w:tc>
          <w:tcPr>
            <w:tcW w:w="2891" w:type="dxa"/>
            <w:vAlign w:val="center"/>
          </w:tcPr>
          <w:p>
            <w:pPr>
              <w:pStyle w:val="13"/>
            </w:pPr>
            <w:r>
              <w:t>按时发放（每月25日前）得月份数/实际发放月份数*100%</w:t>
            </w:r>
          </w:p>
        </w:tc>
        <w:tc>
          <w:tcPr>
            <w:tcW w:w="1276" w:type="dxa"/>
            <w:vAlign w:val="center"/>
          </w:tcPr>
          <w:p>
            <w:pPr>
              <w:pStyle w:val="13"/>
            </w:pPr>
            <w:r>
              <w:t>≥90%</w:t>
            </w:r>
          </w:p>
        </w:tc>
        <w:tc>
          <w:tcPr>
            <w:tcW w:w="1843" w:type="dxa"/>
            <w:vAlign w:val="center"/>
          </w:tcPr>
          <w:p>
            <w:pPr>
              <w:pStyle w:val="13"/>
            </w:pPr>
            <w:r>
              <w:t>发放期限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经费总成本</w:t>
            </w:r>
          </w:p>
        </w:tc>
        <w:tc>
          <w:tcPr>
            <w:tcW w:w="2891" w:type="dxa"/>
            <w:vAlign w:val="center"/>
          </w:tcPr>
          <w:p>
            <w:pPr>
              <w:pStyle w:val="13"/>
            </w:pPr>
            <w:r>
              <w:t>经费总成本</w:t>
            </w:r>
          </w:p>
        </w:tc>
        <w:tc>
          <w:tcPr>
            <w:tcW w:w="1276" w:type="dxa"/>
            <w:vAlign w:val="center"/>
          </w:tcPr>
          <w:p>
            <w:pPr>
              <w:pStyle w:val="13"/>
            </w:pPr>
            <w:r>
              <w:t>≤48.67万元</w:t>
            </w:r>
          </w:p>
        </w:tc>
        <w:tc>
          <w:tcPr>
            <w:tcW w:w="1843" w:type="dxa"/>
            <w:vAlign w:val="center"/>
          </w:tcPr>
          <w:p>
            <w:pPr>
              <w:pStyle w:val="13"/>
            </w:pPr>
            <w:r>
              <w:t>发放核定数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劳务派遣人员尽职尽责率</w:t>
            </w:r>
          </w:p>
        </w:tc>
        <w:tc>
          <w:tcPr>
            <w:tcW w:w="2891" w:type="dxa"/>
            <w:vAlign w:val="center"/>
          </w:tcPr>
          <w:p>
            <w:pPr>
              <w:pStyle w:val="13"/>
            </w:pPr>
            <w:r>
              <w:t>劳务派遣人员尽职尽责率</w:t>
            </w:r>
          </w:p>
        </w:tc>
        <w:tc>
          <w:tcPr>
            <w:tcW w:w="1276" w:type="dxa"/>
            <w:vAlign w:val="center"/>
          </w:tcPr>
          <w:p>
            <w:pPr>
              <w:pStyle w:val="13"/>
            </w:pPr>
            <w:r>
              <w:t>100%</w:t>
            </w:r>
          </w:p>
        </w:tc>
        <w:tc>
          <w:tcPr>
            <w:tcW w:w="1843"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按“三保”要求，工资长期效益保持率</w:t>
            </w:r>
          </w:p>
        </w:tc>
        <w:tc>
          <w:tcPr>
            <w:tcW w:w="2891" w:type="dxa"/>
            <w:vAlign w:val="center"/>
          </w:tcPr>
          <w:p>
            <w:pPr>
              <w:pStyle w:val="13"/>
            </w:pPr>
            <w:r>
              <w:t>按“三保”要求，工资长期效益保持率</w:t>
            </w:r>
          </w:p>
        </w:tc>
        <w:tc>
          <w:tcPr>
            <w:tcW w:w="1276" w:type="dxa"/>
            <w:vAlign w:val="center"/>
          </w:tcPr>
          <w:p>
            <w:pPr>
              <w:pStyle w:val="13"/>
            </w:pPr>
            <w:r>
              <w:t>100%</w:t>
            </w:r>
          </w:p>
        </w:tc>
        <w:tc>
          <w:tcPr>
            <w:tcW w:w="1843" w:type="dxa"/>
            <w:vAlign w:val="center"/>
          </w:tcPr>
          <w:p>
            <w:pPr>
              <w:pStyle w:val="13"/>
            </w:pPr>
            <w:r>
              <w:t>政策与法规要求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劳务派遣人员满意率</w:t>
            </w:r>
          </w:p>
        </w:tc>
        <w:tc>
          <w:tcPr>
            <w:tcW w:w="2891" w:type="dxa"/>
            <w:vAlign w:val="center"/>
          </w:tcPr>
          <w:p>
            <w:pPr>
              <w:pStyle w:val="13"/>
            </w:pPr>
            <w:r>
              <w:t>劳务派遣人员满意率</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3" w:name="_Toc_4_4_0000000006"/>
      <w:r>
        <w:rPr>
          <w:rFonts w:ascii="方正仿宋_GBK" w:hAnsi="方正仿宋_GBK" w:eastAsia="方正仿宋_GBK" w:cs="方正仿宋_GBK"/>
          <w:color w:val="000000"/>
          <w:sz w:val="28"/>
        </w:rPr>
        <w:t>3.聘用制书记员经费绩效目标表</w:t>
      </w:r>
      <w:bookmarkEnd w:id="3"/>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341001兴隆县人民检察院本级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13080025P00030910002L</w:t>
            </w:r>
          </w:p>
        </w:tc>
        <w:tc>
          <w:tcPr>
            <w:tcW w:w="1587" w:type="dxa"/>
            <w:vAlign w:val="center"/>
          </w:tcPr>
          <w:p>
            <w:pPr>
              <w:pStyle w:val="14"/>
            </w:pPr>
            <w:r>
              <w:t>项目名称</w:t>
            </w:r>
          </w:p>
        </w:tc>
        <w:tc>
          <w:tcPr>
            <w:tcW w:w="4423" w:type="dxa"/>
            <w:gridSpan w:val="3"/>
            <w:vAlign w:val="center"/>
          </w:tcPr>
          <w:p>
            <w:pPr>
              <w:pStyle w:val="13"/>
            </w:pPr>
            <w:r>
              <w:t>聘用制书记员经费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89.79</w:t>
            </w:r>
          </w:p>
        </w:tc>
        <w:tc>
          <w:tcPr>
            <w:tcW w:w="1587" w:type="dxa"/>
            <w:vAlign w:val="center"/>
          </w:tcPr>
          <w:p>
            <w:pPr>
              <w:pStyle w:val="14"/>
            </w:pPr>
            <w:r>
              <w:t>其中：财政    资金</w:t>
            </w:r>
          </w:p>
        </w:tc>
        <w:tc>
          <w:tcPr>
            <w:tcW w:w="1304" w:type="dxa"/>
            <w:vAlign w:val="center"/>
          </w:tcPr>
          <w:p>
            <w:pPr>
              <w:pStyle w:val="13"/>
            </w:pPr>
            <w:r>
              <w:t>89.79</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全年拟投入89.79万元，为14名聘用制书记员发放工资、缴纳五险一金，达到补充办案力量，提高办案效率的效果。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1.全年拟投入89.79万元，为14名聘用制书记员发放工资、缴纳五险一金，达到补充办案力量，提高办案效率的效果。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经费保障人数</w:t>
            </w:r>
          </w:p>
        </w:tc>
        <w:tc>
          <w:tcPr>
            <w:tcW w:w="2891" w:type="dxa"/>
            <w:vAlign w:val="center"/>
          </w:tcPr>
          <w:p>
            <w:pPr>
              <w:pStyle w:val="13"/>
            </w:pPr>
            <w:r>
              <w:t>经费保障书记员人数</w:t>
            </w:r>
          </w:p>
        </w:tc>
        <w:tc>
          <w:tcPr>
            <w:tcW w:w="1276" w:type="dxa"/>
            <w:vAlign w:val="center"/>
          </w:tcPr>
          <w:p>
            <w:pPr>
              <w:pStyle w:val="13"/>
            </w:pPr>
            <w:r>
              <w:t>14人</w:t>
            </w:r>
          </w:p>
        </w:tc>
        <w:tc>
          <w:tcPr>
            <w:tcW w:w="1843" w:type="dxa"/>
            <w:vAlign w:val="center"/>
          </w:tcPr>
          <w:p>
            <w:pPr>
              <w:pStyle w:val="13"/>
            </w:pPr>
            <w:r>
              <w:t>聘用制书记员编制数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工资发放准确率</w:t>
            </w:r>
          </w:p>
        </w:tc>
        <w:tc>
          <w:tcPr>
            <w:tcW w:w="2891" w:type="dxa"/>
            <w:vAlign w:val="center"/>
          </w:tcPr>
          <w:p>
            <w:pPr>
              <w:pStyle w:val="13"/>
            </w:pPr>
            <w:r>
              <w:t>工资发放准确率</w:t>
            </w:r>
          </w:p>
        </w:tc>
        <w:tc>
          <w:tcPr>
            <w:tcW w:w="1276" w:type="dxa"/>
            <w:vAlign w:val="center"/>
          </w:tcPr>
          <w:p>
            <w:pPr>
              <w:pStyle w:val="13"/>
            </w:pPr>
            <w:r>
              <w:t>100%</w:t>
            </w:r>
          </w:p>
        </w:tc>
        <w:tc>
          <w:tcPr>
            <w:tcW w:w="1843" w:type="dxa"/>
            <w:vAlign w:val="center"/>
          </w:tcPr>
          <w:p>
            <w:pPr>
              <w:pStyle w:val="13"/>
            </w:pPr>
            <w:r>
              <w:t>符合财务管理制</w:t>
            </w:r>
          </w:p>
          <w:p>
            <w:pPr>
              <w:pStyle w:val="13"/>
            </w:pPr>
            <w:r>
              <w:t>度和内控要求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书记员工资发放及时率</w:t>
            </w:r>
          </w:p>
        </w:tc>
        <w:tc>
          <w:tcPr>
            <w:tcW w:w="2891" w:type="dxa"/>
            <w:vAlign w:val="center"/>
          </w:tcPr>
          <w:p>
            <w:pPr>
              <w:pStyle w:val="13"/>
            </w:pPr>
            <w:r>
              <w:t>按时发放（每月25日前）的月份数/实际发放月份数*100%</w:t>
            </w:r>
          </w:p>
        </w:tc>
        <w:tc>
          <w:tcPr>
            <w:tcW w:w="1276" w:type="dxa"/>
            <w:vAlign w:val="center"/>
          </w:tcPr>
          <w:p>
            <w:pPr>
              <w:pStyle w:val="13"/>
            </w:pPr>
            <w:r>
              <w:t>≥90%</w:t>
            </w:r>
          </w:p>
        </w:tc>
        <w:tc>
          <w:tcPr>
            <w:tcW w:w="1843" w:type="dxa"/>
            <w:vAlign w:val="center"/>
          </w:tcPr>
          <w:p>
            <w:pPr>
              <w:pStyle w:val="13"/>
            </w:pPr>
            <w:r>
              <w:t>发放期限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经费总成本</w:t>
            </w:r>
          </w:p>
        </w:tc>
        <w:tc>
          <w:tcPr>
            <w:tcW w:w="2891" w:type="dxa"/>
            <w:vAlign w:val="center"/>
          </w:tcPr>
          <w:p>
            <w:pPr>
              <w:pStyle w:val="13"/>
            </w:pPr>
            <w:r>
              <w:t>经费总成本</w:t>
            </w:r>
          </w:p>
        </w:tc>
        <w:tc>
          <w:tcPr>
            <w:tcW w:w="1276" w:type="dxa"/>
            <w:vAlign w:val="center"/>
          </w:tcPr>
          <w:p>
            <w:pPr>
              <w:pStyle w:val="13"/>
            </w:pPr>
            <w:r>
              <w:t>≤89.79万元</w:t>
            </w:r>
          </w:p>
        </w:tc>
        <w:tc>
          <w:tcPr>
            <w:tcW w:w="1843" w:type="dxa"/>
            <w:vAlign w:val="center"/>
          </w:tcPr>
          <w:p>
            <w:pPr>
              <w:pStyle w:val="13"/>
            </w:pPr>
            <w:r>
              <w:t>经费核定数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书记员尽职尽责率</w:t>
            </w:r>
          </w:p>
        </w:tc>
        <w:tc>
          <w:tcPr>
            <w:tcW w:w="2891" w:type="dxa"/>
            <w:vAlign w:val="center"/>
          </w:tcPr>
          <w:p>
            <w:pPr>
              <w:pStyle w:val="13"/>
            </w:pPr>
            <w:r>
              <w:t>书记员尽职尽责率</w:t>
            </w:r>
          </w:p>
        </w:tc>
        <w:tc>
          <w:tcPr>
            <w:tcW w:w="1276" w:type="dxa"/>
            <w:vAlign w:val="center"/>
          </w:tcPr>
          <w:p>
            <w:pPr>
              <w:pStyle w:val="13"/>
            </w:pPr>
            <w:r>
              <w:t>100%</w:t>
            </w:r>
          </w:p>
        </w:tc>
        <w:tc>
          <w:tcPr>
            <w:tcW w:w="1843"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按“三保”要求，工资长期效益保持率</w:t>
            </w:r>
          </w:p>
        </w:tc>
        <w:tc>
          <w:tcPr>
            <w:tcW w:w="2891" w:type="dxa"/>
            <w:vAlign w:val="center"/>
          </w:tcPr>
          <w:p>
            <w:pPr>
              <w:pStyle w:val="13"/>
            </w:pPr>
            <w:r>
              <w:t>按“三保”要求，工资长期效益保持率</w:t>
            </w:r>
          </w:p>
        </w:tc>
        <w:tc>
          <w:tcPr>
            <w:tcW w:w="1276" w:type="dxa"/>
            <w:vAlign w:val="center"/>
          </w:tcPr>
          <w:p>
            <w:pPr>
              <w:pStyle w:val="13"/>
            </w:pPr>
            <w:r>
              <w:t>100%</w:t>
            </w:r>
          </w:p>
        </w:tc>
        <w:tc>
          <w:tcPr>
            <w:tcW w:w="1843" w:type="dxa"/>
            <w:vAlign w:val="center"/>
          </w:tcPr>
          <w:p>
            <w:pPr>
              <w:pStyle w:val="13"/>
            </w:pPr>
            <w:r>
              <w:t>政策与法规要求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书记员满意率</w:t>
            </w:r>
          </w:p>
        </w:tc>
        <w:tc>
          <w:tcPr>
            <w:tcW w:w="2891" w:type="dxa"/>
            <w:vAlign w:val="center"/>
          </w:tcPr>
          <w:p>
            <w:pPr>
              <w:pStyle w:val="13"/>
            </w:pPr>
            <w:r>
              <w:t>书记员满意率</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pPr>
      <w:bookmarkStart w:id="4" w:name="_Toc_4_4_0000000007"/>
      <w:r>
        <w:rPr>
          <w:rFonts w:ascii="方正仿宋_GBK" w:hAnsi="方正仿宋_GBK" w:eastAsia="方正仿宋_GBK" w:cs="方正仿宋_GBK"/>
          <w:color w:val="000000"/>
          <w:sz w:val="28"/>
        </w:rPr>
        <w:t>4.其他聘用人员经费绩效目标表</w:t>
      </w:r>
      <w:bookmarkEnd w:id="4"/>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12"/>
            </w:pPr>
            <w:r>
              <w:t>341001兴隆县人民检察院本级</w:t>
            </w:r>
          </w:p>
        </w:tc>
        <w:tc>
          <w:tcPr>
            <w:tcW w:w="1843" w:type="dxa"/>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项目编码</w:t>
            </w:r>
          </w:p>
        </w:tc>
        <w:tc>
          <w:tcPr>
            <w:tcW w:w="2608" w:type="dxa"/>
            <w:gridSpan w:val="2"/>
            <w:vAlign w:val="center"/>
          </w:tcPr>
          <w:p>
            <w:pPr>
              <w:pStyle w:val="13"/>
            </w:pPr>
            <w:r>
              <w:t>13080025P00031110002E</w:t>
            </w:r>
          </w:p>
        </w:tc>
        <w:tc>
          <w:tcPr>
            <w:tcW w:w="1587" w:type="dxa"/>
            <w:vAlign w:val="center"/>
          </w:tcPr>
          <w:p>
            <w:pPr>
              <w:pStyle w:val="14"/>
            </w:pPr>
            <w:r>
              <w:t>项目名称</w:t>
            </w:r>
          </w:p>
        </w:tc>
        <w:tc>
          <w:tcPr>
            <w:tcW w:w="4423" w:type="dxa"/>
            <w:gridSpan w:val="3"/>
            <w:vAlign w:val="center"/>
          </w:tcPr>
          <w:p>
            <w:pPr>
              <w:pStyle w:val="13"/>
            </w:pPr>
            <w:r>
              <w:t>其他聘用人员经费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预算规模及资金用途</w:t>
            </w:r>
          </w:p>
        </w:tc>
        <w:tc>
          <w:tcPr>
            <w:tcW w:w="1276" w:type="dxa"/>
            <w:vAlign w:val="center"/>
          </w:tcPr>
          <w:p>
            <w:pPr>
              <w:pStyle w:val="14"/>
            </w:pPr>
            <w:r>
              <w:t>预算数</w:t>
            </w:r>
          </w:p>
        </w:tc>
        <w:tc>
          <w:tcPr>
            <w:tcW w:w="1332" w:type="dxa"/>
            <w:vAlign w:val="center"/>
          </w:tcPr>
          <w:p>
            <w:pPr>
              <w:pStyle w:val="13"/>
            </w:pPr>
            <w:r>
              <w:t>27.51</w:t>
            </w:r>
          </w:p>
        </w:tc>
        <w:tc>
          <w:tcPr>
            <w:tcW w:w="1587" w:type="dxa"/>
            <w:vAlign w:val="center"/>
          </w:tcPr>
          <w:p>
            <w:pPr>
              <w:pStyle w:val="14"/>
            </w:pPr>
            <w:r>
              <w:t>其中：财政    资金</w:t>
            </w:r>
          </w:p>
        </w:tc>
        <w:tc>
          <w:tcPr>
            <w:tcW w:w="1304" w:type="dxa"/>
            <w:vAlign w:val="center"/>
          </w:tcPr>
          <w:p>
            <w:pPr>
              <w:pStyle w:val="13"/>
            </w:pPr>
            <w:r>
              <w:t>27.51</w:t>
            </w:r>
          </w:p>
        </w:tc>
        <w:tc>
          <w:tcPr>
            <w:tcW w:w="1276" w:type="dxa"/>
            <w:vAlign w:val="center"/>
          </w:tcPr>
          <w:p>
            <w:pPr>
              <w:pStyle w:val="14"/>
            </w:pPr>
            <w:r>
              <w:t>其他资金</w:t>
            </w:r>
          </w:p>
        </w:tc>
        <w:tc>
          <w:tcPr>
            <w:tcW w:w="1843"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13"/>
            </w:pPr>
            <w:r>
              <w:t>截至2025年12月31日，全年拟投入27.51万元用于支付保安费、保洁费、公益岗、见习岗工资，以达到保障机关其他聘用人员工资稳定发放的效果。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4"/>
            </w:pPr>
            <w:r>
              <w:t>资金支出计划（%）</w:t>
            </w:r>
          </w:p>
        </w:tc>
        <w:tc>
          <w:tcPr>
            <w:tcW w:w="2608" w:type="dxa"/>
            <w:gridSpan w:val="2"/>
            <w:vAlign w:val="center"/>
          </w:tcPr>
          <w:p>
            <w:pPr>
              <w:pStyle w:val="14"/>
            </w:pPr>
            <w:r>
              <w:t>3月底</w:t>
            </w:r>
          </w:p>
        </w:tc>
        <w:tc>
          <w:tcPr>
            <w:tcW w:w="1587" w:type="dxa"/>
            <w:vAlign w:val="center"/>
          </w:tcPr>
          <w:p>
            <w:pPr>
              <w:pStyle w:val="14"/>
            </w:pPr>
            <w:r>
              <w:t>6月底</w:t>
            </w:r>
          </w:p>
        </w:tc>
        <w:tc>
          <w:tcPr>
            <w:tcW w:w="1304" w:type="dxa"/>
            <w:vAlign w:val="center"/>
          </w:tcPr>
          <w:p>
            <w:pPr>
              <w:pStyle w:val="14"/>
            </w:pPr>
            <w:r>
              <w:t>10月底</w:t>
            </w:r>
          </w:p>
        </w:tc>
        <w:tc>
          <w:tcPr>
            <w:tcW w:w="3119" w:type="dxa"/>
            <w:gridSpan w:val="2"/>
            <w:vAlign w:val="center"/>
          </w:tcPr>
          <w:p>
            <w:pPr>
              <w:pStyle w:val="14"/>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15"/>
            </w:pPr>
            <w:r>
              <w:t>25%</w:t>
            </w:r>
          </w:p>
        </w:tc>
        <w:tc>
          <w:tcPr>
            <w:tcW w:w="1587" w:type="dxa"/>
            <w:vAlign w:val="center"/>
          </w:tcPr>
          <w:p>
            <w:pPr>
              <w:pStyle w:val="15"/>
            </w:pPr>
            <w:r>
              <w:t>50%</w:t>
            </w:r>
          </w:p>
        </w:tc>
        <w:tc>
          <w:tcPr>
            <w:tcW w:w="1304" w:type="dxa"/>
            <w:vAlign w:val="center"/>
          </w:tcPr>
          <w:p>
            <w:pPr>
              <w:pStyle w:val="15"/>
            </w:pPr>
            <w:r>
              <w:t>75%</w:t>
            </w:r>
          </w:p>
        </w:tc>
        <w:tc>
          <w:tcPr>
            <w:tcW w:w="3119"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4"/>
            </w:pPr>
            <w:r>
              <w:t>绩效目标</w:t>
            </w:r>
          </w:p>
        </w:tc>
        <w:tc>
          <w:tcPr>
            <w:tcW w:w="8618" w:type="dxa"/>
            <w:gridSpan w:val="6"/>
            <w:vAlign w:val="center"/>
          </w:tcPr>
          <w:p>
            <w:pPr>
              <w:pStyle w:val="13"/>
            </w:pPr>
            <w:r>
              <w:t>1.截至2025年12月31日，全年拟投入27.51万元用于支付保安费、保洁费、公益岗、见习岗工资，以达到保障机关其他聘用人员工资稳定发放的效果。</w:t>
            </w:r>
          </w:p>
        </w:tc>
      </w:tr>
    </w:tbl>
    <w:p>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4"/>
            </w:pPr>
            <w:r>
              <w:t>一级指标</w:t>
            </w:r>
          </w:p>
        </w:tc>
        <w:tc>
          <w:tcPr>
            <w:tcW w:w="1276" w:type="dxa"/>
            <w:vAlign w:val="center"/>
          </w:tcPr>
          <w:p>
            <w:pPr>
              <w:pStyle w:val="14"/>
            </w:pPr>
            <w:r>
              <w:t>二级指标</w:t>
            </w:r>
          </w:p>
        </w:tc>
        <w:tc>
          <w:tcPr>
            <w:tcW w:w="1332" w:type="dxa"/>
            <w:vAlign w:val="center"/>
          </w:tcPr>
          <w:p>
            <w:pPr>
              <w:pStyle w:val="14"/>
            </w:pPr>
            <w:r>
              <w:t>三级指标</w:t>
            </w:r>
          </w:p>
        </w:tc>
        <w:tc>
          <w:tcPr>
            <w:tcW w:w="2891" w:type="dxa"/>
            <w:vAlign w:val="center"/>
          </w:tcPr>
          <w:p>
            <w:pPr>
              <w:pStyle w:val="14"/>
            </w:pPr>
            <w:r>
              <w:t>绩效指标描述</w:t>
            </w:r>
          </w:p>
        </w:tc>
        <w:tc>
          <w:tcPr>
            <w:tcW w:w="1276" w:type="dxa"/>
            <w:vAlign w:val="center"/>
          </w:tcPr>
          <w:p>
            <w:pPr>
              <w:pStyle w:val="14"/>
            </w:pPr>
            <w:r>
              <w:t>指标值</w:t>
            </w:r>
          </w:p>
        </w:tc>
        <w:tc>
          <w:tcPr>
            <w:tcW w:w="1843" w:type="dxa"/>
            <w:vAlign w:val="center"/>
          </w:tcPr>
          <w:p>
            <w:pPr>
              <w:pStyle w:val="14"/>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产出指标</w:t>
            </w:r>
          </w:p>
        </w:tc>
        <w:tc>
          <w:tcPr>
            <w:tcW w:w="1276" w:type="dxa"/>
            <w:vAlign w:val="center"/>
          </w:tcPr>
          <w:p>
            <w:pPr>
              <w:pStyle w:val="13"/>
            </w:pPr>
            <w:r>
              <w:t>数量指标</w:t>
            </w:r>
          </w:p>
        </w:tc>
        <w:tc>
          <w:tcPr>
            <w:tcW w:w="1332" w:type="dxa"/>
            <w:vAlign w:val="center"/>
          </w:tcPr>
          <w:p>
            <w:pPr>
              <w:pStyle w:val="13"/>
            </w:pPr>
            <w:r>
              <w:t>经费保障人数</w:t>
            </w:r>
          </w:p>
        </w:tc>
        <w:tc>
          <w:tcPr>
            <w:tcW w:w="2891" w:type="dxa"/>
            <w:vAlign w:val="center"/>
          </w:tcPr>
          <w:p>
            <w:pPr>
              <w:pStyle w:val="13"/>
            </w:pPr>
            <w:r>
              <w:t>经费保障人数</w:t>
            </w:r>
          </w:p>
        </w:tc>
        <w:tc>
          <w:tcPr>
            <w:tcW w:w="1276" w:type="dxa"/>
            <w:vAlign w:val="center"/>
          </w:tcPr>
          <w:p>
            <w:pPr>
              <w:pStyle w:val="13"/>
            </w:pPr>
            <w:r>
              <w:t>7人</w:t>
            </w:r>
          </w:p>
        </w:tc>
        <w:tc>
          <w:tcPr>
            <w:tcW w:w="1843" w:type="dxa"/>
            <w:vAlign w:val="center"/>
          </w:tcPr>
          <w:p>
            <w:pPr>
              <w:pStyle w:val="13"/>
            </w:pPr>
            <w:r>
              <w:t>实际人数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质量指标</w:t>
            </w:r>
          </w:p>
        </w:tc>
        <w:tc>
          <w:tcPr>
            <w:tcW w:w="1332" w:type="dxa"/>
            <w:vAlign w:val="center"/>
          </w:tcPr>
          <w:p>
            <w:pPr>
              <w:pStyle w:val="13"/>
            </w:pPr>
            <w:r>
              <w:t>工资发放准确率</w:t>
            </w:r>
          </w:p>
        </w:tc>
        <w:tc>
          <w:tcPr>
            <w:tcW w:w="2891" w:type="dxa"/>
            <w:vAlign w:val="center"/>
          </w:tcPr>
          <w:p>
            <w:pPr>
              <w:pStyle w:val="13"/>
            </w:pPr>
            <w:r>
              <w:t>工资发放准确率</w:t>
            </w:r>
          </w:p>
        </w:tc>
        <w:tc>
          <w:tcPr>
            <w:tcW w:w="1276" w:type="dxa"/>
            <w:vAlign w:val="center"/>
          </w:tcPr>
          <w:p>
            <w:pPr>
              <w:pStyle w:val="13"/>
            </w:pPr>
            <w:r>
              <w:t>100%</w:t>
            </w:r>
          </w:p>
        </w:tc>
        <w:tc>
          <w:tcPr>
            <w:tcW w:w="1843" w:type="dxa"/>
            <w:vAlign w:val="center"/>
          </w:tcPr>
          <w:p>
            <w:pPr>
              <w:pStyle w:val="13"/>
            </w:pPr>
            <w:r>
              <w:t>符合财务管理制</w:t>
            </w:r>
          </w:p>
          <w:p>
            <w:pPr>
              <w:pStyle w:val="13"/>
            </w:pPr>
            <w:r>
              <w:t>度和内控要求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时效指标</w:t>
            </w:r>
          </w:p>
        </w:tc>
        <w:tc>
          <w:tcPr>
            <w:tcW w:w="1332" w:type="dxa"/>
            <w:vAlign w:val="center"/>
          </w:tcPr>
          <w:p>
            <w:pPr>
              <w:pStyle w:val="13"/>
            </w:pPr>
            <w:r>
              <w:t>工资发放及时率</w:t>
            </w:r>
          </w:p>
        </w:tc>
        <w:tc>
          <w:tcPr>
            <w:tcW w:w="2891" w:type="dxa"/>
            <w:vAlign w:val="center"/>
          </w:tcPr>
          <w:p>
            <w:pPr>
              <w:pStyle w:val="13"/>
            </w:pPr>
            <w:r>
              <w:t>按时发放（每月25日前）的月份数/实际发放月份数*100%</w:t>
            </w:r>
          </w:p>
        </w:tc>
        <w:tc>
          <w:tcPr>
            <w:tcW w:w="1276" w:type="dxa"/>
            <w:vAlign w:val="center"/>
          </w:tcPr>
          <w:p>
            <w:pPr>
              <w:pStyle w:val="13"/>
            </w:pPr>
            <w:r>
              <w:t>≥90%</w:t>
            </w:r>
          </w:p>
        </w:tc>
        <w:tc>
          <w:tcPr>
            <w:tcW w:w="1843" w:type="dxa"/>
            <w:vAlign w:val="center"/>
          </w:tcPr>
          <w:p>
            <w:pPr>
              <w:pStyle w:val="13"/>
            </w:pPr>
            <w:r>
              <w:t>发放期限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成本指标</w:t>
            </w:r>
          </w:p>
        </w:tc>
        <w:tc>
          <w:tcPr>
            <w:tcW w:w="1332" w:type="dxa"/>
            <w:vAlign w:val="center"/>
          </w:tcPr>
          <w:p>
            <w:pPr>
              <w:pStyle w:val="13"/>
            </w:pPr>
            <w:r>
              <w:t>经费总成本</w:t>
            </w:r>
          </w:p>
        </w:tc>
        <w:tc>
          <w:tcPr>
            <w:tcW w:w="2891" w:type="dxa"/>
            <w:vAlign w:val="center"/>
          </w:tcPr>
          <w:p>
            <w:pPr>
              <w:pStyle w:val="13"/>
            </w:pPr>
            <w:r>
              <w:t>经费总成本</w:t>
            </w:r>
          </w:p>
        </w:tc>
        <w:tc>
          <w:tcPr>
            <w:tcW w:w="1276" w:type="dxa"/>
            <w:vAlign w:val="center"/>
          </w:tcPr>
          <w:p>
            <w:pPr>
              <w:pStyle w:val="13"/>
            </w:pPr>
            <w:r>
              <w:t>≤27.51万元</w:t>
            </w:r>
          </w:p>
        </w:tc>
        <w:tc>
          <w:tcPr>
            <w:tcW w:w="1843" w:type="dxa"/>
            <w:vAlign w:val="center"/>
          </w:tcPr>
          <w:p>
            <w:pPr>
              <w:pStyle w:val="13"/>
            </w:pPr>
            <w:r>
              <w:t>经费核定数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5"/>
            </w:pPr>
            <w:r>
              <w:t>效益指标</w:t>
            </w:r>
          </w:p>
        </w:tc>
        <w:tc>
          <w:tcPr>
            <w:tcW w:w="1276" w:type="dxa"/>
            <w:vAlign w:val="center"/>
          </w:tcPr>
          <w:p>
            <w:pPr>
              <w:pStyle w:val="13"/>
            </w:pPr>
            <w:r>
              <w:t>社会效益指标</w:t>
            </w:r>
          </w:p>
        </w:tc>
        <w:tc>
          <w:tcPr>
            <w:tcW w:w="1332" w:type="dxa"/>
            <w:vAlign w:val="center"/>
          </w:tcPr>
          <w:p>
            <w:pPr>
              <w:pStyle w:val="13"/>
            </w:pPr>
            <w:r>
              <w:t>其他聘用人员尽职尽责率</w:t>
            </w:r>
          </w:p>
        </w:tc>
        <w:tc>
          <w:tcPr>
            <w:tcW w:w="2891" w:type="dxa"/>
            <w:vAlign w:val="center"/>
          </w:tcPr>
          <w:p>
            <w:pPr>
              <w:pStyle w:val="13"/>
            </w:pPr>
            <w:r>
              <w:t>其他聘用人员尽职尽责率</w:t>
            </w:r>
          </w:p>
        </w:tc>
        <w:tc>
          <w:tcPr>
            <w:tcW w:w="1276" w:type="dxa"/>
            <w:vAlign w:val="center"/>
          </w:tcPr>
          <w:p>
            <w:pPr>
              <w:pStyle w:val="13"/>
            </w:pPr>
            <w:r>
              <w:t>100%</w:t>
            </w:r>
          </w:p>
        </w:tc>
        <w:tc>
          <w:tcPr>
            <w:tcW w:w="1843" w:type="dxa"/>
            <w:vAlign w:val="center"/>
          </w:tcPr>
          <w:p>
            <w:pPr>
              <w:pStyle w:val="13"/>
            </w:pPr>
            <w:r>
              <w:t>工作需要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13"/>
            </w:pPr>
            <w:r>
              <w:t>可持续影响指标</w:t>
            </w:r>
          </w:p>
        </w:tc>
        <w:tc>
          <w:tcPr>
            <w:tcW w:w="1332" w:type="dxa"/>
            <w:vAlign w:val="center"/>
          </w:tcPr>
          <w:p>
            <w:pPr>
              <w:pStyle w:val="13"/>
            </w:pPr>
            <w:r>
              <w:t>按“三保”要求，工资长期效益保持率</w:t>
            </w:r>
          </w:p>
        </w:tc>
        <w:tc>
          <w:tcPr>
            <w:tcW w:w="2891" w:type="dxa"/>
            <w:vAlign w:val="center"/>
          </w:tcPr>
          <w:p>
            <w:pPr>
              <w:pStyle w:val="13"/>
            </w:pPr>
            <w:r>
              <w:t>按“三保”要求，工资长期效益保持率</w:t>
            </w:r>
          </w:p>
        </w:tc>
        <w:tc>
          <w:tcPr>
            <w:tcW w:w="1276" w:type="dxa"/>
            <w:vAlign w:val="center"/>
          </w:tcPr>
          <w:p>
            <w:pPr>
              <w:pStyle w:val="13"/>
            </w:pPr>
            <w:r>
              <w:t>100%</w:t>
            </w:r>
          </w:p>
        </w:tc>
        <w:tc>
          <w:tcPr>
            <w:tcW w:w="1843" w:type="dxa"/>
            <w:vAlign w:val="center"/>
          </w:tcPr>
          <w:p>
            <w:pPr>
              <w:pStyle w:val="13"/>
            </w:pPr>
            <w:r>
              <w:t>政策与法规要求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5"/>
            </w:pPr>
            <w:r>
              <w:t>满意度指标</w:t>
            </w:r>
          </w:p>
        </w:tc>
        <w:tc>
          <w:tcPr>
            <w:tcW w:w="1276" w:type="dxa"/>
            <w:vAlign w:val="center"/>
          </w:tcPr>
          <w:p>
            <w:pPr>
              <w:pStyle w:val="13"/>
            </w:pPr>
            <w:r>
              <w:t>服务对象满意度指标</w:t>
            </w:r>
          </w:p>
        </w:tc>
        <w:tc>
          <w:tcPr>
            <w:tcW w:w="1332" w:type="dxa"/>
            <w:vAlign w:val="center"/>
          </w:tcPr>
          <w:p>
            <w:pPr>
              <w:pStyle w:val="13"/>
            </w:pPr>
            <w:r>
              <w:t>聘用人员满意率</w:t>
            </w:r>
          </w:p>
        </w:tc>
        <w:tc>
          <w:tcPr>
            <w:tcW w:w="2891" w:type="dxa"/>
            <w:vAlign w:val="center"/>
          </w:tcPr>
          <w:p>
            <w:pPr>
              <w:pStyle w:val="13"/>
            </w:pPr>
            <w:r>
              <w:t>聘用人员满意率</w:t>
            </w:r>
          </w:p>
        </w:tc>
        <w:tc>
          <w:tcPr>
            <w:tcW w:w="1276" w:type="dxa"/>
            <w:vAlign w:val="center"/>
          </w:tcPr>
          <w:p>
            <w:pPr>
              <w:pStyle w:val="13"/>
            </w:pPr>
            <w:r>
              <w:t>≥90%</w:t>
            </w:r>
          </w:p>
        </w:tc>
        <w:tc>
          <w:tcPr>
            <w:tcW w:w="1843" w:type="dxa"/>
            <w:vAlign w:val="center"/>
          </w:tcPr>
          <w:p>
            <w:pPr>
              <w:pStyle w:val="13"/>
            </w:pPr>
            <w:r>
              <w:t>问卷调查</w:t>
            </w:r>
          </w:p>
        </w:tc>
      </w:tr>
    </w:tbl>
    <w:p>
      <w:pPr>
        <w:sectPr>
          <w:pgSz w:w="11900" w:h="16840"/>
          <w:pgMar w:top="1984" w:right="1304" w:bottom="1134" w:left="1304" w:header="720" w:footer="720" w:gutter="0"/>
          <w:cols w:space="720" w:num="1"/>
        </w:sectPr>
      </w:pPr>
    </w:p>
    <w:p>
      <w:pPr>
        <w:spacing w:before="0" w:after="0" w:line="240" w:lineRule="auto"/>
        <w:ind w:firstLine="0"/>
        <w:jc w:val="both"/>
        <w:outlineLvl w:val="9"/>
      </w:pPr>
      <w:bookmarkStart w:id="5" w:name="_GoBack"/>
      <w:bookmarkEnd w:id="5"/>
    </w:p>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panose1 w:val="02000000000000000000"/>
    <w:charset w:val="86"/>
    <w:family w:val="auto"/>
    <w:pitch w:val="default"/>
    <w:sig w:usb0="A00002BF" w:usb1="38CF7CFA" w:usb2="00082016" w:usb3="00000000" w:csb0="00040001" w:csb1="00000000"/>
  </w:font>
  <w:font w:name="方正书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TVmYjM4YzA4YWZmNTBjMzJjMWVkMTJhZDViNDU4NzAifQ=="/>
  </w:docVars>
  <w:rsids>
    <w:rsidRoot w:val="00000000"/>
    <w:rsid w:val="67DB729C"/>
    <w:rsid w:val="7E0C391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9">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3">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22</Pages>
  <Words>7744</Words>
  <Characters>8818</Characters>
  <TotalTime>5</TotalTime>
  <ScaleCrop>false</ScaleCrop>
  <LinksUpToDate>false</LinksUpToDate>
  <CharactersWithSpaces>8985</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2025-03-04T15:47:00Z</dcterms:created>
  <dc:creator>lenovo</dc:creator>
  <cp:lastModifiedBy>妙蛙种子﹏</cp:lastModifiedBy>
  <dcterms:modified xsi:type="dcterms:W3CDTF">2025-03-04T08:24:59Z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7CF4B7D6738D43409D03DCAC7CDA12CF</vt:lpwstr>
  </property>
</Properties>
</file>