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兴隆县医疗保障局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2021年部门预算信息公开说明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按照《中华人民共和国预算法》、《地方预决算公开操作规程》和《河北省省级预算公开办法》规定，现将20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年部门预算公开如下：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一、部门职责及机构设置情况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部门职责：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拟订全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城镇职工和城乡居民医疗保险、生育保险、大病保险、医疗救助等医疗保障政策、制度、规划和标准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拟订完善全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医疗保障基金监督管理办法，建立健全医疗保障基金安全防控机制，组织建设智能监控平台，推进医疗保障基金支付方式改革，并组织实施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组织制定全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城镇职工、城乡居民参保筹资和保障待遇政策，统筹城乡医疗保障政策标准，建立健全与筹资水平相适应的待遇调整机制。拟订全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长期护理保险制度方案及政策标准并组织实施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贯彻执行全省城乡统一的药品、医用耗材、医疗服务项目、医疗服务设施等医保目录，组织制定全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城乡统一的药品、医用耗材、医疗服务项目、医疗服务设施的医保支付标准并组织实施，建立动态调整机制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贯彻落实省药品、医用耗材价格和医疗服务项目、医疗服务设施收费等政策，建立医保支付医药服务价格合理确定和动态调整机制，依法管理药品、医用耗材、医疗服务价格政策执行情况。建立药品、医用耗材、医疗服务价格监测信息发布制度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贯彻落实省药品、医用耗材的招标采购政策并监督组织实施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制定全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定点医药机构协议和支付管理办法并组织实施，建立健全医疗保障信用评价体系和信息披露制度，监督管理定点医药机构的医疗服务行为、医疗费用和医药价格，依法查处医疗保障领域违法违规行为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负责医疗保障经办管理、公共服务体系和信息化建设。落实和完善异地就医管理和费用结算政策并组织实施。建立健全医疗保障关系转移接续制度。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  <w:t>机构设置：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ascii="仿宋_GB2312" w:hAnsi="Calibri" w:eastAsia="仿宋_GB2312" w:cs="ArialUnicodeMS"/>
          <w:kern w:val="0"/>
          <w:sz w:val="32"/>
          <w:szCs w:val="32"/>
        </w:rPr>
        <w:t>我单位为一级决算单位，本决算为本级决算，无所属单位决</w:t>
      </w:r>
      <w:r>
        <w:rPr>
          <w:rFonts w:hint="eastAsia" w:ascii="仿宋_GB2312" w:hAnsi="Calibri" w:eastAsia="仿宋_GB2312" w:cs="ArialUnicodeMS"/>
          <w:kern w:val="0"/>
          <w:sz w:val="32"/>
          <w:szCs w:val="32"/>
          <w:lang w:eastAsia="zh-CN"/>
        </w:rPr>
        <w:t>算。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内设机构：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办公室、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待遇保障和基金监督股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医药服务管理股</w:t>
      </w:r>
      <w:r>
        <w:rPr>
          <w:rFonts w:hint="eastAsia" w:ascii="仿宋" w:hAnsi="仿宋" w:eastAsia="仿宋" w:cs="宋体"/>
          <w:b w:val="0"/>
          <w:bCs/>
          <w:sz w:val="30"/>
          <w:szCs w:val="30"/>
          <w:lang w:eastAsia="zh-CN"/>
        </w:rPr>
        <w:t>、城乡居民基本医疗保险管理所、城镇职工基本医疗保险管理所、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医用药品器械集中采购中心</w:t>
      </w:r>
      <w:r>
        <w:rPr>
          <w:rFonts w:hint="eastAsia" w:ascii="仿宋" w:hAnsi="仿宋" w:eastAsia="仿宋" w:cs="宋体"/>
          <w:b w:val="0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部门机构设置情况</w:t>
      </w:r>
    </w:p>
    <w:tbl>
      <w:tblPr>
        <w:tblStyle w:val="4"/>
        <w:tblW w:w="1085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0"/>
        <w:gridCol w:w="1530"/>
        <w:gridCol w:w="1350"/>
        <w:gridCol w:w="26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53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单位性质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单位规格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53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股级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财政性资金基本保证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待遇保障和基金监督股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股级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财政性资金基本保证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医药服务管理股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股级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财政性资金基本保证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兴隆县城镇职工基本医疗保险管理所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股级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财政性资金基本保证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兴隆县城乡居民基本医疗保险管理所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股级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财政性资金基本保证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兴隆县医用药品器械集中采购中心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事业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股级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财政性资金基本保证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二、部门预算安排的总体情况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按照预算管理有关规定，目前我部门预算的编制实行综合预算制度，即全部收入和支出都反映的预算中。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医保局</w:t>
      </w:r>
      <w:r>
        <w:rPr>
          <w:rFonts w:hint="eastAsia" w:ascii="宋体" w:hAnsi="宋体" w:eastAsia="宋体" w:cs="宋体"/>
          <w:sz w:val="28"/>
          <w:szCs w:val="28"/>
        </w:rPr>
        <w:t>本级及所属事业单位的收支均包含在部门预算中。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1、收入说明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本部门当年全部收入，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年预算收入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6596.36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240" w:lineRule="auto"/>
        <w:ind w:firstLine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支出说明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收支预算总表支出栏、基本支出表、项目支出表按经济分类和支出功能分类科目编制，反映承德市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医保局</w:t>
      </w:r>
      <w:r>
        <w:rPr>
          <w:rFonts w:hint="eastAsia" w:ascii="宋体" w:hAnsi="宋体" w:eastAsia="宋体" w:cs="宋体"/>
          <w:sz w:val="28"/>
          <w:szCs w:val="28"/>
        </w:rPr>
        <w:t>年度部门预算中支出预算的总体情况。20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年部门支出预算为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6596.36万</w:t>
      </w:r>
      <w:r>
        <w:rPr>
          <w:rFonts w:hint="eastAsia" w:ascii="宋体" w:hAnsi="宋体" w:eastAsia="宋体" w:cs="宋体"/>
          <w:sz w:val="28"/>
          <w:szCs w:val="28"/>
        </w:rPr>
        <w:t>元，其中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卫生健康</w:t>
      </w:r>
      <w:r>
        <w:rPr>
          <w:rFonts w:hint="eastAsia" w:ascii="宋体" w:hAnsi="宋体" w:eastAsia="宋体" w:cs="宋体"/>
          <w:sz w:val="28"/>
          <w:szCs w:val="28"/>
        </w:rPr>
        <w:t>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6523.54</w:t>
      </w:r>
      <w:r>
        <w:rPr>
          <w:rFonts w:hint="eastAsia" w:ascii="宋体" w:hAnsi="宋体" w:eastAsia="宋体" w:cs="宋体"/>
          <w:sz w:val="28"/>
          <w:szCs w:val="28"/>
        </w:rPr>
        <w:t>万元，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社会保障就业支出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53.84万元，其中人员支出282.12万元，公用支出16.18万元，项目支出6298.06万元。</w:t>
      </w:r>
    </w:p>
    <w:p>
      <w:pPr>
        <w:spacing w:line="500" w:lineRule="exact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3、比上年增减情况</w:t>
      </w:r>
    </w:p>
    <w:p>
      <w:pPr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2021年预算收支安排6596.36万元，较2020年预算减少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13512.75</w:t>
      </w:r>
      <w:r>
        <w:rPr>
          <w:rFonts w:hint="eastAsia" w:ascii="宋体" w:hAnsi="宋体" w:eastAsia="宋体" w:cs="宋体"/>
          <w:sz w:val="28"/>
          <w:szCs w:val="28"/>
        </w:rPr>
        <w:t>万元，其中：基本支出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增加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8.51</w:t>
      </w:r>
      <w:r>
        <w:rPr>
          <w:rFonts w:hint="eastAsia" w:ascii="宋体" w:hAnsi="宋体" w:eastAsia="宋体" w:cs="宋体"/>
          <w:sz w:val="28"/>
          <w:szCs w:val="28"/>
        </w:rPr>
        <w:t>万元，主要为增加人员经费支出；项目支出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减少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13521.26</w:t>
      </w:r>
      <w:r>
        <w:rPr>
          <w:rFonts w:hint="eastAsia" w:ascii="宋体" w:hAnsi="宋体" w:eastAsia="宋体" w:cs="宋体"/>
          <w:sz w:val="28"/>
          <w:szCs w:val="28"/>
        </w:rPr>
        <w:t>万元，主要为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减少卫生健康支出和财政对城乡居民基本医疗保险基金的补助支出</w:t>
      </w:r>
      <w:r>
        <w:rPr>
          <w:rFonts w:hint="eastAsia" w:ascii="宋体" w:hAnsi="宋体" w:eastAsia="宋体" w:cs="宋体"/>
          <w:sz w:val="28"/>
          <w:szCs w:val="28"/>
        </w:rPr>
        <w:t>；其他支出增加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万元，主要为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和预算持平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医保局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运行经费安排情况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医保局</w:t>
      </w:r>
      <w:r>
        <w:rPr>
          <w:rFonts w:hint="eastAsia" w:ascii="宋体" w:hAnsi="宋体" w:eastAsia="宋体" w:cs="宋体"/>
          <w:sz w:val="28"/>
          <w:szCs w:val="28"/>
        </w:rPr>
        <w:t>运行经费共计安排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16.18</w:t>
      </w:r>
      <w:r>
        <w:rPr>
          <w:rFonts w:hint="eastAsia" w:ascii="宋体" w:hAnsi="宋体" w:eastAsia="宋体" w:cs="宋体"/>
          <w:sz w:val="28"/>
          <w:szCs w:val="28"/>
        </w:rPr>
        <w:t>万元，主要用于保证正常运转的办公费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4.55</w:t>
      </w:r>
      <w:r>
        <w:rPr>
          <w:rFonts w:hint="eastAsia" w:ascii="宋体" w:hAnsi="宋体" w:eastAsia="宋体" w:cs="宋体"/>
          <w:sz w:val="28"/>
          <w:szCs w:val="28"/>
        </w:rPr>
        <w:t>万元、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差旅费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1万元、会议费1.2万元、公务招待费1万元、劳务费2万元、福利费4.05万元、公务用车运行维护费1.5万元、其他商品服务支出0.88万元。</w:t>
      </w:r>
    </w:p>
    <w:p>
      <w:pPr>
        <w:pStyle w:val="2"/>
        <w:ind w:firstLine="640" w:firstLineChars="200"/>
        <w:jc w:val="left"/>
        <w:rPr>
          <w:rFonts w:ascii="黑体" w:hAnsi="黑体" w:eastAsia="黑体"/>
          <w:sz w:val="32"/>
        </w:rPr>
      </w:pPr>
      <w:bookmarkStart w:id="0" w:name="_Toc62828920"/>
      <w:r>
        <w:rPr>
          <w:rFonts w:hint="eastAsia" w:ascii="方正黑体_GBK" w:eastAsia="方正黑体_GBK"/>
          <w:sz w:val="32"/>
        </w:rPr>
        <w:t>四、财政拨款</w:t>
      </w:r>
      <w:r>
        <w:rPr>
          <w:rFonts w:ascii="方正黑体_GBK" w:eastAsia="方正黑体_GBK"/>
          <w:sz w:val="32"/>
        </w:rPr>
        <w:t>“</w:t>
      </w:r>
      <w:r>
        <w:rPr>
          <w:rFonts w:hint="eastAsia" w:ascii="方正黑体_GBK" w:eastAsia="方正黑体_GBK"/>
          <w:sz w:val="32"/>
        </w:rPr>
        <w:t>三公</w:t>
      </w:r>
      <w:r>
        <w:rPr>
          <w:rFonts w:ascii="方正黑体_GBK" w:eastAsia="方正黑体_GBK"/>
          <w:sz w:val="32"/>
        </w:rPr>
        <w:t>”</w:t>
      </w:r>
      <w:r>
        <w:rPr>
          <w:rFonts w:hint="eastAsia" w:ascii="方正黑体_GBK" w:eastAsia="方正黑体_GBK"/>
          <w:sz w:val="32"/>
        </w:rPr>
        <w:t>经费预算情况及增减变化原因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2021年，河北省财政厅财政拨款“三公”经费预算安排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万元，其中因公出国（境）费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万元；公务用车购置及运维费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万元（其中：公务用车购置费为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万元，公务用车运维费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万元)；公务接待费1万元。与2020年相比增加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2.5万元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，增加的主要原因是：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我单位公车成立后调拨车辆，行驶近30万公里，零件老化进行了大修，支付车辆保险、车辆日常维修保养、油卡充值费用。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、绩效预算信息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总体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绩效</w:t>
      </w:r>
      <w:r>
        <w:rPr>
          <w:rFonts w:hint="eastAsia" w:ascii="宋体" w:hAnsi="宋体" w:eastAsia="宋体" w:cs="宋体"/>
          <w:b/>
          <w:sz w:val="28"/>
          <w:szCs w:val="28"/>
        </w:rPr>
        <w:t>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（一）医疗保障政策制定、管理及实施。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拟</w:t>
      </w:r>
      <w:r>
        <w:rPr>
          <w:rFonts w:hint="eastAsia" w:ascii="宋体" w:hAnsi="宋体" w:eastAsia="宋体" w:cs="宋体"/>
          <w:sz w:val="28"/>
          <w:szCs w:val="28"/>
        </w:rPr>
        <w:t>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全县</w:t>
      </w:r>
      <w:r>
        <w:rPr>
          <w:rFonts w:hint="eastAsia" w:ascii="宋体" w:hAnsi="宋体" w:eastAsia="宋体" w:cs="宋体"/>
          <w:sz w:val="28"/>
          <w:szCs w:val="28"/>
        </w:rPr>
        <w:t>医疗保险、生育保险、护理保险、医疗救助等医疗保障实施措施，确保政策落实到位。绩效目标包括：全面加强医疗保障筹资和待遇政策研究，确保医疗保障资金足额征缴到位，各项医疗保障待遇落实到位。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医疗保障基金监督管理。全面加强医疗保障基金监督管理，确保基金运行安全有效。绩效目标包括：建立健全医疗保障基金安全防控机制，建立健全医疗保障信用评价体系和信息披露制度。监督管理纳入医保支付范围的医疗服务行为和医疗费用，规范医保经办业务，依法查处医疗保障领域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（三）医药服务、价格和招标采购管理。加强全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县</w:t>
      </w:r>
      <w:r>
        <w:rPr>
          <w:rFonts w:hint="eastAsia" w:ascii="宋体" w:hAnsi="宋体" w:eastAsia="宋体" w:cs="宋体"/>
          <w:sz w:val="28"/>
          <w:szCs w:val="28"/>
        </w:rPr>
        <w:t>医药服务、价格和招标采购政策管理，努力保障和改善民生。绩效目标包括：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拟定全县统一的药品、医用耗材、医疗服务项目、医疗服务设施的医保</w:t>
      </w:r>
      <w:r>
        <w:rPr>
          <w:rFonts w:hint="eastAsia" w:ascii="宋体" w:hAnsi="宋体" w:eastAsia="宋体" w:cs="宋体"/>
          <w:sz w:val="28"/>
          <w:szCs w:val="28"/>
        </w:rPr>
        <w:t>支付标准，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贯彻落实全省</w:t>
      </w:r>
      <w:r>
        <w:rPr>
          <w:rFonts w:hint="eastAsia" w:ascii="宋体" w:hAnsi="宋体" w:eastAsia="宋体" w:cs="宋体"/>
          <w:sz w:val="28"/>
          <w:szCs w:val="28"/>
        </w:rPr>
        <w:t>医疗服务价格项目规范、一次性医用耗材目录，推进招标采购平台建设，努力实现医药服务、价格和招标采购管理规范化、标准化，依法监管药品、医用耗材、医疗服务价格政策法规执行情况，促进医疗保障政策健康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（四）医疗保障经办管理。切实加强医保保障经办管理，规范经办服务行为，提高经办管理水平。绩效目标包括：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拟定全县定点医药机构医保协议和支付管理办法</w:t>
      </w:r>
      <w:r>
        <w:rPr>
          <w:rFonts w:hint="eastAsia" w:ascii="宋体" w:hAnsi="宋体" w:eastAsia="宋体" w:cs="宋体"/>
          <w:sz w:val="28"/>
          <w:szCs w:val="28"/>
        </w:rPr>
        <w:t>，继续完善异地就医管理和费用结算政策，建立健全医疗保障关系转移接续制度，让参保人员真正享受到医疗保障政策带来的红利。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医疗保障信息化管理。加强医疗保障信息化体系建设，全面提高信息化管理水平。绩效目标包括：构建统一、高效、安全的信息管理系统应用支撑平台，实现各项业务领域之间、各统筹地区之间的信息共享、协同办理和有效衔接；保障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县</w:t>
      </w:r>
      <w:r>
        <w:rPr>
          <w:rFonts w:hint="eastAsia" w:ascii="宋体" w:hAnsi="宋体" w:eastAsia="宋体" w:cs="宋体"/>
          <w:sz w:val="28"/>
          <w:szCs w:val="28"/>
        </w:rPr>
        <w:t>医疗保障系统网络平台安全、稳定运行，业务信息系统正常运行。通过提高信息化管理水平，努力让广大参保人员享受到医疗保障政策带来的福利，享受到高效、便捷的信息化服务。</w:t>
      </w:r>
    </w:p>
    <w:p>
      <w:pPr>
        <w:pStyle w:val="2"/>
        <w:ind w:firstLine="640" w:firstLineChars="200"/>
        <w:jc w:val="left"/>
        <w:rPr>
          <w:rFonts w:ascii="黑体" w:hAnsi="黑体" w:eastAsia="黑体"/>
          <w:sz w:val="32"/>
        </w:rPr>
      </w:pPr>
      <w:bookmarkStart w:id="1" w:name="_Toc62828922"/>
      <w:r>
        <w:rPr>
          <w:rFonts w:hint="eastAsia" w:ascii="方正黑体_GBK" w:eastAsia="方正黑体_GBK"/>
          <w:sz w:val="32"/>
        </w:rPr>
        <w:t>六、政府采购预算情况</w:t>
      </w:r>
      <w:bookmarkEnd w:id="1"/>
      <w:r>
        <w:rPr>
          <w:rFonts w:hint="eastAsia" w:ascii="黑体" w:hAnsi="黑体" w:eastAsia="黑体"/>
          <w:sz w:val="32"/>
        </w:rPr>
        <w:t xml:space="preserve"> </w:t>
      </w:r>
    </w:p>
    <w:p>
      <w:pPr>
        <w:spacing w:line="500" w:lineRule="exact"/>
        <w:ind w:firstLine="560" w:firstLineChars="200"/>
        <w:jc w:val="left"/>
        <w:rPr>
          <w:rFonts w:eastAsia="方正仿宋_GBK"/>
          <w:sz w:val="28"/>
        </w:rPr>
      </w:pPr>
      <w:bookmarkStart w:id="2" w:name="_Toc471398468"/>
      <w:r>
        <w:rPr>
          <w:rFonts w:eastAsia="方正仿宋_GBK"/>
          <w:sz w:val="28"/>
        </w:rPr>
        <w:t>2021年，</w:t>
      </w:r>
      <w:r>
        <w:rPr>
          <w:rFonts w:hint="eastAsia" w:eastAsia="方正仿宋_GBK"/>
          <w:sz w:val="28"/>
        </w:rPr>
        <w:t>河北省财政厅</w:t>
      </w:r>
      <w:r>
        <w:rPr>
          <w:rFonts w:eastAsia="方正仿宋_GBK"/>
          <w:sz w:val="28"/>
        </w:rPr>
        <w:t>安排政府采购预算</w:t>
      </w:r>
      <w:r>
        <w:rPr>
          <w:rFonts w:hint="eastAsia" w:eastAsia="方正仿宋_GBK"/>
          <w:sz w:val="28"/>
          <w:lang w:val="en-US" w:eastAsia="zh-CN"/>
        </w:rPr>
        <w:t>0</w:t>
      </w:r>
      <w:r>
        <w:rPr>
          <w:rFonts w:eastAsia="方正仿宋_GBK"/>
          <w:sz w:val="28"/>
        </w:rPr>
        <w:t>万元。具体内容见下表。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部门政府采购预算</w:t>
      </w:r>
      <w:bookmarkEnd w:id="2"/>
    </w:p>
    <w:tbl>
      <w:tblPr>
        <w:tblStyle w:val="4"/>
        <w:tblW w:w="1473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1417"/>
        <w:gridCol w:w="1294"/>
        <w:gridCol w:w="709"/>
        <w:gridCol w:w="907"/>
        <w:gridCol w:w="907"/>
        <w:gridCol w:w="1134"/>
        <w:gridCol w:w="1167"/>
        <w:gridCol w:w="1101"/>
        <w:gridCol w:w="1134"/>
        <w:gridCol w:w="1134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928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小标宋_GBK" w:eastAsia="方正小标宋_GBK"/>
                <w:sz w:val="24"/>
                <w:lang w:eastAsia="zh-CN"/>
              </w:rPr>
            </w:pPr>
            <w:r>
              <w:rPr>
                <w:rFonts w:hint="eastAsia" w:ascii="方正小标宋_GBK" w:eastAsia="方正小标宋_GBK"/>
                <w:sz w:val="24"/>
                <w:lang w:val="en-US" w:eastAsia="zh-CN"/>
              </w:rPr>
              <w:t>362</w:t>
            </w:r>
            <w:r>
              <w:rPr>
                <w:rFonts w:hint="eastAsia" w:ascii="方正小标宋_GBK" w:eastAsia="方正小标宋_GBK"/>
                <w:sz w:val="24"/>
                <w:lang w:eastAsia="zh-CN"/>
              </w:rPr>
              <w:t>兴隆县医疗保障局</w:t>
            </w:r>
          </w:p>
        </w:tc>
        <w:tc>
          <w:tcPr>
            <w:tcW w:w="68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94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政府采购项目来源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采购物品名称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政府采购目录序号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计量</w:t>
            </w:r>
            <w:r>
              <w:rPr>
                <w:rFonts w:ascii="方正书宋_GBK" w:eastAsia="方正书宋_GBK"/>
                <w:b/>
              </w:rPr>
              <w:t xml:space="preserve">  单位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数量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单价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政府采购金额（当年部门预算安排资金）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预算资金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129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9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9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1"/>
              <w:rPr>
                <w:rFonts w:eastAsia="方正仿宋_GBK"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一般公共预算拨款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基金预算拨款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国有资本经营预算拨款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财政专户核拨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　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小标宋_GBK" w:eastAsia="方正小标宋_GBK"/>
                <w:sz w:val="24"/>
                <w:lang w:eastAsia="zh-CN"/>
              </w:rPr>
              <w:t>兴隆县医疗保障局</w:t>
            </w:r>
            <w:r>
              <w:rPr>
                <w:rFonts w:hint="eastAsia" w:ascii="方正书宋_GBK" w:eastAsia="方正书宋_GBK"/>
                <w:b/>
              </w:rPr>
              <w:t>小计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注：无政府采购预算，空表列示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560"/>
        <w:textAlignment w:val="auto"/>
        <w:rPr>
          <w:rFonts w:hint="eastAsia" w:ascii="宋体" w:hAnsi="宋体" w:eastAsia="宋体" w:cs="宋体"/>
          <w:sz w:val="28"/>
          <w:szCs w:val="28"/>
        </w:rPr>
      </w:pPr>
      <w:bookmarkStart w:id="3" w:name="_GoBack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、国有资产信息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详情如下图。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6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年国有资产占有情况：</w:t>
      </w:r>
    </w:p>
    <w:tbl>
      <w:tblPr>
        <w:tblStyle w:val="4"/>
        <w:tblW w:w="12105" w:type="dxa"/>
        <w:tblInd w:w="99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130"/>
        <w:gridCol w:w="990"/>
        <w:gridCol w:w="930"/>
        <w:gridCol w:w="965"/>
        <w:gridCol w:w="985"/>
        <w:gridCol w:w="1230"/>
        <w:gridCol w:w="1380"/>
        <w:gridCol w:w="1290"/>
        <w:gridCol w:w="1440"/>
      </w:tblGrid>
      <w:tr>
        <w:tblPrEx>
          <w:shd w:val="clear" w:color="auto" w:fill="auto"/>
        </w:tblPrEx>
        <w:trPr>
          <w:trHeight w:val="292" w:hRule="atLeast"/>
        </w:trPr>
        <w:tc>
          <w:tcPr>
            <w:tcW w:w="76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行号</w:t>
            </w:r>
          </w:p>
        </w:tc>
        <w:tc>
          <w:tcPr>
            <w:tcW w:w="21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资产大类</w:t>
            </w:r>
          </w:p>
        </w:tc>
        <w:tc>
          <w:tcPr>
            <w:tcW w:w="3870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期初</w:t>
            </w:r>
          </w:p>
        </w:tc>
        <w:tc>
          <w:tcPr>
            <w:tcW w:w="5340" w:type="dxa"/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76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数量/面积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原值</w:t>
            </w:r>
          </w:p>
        </w:tc>
        <w:tc>
          <w:tcPr>
            <w:tcW w:w="96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累计折旧</w:t>
            </w:r>
          </w:p>
        </w:tc>
        <w:tc>
          <w:tcPr>
            <w:tcW w:w="98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净值</w:t>
            </w:r>
          </w:p>
        </w:tc>
        <w:tc>
          <w:tcPr>
            <w:tcW w:w="12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数量/面积</w:t>
            </w:r>
          </w:p>
        </w:tc>
        <w:tc>
          <w:tcPr>
            <w:tcW w:w="138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原值</w:t>
            </w:r>
          </w:p>
        </w:tc>
        <w:tc>
          <w:tcPr>
            <w:tcW w:w="129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累计折旧</w:t>
            </w:r>
          </w:p>
        </w:tc>
        <w:tc>
          <w:tcPr>
            <w:tcW w:w="144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净值</w:t>
            </w:r>
          </w:p>
        </w:tc>
      </w:tr>
      <w:tr>
        <w:tblPrEx>
          <w:shd w:val="clear" w:color="auto" w:fill="auto"/>
        </w:tblPrEx>
        <w:trPr>
          <w:trHeight w:val="262" w:hRule="atLeast"/>
        </w:trPr>
        <w:tc>
          <w:tcPr>
            <w:tcW w:w="76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292" w:hRule="atLeast"/>
        </w:trPr>
        <w:tc>
          <w:tcPr>
            <w:tcW w:w="7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1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568,860.02</w:t>
            </w:r>
          </w:p>
        </w:tc>
        <w:tc>
          <w:tcPr>
            <w:tcW w:w="12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15,167.80</w:t>
            </w:r>
          </w:p>
        </w:tc>
        <w:tc>
          <w:tcPr>
            <w:tcW w:w="1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553,692.22</w:t>
            </w:r>
          </w:p>
        </w:tc>
      </w:tr>
      <w:tr>
        <w:tblPrEx>
          <w:shd w:val="clear" w:color="auto" w:fill="auto"/>
        </w:tblPrEx>
        <w:trPr>
          <w:trHeight w:val="292" w:hRule="atLeast"/>
        </w:trPr>
        <w:tc>
          <w:tcPr>
            <w:tcW w:w="7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土地、房屋及构筑物</w:t>
            </w:r>
          </w:p>
        </w:tc>
        <w:tc>
          <w:tcPr>
            <w:tcW w:w="9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9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blPrEx>
          <w:shd w:val="clear" w:color="auto" w:fill="auto"/>
        </w:tblPrEx>
        <w:trPr>
          <w:trHeight w:val="292" w:hRule="atLeast"/>
        </w:trPr>
        <w:tc>
          <w:tcPr>
            <w:tcW w:w="7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1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通用设备</w:t>
            </w:r>
          </w:p>
        </w:tc>
        <w:tc>
          <w:tcPr>
            <w:tcW w:w="9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418949.69</w:t>
            </w:r>
          </w:p>
        </w:tc>
        <w:tc>
          <w:tcPr>
            <w:tcW w:w="12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138427.78</w:t>
            </w:r>
          </w:p>
        </w:tc>
        <w:tc>
          <w:tcPr>
            <w:tcW w:w="1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280521.91</w:t>
            </w:r>
          </w:p>
        </w:tc>
      </w:tr>
      <w:tr>
        <w:tblPrEx>
          <w:shd w:val="clear" w:color="auto" w:fill="auto"/>
        </w:tblPrEx>
        <w:trPr>
          <w:trHeight w:val="292" w:hRule="atLeast"/>
        </w:trPr>
        <w:tc>
          <w:tcPr>
            <w:tcW w:w="7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1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专用设备</w:t>
            </w:r>
          </w:p>
        </w:tc>
        <w:tc>
          <w:tcPr>
            <w:tcW w:w="9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rPr>
          <w:trHeight w:val="292" w:hRule="atLeast"/>
        </w:trPr>
        <w:tc>
          <w:tcPr>
            <w:tcW w:w="7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1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文物和陈列品</w:t>
            </w:r>
          </w:p>
        </w:tc>
        <w:tc>
          <w:tcPr>
            <w:tcW w:w="9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rPr>
          <w:trHeight w:val="292" w:hRule="atLeast"/>
        </w:trPr>
        <w:tc>
          <w:tcPr>
            <w:tcW w:w="7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1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图书、档案</w:t>
            </w:r>
          </w:p>
        </w:tc>
        <w:tc>
          <w:tcPr>
            <w:tcW w:w="9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</w:tr>
      <w:tr>
        <w:trPr>
          <w:trHeight w:val="292" w:hRule="atLeast"/>
        </w:trPr>
        <w:tc>
          <w:tcPr>
            <w:tcW w:w="7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1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家具、用具、装具及动植物</w:t>
            </w:r>
          </w:p>
        </w:tc>
        <w:tc>
          <w:tcPr>
            <w:tcW w:w="9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62078.34</w:t>
            </w:r>
          </w:p>
        </w:tc>
        <w:tc>
          <w:tcPr>
            <w:tcW w:w="12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1309.55</w:t>
            </w:r>
          </w:p>
        </w:tc>
        <w:tc>
          <w:tcPr>
            <w:tcW w:w="1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60768.79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1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无形资产</w:t>
            </w:r>
          </w:p>
        </w:tc>
        <w:tc>
          <w:tcPr>
            <w:tcW w:w="9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6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9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2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7890</w:t>
            </w:r>
          </w:p>
        </w:tc>
        <w:tc>
          <w:tcPr>
            <w:tcW w:w="12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14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bidi w:val="0"/>
              <w:snapToGrid/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6590</w:t>
            </w:r>
          </w:p>
        </w:tc>
      </w:tr>
    </w:tbl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说明：通用设备里含公务用车两辆。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1、一般公共预算拨款预算收入：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本级</w:t>
      </w:r>
      <w:r>
        <w:rPr>
          <w:rFonts w:hint="eastAsia" w:ascii="宋体" w:hAnsi="宋体" w:eastAsia="宋体" w:cs="宋体"/>
          <w:sz w:val="28"/>
          <w:szCs w:val="28"/>
        </w:rPr>
        <w:t>财政当年拨付的资金。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2、基本支出：为保障机构正常运转，完成日常工作任务，而发生的人员支出和公用支出。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3、项目支出：是指在基本支出之外，为完成特定行政任务和事业发展目标，而发生的支出。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机关运行费：是指为保证行政单位（包括参照公务员管理的事业单位）运行，用于购买货物和服务的各项资金。主要包括：办公费、印刷费，水费、电费、邮电费、福利费、日常维修费、办公取暖费、办公物业服务费、公务车运行维护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5、三公经费：指财政拨款安排给相关部门及其所属单位，用于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因公出国（境）经费、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instrText xml:space="preserve"> HYPERLINK "https://baike.sogou.com/lemma/ShowInnerLink.htm?lemmaId=10619010&amp;ss_c=ssc.citiao.link" \t "_blank" </w:instrTex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公务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  <w:lang w:val="en-US" w:eastAsia="zh-CN"/>
        </w:rPr>
        <w:t>用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t>车</w:t>
      </w:r>
      <w:r>
        <w:rPr>
          <w:rStyle w:val="6"/>
          <w:rFonts w:hint="eastAsia" w:ascii="宋体" w:hAnsi="宋体" w:eastAsia="宋体" w:cs="宋体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购置及运行费、公务招待费。其中，因公出国费反映单位工作人员公务出国的住宿费、旅费、伙食补助费、杂费、培训费等支出；公务用车购置及运行费反映单位公务用车购置费及租用费、燃料费、维修费、路桥费、保险费、安全奖励费等支出，公务接待费反映单位按规定开支的各类公务接待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2" w:firstLineChars="200"/>
        <w:jc w:val="left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九、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其他需要说明的事项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我部门无其他需要说明的事项。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十、预算批复时间及文号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预算批准日为20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日，批复文件文号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兴</w:t>
      </w:r>
      <w:r>
        <w:rPr>
          <w:rFonts w:hint="eastAsia" w:ascii="宋体" w:hAnsi="宋体" w:eastAsia="宋体" w:cs="宋体"/>
          <w:sz w:val="28"/>
          <w:szCs w:val="28"/>
        </w:rPr>
        <w:t>财预[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]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hint="eastAsia" w:ascii="宋体" w:hAnsi="宋体" w:eastAsia="宋体" w:cs="宋体"/>
          <w:sz w:val="28"/>
          <w:szCs w:val="28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hint="eastAsia" w:ascii="宋体" w:hAnsi="宋体" w:eastAsia="宋体" w:cs="宋体"/>
          <w:sz w:val="28"/>
          <w:szCs w:val="28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hint="eastAsia" w:ascii="宋体" w:hAnsi="宋体" w:eastAsia="宋体" w:cs="宋体"/>
          <w:sz w:val="28"/>
          <w:szCs w:val="28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ascii="Arial" w:hAnsi="Arial" w:eastAsia="Arial"/>
          <w:sz w:val="20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rPr>
          <w:rFonts w:hint="eastAsia" w:ascii="Arial" w:hAnsi="Arial" w:eastAsia="Arial"/>
          <w:sz w:val="20"/>
          <w:lang w:val="en-US" w:eastAsia="zh-CN"/>
        </w:rPr>
      </w:pPr>
    </w:p>
    <w:sectPr>
      <w:pgSz w:w="16838" w:h="11906" w:orient="landscape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18F2D"/>
    <w:multiLevelType w:val="singleLevel"/>
    <w:tmpl w:val="58818F2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045D06E"/>
    <w:multiLevelType w:val="singleLevel"/>
    <w:tmpl w:val="6045D06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YWU1NmZmOWJiZmNiNTJkODBlMzY2OTdkNWEyZjIifQ=="/>
  </w:docVars>
  <w:rsids>
    <w:rsidRoot w:val="268E5F20"/>
    <w:rsid w:val="02912859"/>
    <w:rsid w:val="03B70EBC"/>
    <w:rsid w:val="049464B3"/>
    <w:rsid w:val="079551C1"/>
    <w:rsid w:val="07C8419F"/>
    <w:rsid w:val="081C3F5C"/>
    <w:rsid w:val="088847FB"/>
    <w:rsid w:val="08CE2721"/>
    <w:rsid w:val="0B784931"/>
    <w:rsid w:val="0DC154F2"/>
    <w:rsid w:val="0FD025F2"/>
    <w:rsid w:val="10113441"/>
    <w:rsid w:val="10237BF2"/>
    <w:rsid w:val="102A078A"/>
    <w:rsid w:val="14506180"/>
    <w:rsid w:val="15C21C44"/>
    <w:rsid w:val="15C73990"/>
    <w:rsid w:val="17950D5E"/>
    <w:rsid w:val="1A3F3BBD"/>
    <w:rsid w:val="1ABB373F"/>
    <w:rsid w:val="1BCB1097"/>
    <w:rsid w:val="1C7E6D28"/>
    <w:rsid w:val="1CDD4CD9"/>
    <w:rsid w:val="1D6472CD"/>
    <w:rsid w:val="1EE077C0"/>
    <w:rsid w:val="1F5E094C"/>
    <w:rsid w:val="1F903490"/>
    <w:rsid w:val="20396E19"/>
    <w:rsid w:val="206E6163"/>
    <w:rsid w:val="20DC42AF"/>
    <w:rsid w:val="23C339CD"/>
    <w:rsid w:val="244A5840"/>
    <w:rsid w:val="25261DFF"/>
    <w:rsid w:val="268E5F20"/>
    <w:rsid w:val="278A405D"/>
    <w:rsid w:val="2C8C03CD"/>
    <w:rsid w:val="2D6E1E78"/>
    <w:rsid w:val="2E817B0D"/>
    <w:rsid w:val="305C3047"/>
    <w:rsid w:val="314C78BD"/>
    <w:rsid w:val="31571673"/>
    <w:rsid w:val="324E14E7"/>
    <w:rsid w:val="34AA1534"/>
    <w:rsid w:val="34C81C18"/>
    <w:rsid w:val="356D3290"/>
    <w:rsid w:val="376E60C5"/>
    <w:rsid w:val="379A1489"/>
    <w:rsid w:val="39F92249"/>
    <w:rsid w:val="3AAA2740"/>
    <w:rsid w:val="3B997132"/>
    <w:rsid w:val="3BE65CB0"/>
    <w:rsid w:val="3E402CDF"/>
    <w:rsid w:val="40960F00"/>
    <w:rsid w:val="409E6C80"/>
    <w:rsid w:val="41B36B03"/>
    <w:rsid w:val="43D34C26"/>
    <w:rsid w:val="4468351B"/>
    <w:rsid w:val="44B75B44"/>
    <w:rsid w:val="4530014B"/>
    <w:rsid w:val="456C5544"/>
    <w:rsid w:val="47683413"/>
    <w:rsid w:val="49342E81"/>
    <w:rsid w:val="4A0B1E60"/>
    <w:rsid w:val="4B036AFA"/>
    <w:rsid w:val="4B12159C"/>
    <w:rsid w:val="4B5D7C8C"/>
    <w:rsid w:val="4B876712"/>
    <w:rsid w:val="4BD540A5"/>
    <w:rsid w:val="521B1494"/>
    <w:rsid w:val="53131242"/>
    <w:rsid w:val="54A56DC5"/>
    <w:rsid w:val="555165DF"/>
    <w:rsid w:val="55BB3320"/>
    <w:rsid w:val="60BE1C79"/>
    <w:rsid w:val="62EB3A09"/>
    <w:rsid w:val="65E54F25"/>
    <w:rsid w:val="6659283D"/>
    <w:rsid w:val="68BA2B4B"/>
    <w:rsid w:val="718C0B4E"/>
    <w:rsid w:val="722C7E36"/>
    <w:rsid w:val="74D62AE6"/>
    <w:rsid w:val="77A57EBE"/>
    <w:rsid w:val="797430CE"/>
    <w:rsid w:val="7A2C761F"/>
    <w:rsid w:val="7E073487"/>
    <w:rsid w:val="7E414133"/>
    <w:rsid w:val="7EDF45A6"/>
    <w:rsid w:val="7FFD0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eastAsia="方正小标宋_GBK" w:asciiTheme="majorHAnsi" w:hAnsiTheme="majorHAnsi" w:cstheme="majorBidi"/>
      <w:bCs/>
      <w:sz w:val="36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[Normal]"/>
    <w:qFormat/>
    <w:uiPriority w:val="6"/>
    <w:rPr>
      <w:rFonts w:ascii="宋体" w:hAnsi="宋体" w:eastAsia="宋体" w:cs="Times New Roman"/>
      <w:color w:val="auto"/>
      <w:position w:val="0"/>
      <w:sz w:val="24"/>
      <w:u w:val="none"/>
      <w:shd w:val="clear" w:color="auto" w:fill="aut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3197</Words>
  <Characters>3516</Characters>
  <Lines>0</Lines>
  <Paragraphs>0</Paragraphs>
  <TotalTime>3</TotalTime>
  <ScaleCrop>false</ScaleCrop>
  <LinksUpToDate>false</LinksUpToDate>
  <CharactersWithSpaces>3521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2020-02-17T07:12:00Z</dcterms:created>
  <dc:creator>cd</dc:creator>
  <cp:lastModifiedBy>Administrator</cp:lastModifiedBy>
  <dcterms:modified xsi:type="dcterms:W3CDTF">2022-09-06T07:00:26Z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BAFECA6803F348F487967470DA68DB13</vt:lpwstr>
  </property>
</Properties>
</file>