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CA318A">
      <w:pPr>
        <w:pStyle w:val="10"/>
        <w:rPr>
          <w:rFonts w:ascii="Times New Roman"/>
          <w:color w:val="auto"/>
          <w:sz w:val="20"/>
        </w:rPr>
      </w:pPr>
    </w:p>
    <w:p w14:paraId="4FC5359B">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auto"/>
          <w:sz w:val="44"/>
          <w:szCs w:val="44"/>
        </w:rPr>
      </w:pPr>
    </w:p>
    <w:p w14:paraId="6D9F128D">
      <w:pPr>
        <w:pStyle w:val="2"/>
        <w:rPr>
          <w:rFonts w:hint="default" w:ascii="Times New Roman" w:hAnsi="Times New Roman" w:eastAsia="宋体" w:cs="Times New Roman"/>
          <w:b/>
          <w:bCs/>
          <w:color w:val="auto"/>
          <w:sz w:val="44"/>
          <w:szCs w:val="44"/>
        </w:rPr>
      </w:pPr>
    </w:p>
    <w:p w14:paraId="4F7E3CD4">
      <w:pPr>
        <w:spacing w:line="360" w:lineRule="auto"/>
        <w:rPr>
          <w:b/>
          <w:bCs/>
          <w:color w:val="auto"/>
          <w:sz w:val="36"/>
          <w:szCs w:val="36"/>
        </w:rPr>
      </w:pPr>
      <w:r>
        <w:rPr>
          <w:rFonts w:hint="eastAsia"/>
          <w:b/>
          <w:bCs/>
          <w:color w:val="auto"/>
          <w:sz w:val="72"/>
          <w:szCs w:val="72"/>
        </w:rPr>
        <w:t>建设项目环境影响报告表</w:t>
      </w:r>
    </w:p>
    <w:p w14:paraId="3567C802">
      <w:pPr>
        <w:spacing w:line="360" w:lineRule="auto"/>
        <w:rPr>
          <w:b/>
          <w:bCs/>
          <w:color w:val="auto"/>
          <w:sz w:val="44"/>
          <w:szCs w:val="44"/>
        </w:rPr>
      </w:pPr>
      <w:r>
        <w:rPr>
          <w:rFonts w:hint="eastAsia"/>
          <w:b/>
          <w:bCs/>
          <w:color w:val="auto"/>
          <w:sz w:val="44"/>
          <w:szCs w:val="44"/>
        </w:rPr>
        <w:t>（污染影响类）</w:t>
      </w:r>
    </w:p>
    <w:p w14:paraId="7C7C5FAA">
      <w:pPr>
        <w:rPr>
          <w:rFonts w:hint="default" w:ascii="Times New Roman" w:hAnsi="Times New Roman" w:eastAsia="宋体" w:cs="Times New Roman"/>
          <w:b/>
          <w:bCs/>
          <w:color w:val="auto"/>
          <w:sz w:val="44"/>
          <w:szCs w:val="44"/>
        </w:rPr>
      </w:pPr>
    </w:p>
    <w:p w14:paraId="4E17806F">
      <w:pPr>
        <w:pStyle w:val="2"/>
        <w:rPr>
          <w:rFonts w:hint="default" w:ascii="Times New Roman" w:hAnsi="Times New Roman" w:eastAsia="宋体" w:cs="Times New Roman"/>
          <w:b/>
          <w:bCs/>
          <w:color w:val="auto"/>
          <w:sz w:val="44"/>
          <w:szCs w:val="44"/>
        </w:rPr>
      </w:pPr>
    </w:p>
    <w:p w14:paraId="2E7F8C8E">
      <w:pPr>
        <w:rPr>
          <w:rFonts w:hint="default"/>
          <w:color w:val="auto"/>
        </w:rPr>
      </w:pPr>
    </w:p>
    <w:p w14:paraId="46F5E603">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color w:val="auto"/>
          <w:sz w:val="36"/>
          <w:szCs w:val="36"/>
        </w:rPr>
      </w:pPr>
    </w:p>
    <w:p w14:paraId="0EE07C61">
      <w:pPr>
        <w:bidi w:val="0"/>
        <w:jc w:val="center"/>
        <w:rPr>
          <w:rFonts w:hint="default" w:ascii="Times New Roman" w:hAnsi="Times New Roman" w:eastAsia="宋体" w:cs="Times New Roman"/>
          <w:color w:val="auto"/>
          <w:sz w:val="36"/>
          <w:szCs w:val="36"/>
        </w:rPr>
      </w:pPr>
    </w:p>
    <w:p w14:paraId="565B1CBC">
      <w:pPr>
        <w:bidi w:val="0"/>
        <w:jc w:val="center"/>
        <w:rPr>
          <w:rFonts w:hint="default" w:ascii="Times New Roman" w:hAnsi="Times New Roman" w:eastAsia="宋体" w:cs="Times New Roman"/>
          <w:color w:val="auto"/>
          <w:sz w:val="36"/>
          <w:szCs w:val="36"/>
        </w:rPr>
      </w:pPr>
    </w:p>
    <w:p w14:paraId="1A20E34D">
      <w:pPr>
        <w:bidi w:val="0"/>
        <w:jc w:val="both"/>
        <w:rPr>
          <w:rFonts w:hint="default" w:ascii="Times New Roman" w:hAnsi="Times New Roman" w:eastAsia="宋体" w:cs="Times New Roman"/>
          <w:color w:val="auto"/>
          <w:sz w:val="36"/>
          <w:szCs w:val="36"/>
        </w:rPr>
      </w:pPr>
    </w:p>
    <w:p w14:paraId="48647AF3">
      <w:pPr>
        <w:bidi w:val="0"/>
        <w:jc w:val="both"/>
        <w:rPr>
          <w:rFonts w:hint="default" w:ascii="Times New Roman" w:hAnsi="Times New Roman" w:eastAsia="宋体" w:cs="Times New Roman"/>
          <w:color w:val="auto"/>
          <w:sz w:val="36"/>
          <w:szCs w:val="36"/>
        </w:rPr>
      </w:pPr>
    </w:p>
    <w:p w14:paraId="3122CC89">
      <w:pPr>
        <w:pStyle w:val="7"/>
        <w:rPr>
          <w:rFonts w:hint="default" w:ascii="Times New Roman" w:hAnsi="Times New Roman" w:eastAsia="宋体" w:cs="Times New Roman"/>
          <w:color w:val="auto"/>
          <w:lang w:val="en-US" w:eastAsia="zh-CN"/>
        </w:rPr>
      </w:pPr>
    </w:p>
    <w:p w14:paraId="4F465186">
      <w:pPr>
        <w:keepNext w:val="0"/>
        <w:keepLines w:val="0"/>
        <w:pageBreakBefore w:val="0"/>
        <w:widowControl w:val="0"/>
        <w:kinsoku/>
        <w:wordWrap/>
        <w:overflowPunct/>
        <w:topLinePunct w:val="0"/>
        <w:autoSpaceDE w:val="0"/>
        <w:autoSpaceDN w:val="0"/>
        <w:bidi w:val="0"/>
        <w:adjustRightInd/>
        <w:snapToGrid/>
        <w:spacing w:line="480" w:lineRule="auto"/>
        <w:ind w:left="1925" w:leftChars="133" w:hanging="1606" w:hangingChars="500"/>
        <w:jc w:val="both"/>
        <w:textAlignment w:val="auto"/>
        <w:rPr>
          <w:rFonts w:hint="default" w:ascii="Times New Roman" w:hAnsi="Times New Roman" w:eastAsia="宋体" w:cs="Times New Roman"/>
          <w:b/>
          <w:bCs/>
          <w:color w:val="auto"/>
          <w:sz w:val="32"/>
          <w:szCs w:val="32"/>
          <w:highlight w:val="none"/>
          <w:lang w:eastAsia="zh-CN"/>
        </w:rPr>
      </w:pPr>
      <w:r>
        <w:rPr>
          <w:rFonts w:hint="default" w:ascii="Times New Roman" w:hAnsi="Times New Roman" w:eastAsia="宋体" w:cs="Times New Roman"/>
          <w:b/>
          <w:bCs/>
          <w:color w:val="auto"/>
          <w:sz w:val="32"/>
          <w:szCs w:val="32"/>
        </w:rPr>
        <w:t>项目名称</w:t>
      </w:r>
      <w:r>
        <w:rPr>
          <w:rFonts w:hint="default" w:ascii="Times New Roman" w:hAnsi="Times New Roman" w:eastAsia="宋体" w:cs="Times New Roman"/>
          <w:b/>
          <w:bCs/>
          <w:color w:val="auto"/>
          <w:sz w:val="32"/>
          <w:szCs w:val="32"/>
          <w:highlight w:val="none"/>
        </w:rPr>
        <w:t>：</w:t>
      </w:r>
      <w:r>
        <w:rPr>
          <w:rFonts w:hint="eastAsia" w:cs="Times New Roman"/>
          <w:b/>
          <w:bCs/>
          <w:color w:val="auto"/>
          <w:sz w:val="32"/>
          <w:szCs w:val="32"/>
          <w:highlight w:val="none"/>
          <w:u w:val="single"/>
          <w:lang w:val="en-US" w:eastAsia="zh-CN"/>
        </w:rPr>
        <w:t>兴隆县宜佳贸易有限公司钢渣废料综合利用项目</w:t>
      </w:r>
    </w:p>
    <w:p w14:paraId="2D1A4E83">
      <w:pPr>
        <w:keepNext w:val="0"/>
        <w:keepLines w:val="0"/>
        <w:pageBreakBefore w:val="0"/>
        <w:widowControl w:val="0"/>
        <w:kinsoku/>
        <w:wordWrap/>
        <w:overflowPunct/>
        <w:topLinePunct w:val="0"/>
        <w:autoSpaceDE w:val="0"/>
        <w:autoSpaceDN w:val="0"/>
        <w:bidi w:val="0"/>
        <w:adjustRightInd/>
        <w:snapToGrid/>
        <w:spacing w:line="480" w:lineRule="auto"/>
        <w:ind w:firstLine="321" w:firstLineChars="100"/>
        <w:jc w:val="both"/>
        <w:textAlignment w:val="auto"/>
        <w:rPr>
          <w:rFonts w:hint="default" w:ascii="Times New Roman" w:hAnsi="Times New Roman" w:eastAsia="宋体" w:cs="Times New Roman"/>
          <w:b/>
          <w:bCs/>
          <w:color w:val="auto"/>
          <w:sz w:val="32"/>
          <w:szCs w:val="32"/>
          <w:highlight w:val="none"/>
          <w:u w:val="single"/>
          <w:lang w:eastAsia="zh-CN"/>
        </w:rPr>
      </w:pPr>
      <w:r>
        <w:rPr>
          <w:rFonts w:hint="default" w:ascii="Times New Roman" w:hAnsi="Times New Roman" w:eastAsia="宋体" w:cs="Times New Roman"/>
          <w:b/>
          <w:bCs/>
          <w:color w:val="auto"/>
          <w:sz w:val="32"/>
          <w:szCs w:val="32"/>
          <w:highlight w:val="none"/>
        </w:rPr>
        <w:t>建设单位（盖章）：</w:t>
      </w:r>
      <w:r>
        <w:rPr>
          <w:rFonts w:hint="eastAsia" w:cs="Times New Roman"/>
          <w:b/>
          <w:bCs/>
          <w:color w:val="auto"/>
          <w:sz w:val="32"/>
          <w:szCs w:val="32"/>
          <w:highlight w:val="none"/>
          <w:u w:val="single"/>
          <w:lang w:val="en-US" w:eastAsia="zh-CN"/>
        </w:rPr>
        <w:t>兴隆县宜佳贸易有限公司</w:t>
      </w:r>
    </w:p>
    <w:p w14:paraId="352648B1">
      <w:pPr>
        <w:keepNext w:val="0"/>
        <w:keepLines w:val="0"/>
        <w:pageBreakBefore w:val="0"/>
        <w:widowControl w:val="0"/>
        <w:kinsoku/>
        <w:wordWrap/>
        <w:overflowPunct/>
        <w:topLinePunct w:val="0"/>
        <w:autoSpaceDE w:val="0"/>
        <w:autoSpaceDN w:val="0"/>
        <w:bidi w:val="0"/>
        <w:adjustRightInd/>
        <w:snapToGrid/>
        <w:spacing w:line="480" w:lineRule="auto"/>
        <w:ind w:firstLine="321" w:firstLineChars="100"/>
        <w:jc w:val="both"/>
        <w:textAlignment w:val="auto"/>
        <w:rPr>
          <w:rFonts w:hint="default" w:ascii="Times New Roman" w:hAnsi="Times New Roman" w:eastAsia="宋体" w:cs="Times New Roman"/>
          <w:b/>
          <w:bCs/>
          <w:color w:val="auto"/>
          <w:sz w:val="32"/>
          <w:szCs w:val="32"/>
          <w:highlight w:val="none"/>
          <w:u w:val="single"/>
          <w:lang w:val="en-US" w:eastAsia="zh-CN"/>
        </w:rPr>
      </w:pPr>
      <w:r>
        <w:rPr>
          <w:rFonts w:hint="default" w:ascii="Times New Roman" w:hAnsi="Times New Roman" w:eastAsia="宋体" w:cs="Times New Roman"/>
          <w:b/>
          <w:bCs/>
          <w:color w:val="auto"/>
          <w:sz w:val="32"/>
          <w:szCs w:val="32"/>
          <w:highlight w:val="none"/>
        </w:rPr>
        <w:t>编制日期：</w:t>
      </w:r>
      <w:r>
        <w:rPr>
          <w:rFonts w:hint="default" w:ascii="Times New Roman" w:hAnsi="Times New Roman" w:eastAsia="宋体" w:cs="Times New Roman"/>
          <w:b/>
          <w:bCs/>
          <w:color w:val="auto"/>
          <w:sz w:val="32"/>
          <w:szCs w:val="32"/>
          <w:highlight w:val="none"/>
          <w:u w:val="single"/>
          <w:lang w:val="en-US" w:eastAsia="zh-CN"/>
        </w:rPr>
        <w:t>202</w:t>
      </w:r>
      <w:r>
        <w:rPr>
          <w:rFonts w:hint="eastAsia" w:cs="Times New Roman"/>
          <w:b/>
          <w:bCs/>
          <w:color w:val="auto"/>
          <w:sz w:val="32"/>
          <w:szCs w:val="32"/>
          <w:highlight w:val="none"/>
          <w:u w:val="single"/>
          <w:lang w:val="en-US" w:eastAsia="zh-CN"/>
        </w:rPr>
        <w:t>4</w:t>
      </w:r>
      <w:r>
        <w:rPr>
          <w:rFonts w:hint="default" w:ascii="Times New Roman" w:hAnsi="Times New Roman" w:eastAsia="宋体" w:cs="Times New Roman"/>
          <w:b/>
          <w:bCs/>
          <w:color w:val="auto"/>
          <w:sz w:val="32"/>
          <w:szCs w:val="32"/>
          <w:highlight w:val="none"/>
          <w:u w:val="single"/>
          <w:lang w:val="en-US" w:eastAsia="zh-CN"/>
        </w:rPr>
        <w:t>年</w:t>
      </w:r>
      <w:r>
        <w:rPr>
          <w:rFonts w:hint="eastAsia" w:cs="Times New Roman"/>
          <w:b/>
          <w:bCs/>
          <w:color w:val="auto"/>
          <w:sz w:val="32"/>
          <w:szCs w:val="32"/>
          <w:highlight w:val="none"/>
          <w:u w:val="single"/>
          <w:lang w:val="en-US" w:eastAsia="zh-CN"/>
        </w:rPr>
        <w:t>4</w:t>
      </w:r>
      <w:r>
        <w:rPr>
          <w:rFonts w:hint="default" w:ascii="Times New Roman" w:hAnsi="Times New Roman" w:eastAsia="宋体" w:cs="Times New Roman"/>
          <w:b/>
          <w:bCs/>
          <w:color w:val="auto"/>
          <w:sz w:val="32"/>
          <w:szCs w:val="32"/>
          <w:highlight w:val="none"/>
          <w:u w:val="single"/>
          <w:lang w:val="en-US" w:eastAsia="zh-CN"/>
        </w:rPr>
        <w:t>月</w:t>
      </w:r>
    </w:p>
    <w:p w14:paraId="4970E761">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auto"/>
          <w:sz w:val="36"/>
          <w:szCs w:val="36"/>
        </w:rPr>
      </w:pPr>
    </w:p>
    <w:p w14:paraId="695C5556">
      <w:pPr>
        <w:bidi w:val="0"/>
        <w:jc w:val="center"/>
        <w:rPr>
          <w:rFonts w:hint="default" w:ascii="Times New Roman" w:hAnsi="Times New Roman" w:eastAsia="宋体" w:cs="Times New Roman"/>
          <w:color w:val="auto"/>
          <w:sz w:val="36"/>
          <w:szCs w:val="36"/>
        </w:rPr>
      </w:pPr>
    </w:p>
    <w:p w14:paraId="43A7C4B4">
      <w:pPr>
        <w:bidi w:val="0"/>
        <w:jc w:val="center"/>
        <w:rPr>
          <w:rFonts w:hint="default" w:ascii="Times New Roman" w:hAnsi="Times New Roman" w:eastAsia="宋体" w:cs="Times New Roman"/>
          <w:color w:val="auto"/>
          <w:sz w:val="36"/>
          <w:szCs w:val="36"/>
        </w:rPr>
      </w:pPr>
    </w:p>
    <w:p w14:paraId="0F69EADD">
      <w:pPr>
        <w:bidi w:val="0"/>
        <w:jc w:val="center"/>
        <w:rPr>
          <w:rFonts w:hint="default" w:ascii="Times New Roman" w:hAnsi="Times New Roman" w:eastAsia="宋体" w:cs="Times New Roman"/>
          <w:color w:val="auto"/>
          <w:sz w:val="36"/>
          <w:szCs w:val="36"/>
        </w:rPr>
      </w:pPr>
    </w:p>
    <w:p w14:paraId="46E19648">
      <w:pPr>
        <w:jc w:val="both"/>
        <w:rPr>
          <w:rFonts w:hint="default" w:ascii="Times New Roman" w:hAnsi="Times New Roman" w:eastAsia="宋体" w:cs="Times New Roman"/>
          <w:color w:val="auto"/>
          <w:sz w:val="36"/>
          <w:szCs w:val="36"/>
        </w:rPr>
      </w:pPr>
    </w:p>
    <w:p w14:paraId="11055D2B">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z w:val="36"/>
          <w:szCs w:val="36"/>
        </w:rPr>
        <w:t>中华人民共和国生态环境部制</w:t>
      </w:r>
    </w:p>
    <w:p w14:paraId="33B0229B">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color w:val="auto"/>
          <w:u w:val="single"/>
        </w:rPr>
        <w:sectPr>
          <w:footerReference r:id="rId5" w:type="default"/>
          <w:footerReference r:id="rId6" w:type="even"/>
          <w:pgSz w:w="11850" w:h="16783"/>
          <w:pgMar w:top="1440" w:right="1440" w:bottom="1440" w:left="1440" w:header="720" w:footer="1043" w:gutter="0"/>
          <w:pgBorders>
            <w:top w:val="none" w:sz="0" w:space="0"/>
            <w:left w:val="none" w:sz="0" w:space="0"/>
            <w:bottom w:val="none" w:sz="0" w:space="0"/>
            <w:right w:val="none" w:sz="0" w:space="0"/>
          </w:pgBorders>
          <w:pgNumType w:start="3"/>
          <w:cols w:space="720" w:num="1"/>
        </w:sectPr>
      </w:pPr>
    </w:p>
    <w:p w14:paraId="75CA64F2">
      <w:pPr>
        <w:pStyle w:val="4"/>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rPr>
        <w:t>一、建设项目基本情况</w:t>
      </w:r>
    </w:p>
    <w:tbl>
      <w:tblPr>
        <w:tblStyle w:val="21"/>
        <w:tblW w:w="0" w:type="auto"/>
        <w:tblInd w:w="1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7"/>
        <w:gridCol w:w="647"/>
        <w:gridCol w:w="2343"/>
        <w:gridCol w:w="2213"/>
        <w:gridCol w:w="2638"/>
      </w:tblGrid>
      <w:tr w14:paraId="1A1CA8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674" w:type="dxa"/>
            <w:gridSpan w:val="2"/>
            <w:tcBorders>
              <w:bottom w:val="single" w:color="000000" w:sz="4" w:space="0"/>
              <w:right w:val="single" w:color="000000" w:sz="4" w:space="0"/>
            </w:tcBorders>
            <w:vAlign w:val="center"/>
          </w:tcPr>
          <w:p w14:paraId="6D65B2C3">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建设项目名称</w:t>
            </w:r>
          </w:p>
        </w:tc>
        <w:tc>
          <w:tcPr>
            <w:tcW w:w="7194" w:type="dxa"/>
            <w:gridSpan w:val="3"/>
            <w:tcBorders>
              <w:left w:val="single" w:color="000000" w:sz="4" w:space="0"/>
              <w:bottom w:val="single" w:color="000000" w:sz="4" w:space="0"/>
            </w:tcBorders>
            <w:vAlign w:val="center"/>
          </w:tcPr>
          <w:p w14:paraId="4B6482A5">
            <w:pPr>
              <w:bidi w:val="0"/>
              <w:jc w:val="center"/>
              <w:rPr>
                <w:rFonts w:hint="default" w:ascii="Times New Roman" w:hAnsi="Times New Roman" w:eastAsia="宋体" w:cs="Times New Roman"/>
                <w:color w:val="auto"/>
                <w:lang w:val="en-US"/>
              </w:rPr>
            </w:pPr>
            <w:r>
              <w:rPr>
                <w:rFonts w:hint="eastAsia" w:cs="Times New Roman"/>
                <w:color w:val="auto"/>
                <w:highlight w:val="none"/>
                <w:lang w:val="en-US" w:eastAsia="zh-CN"/>
              </w:rPr>
              <w:t>兴隆县宜佳贸易有限公司钢渣废料综合利用项目</w:t>
            </w:r>
          </w:p>
        </w:tc>
      </w:tr>
      <w:tr w14:paraId="6CDEDE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674" w:type="dxa"/>
            <w:gridSpan w:val="2"/>
            <w:tcBorders>
              <w:top w:val="single" w:color="000000" w:sz="4" w:space="0"/>
              <w:bottom w:val="single" w:color="000000" w:sz="4" w:space="0"/>
              <w:right w:val="single" w:color="000000" w:sz="4" w:space="0"/>
            </w:tcBorders>
            <w:vAlign w:val="center"/>
          </w:tcPr>
          <w:p w14:paraId="35733C37">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项目代码</w:t>
            </w:r>
          </w:p>
        </w:tc>
        <w:tc>
          <w:tcPr>
            <w:tcW w:w="7194" w:type="dxa"/>
            <w:gridSpan w:val="3"/>
            <w:tcBorders>
              <w:top w:val="single" w:color="000000" w:sz="4" w:space="0"/>
              <w:left w:val="single" w:color="000000" w:sz="4" w:space="0"/>
              <w:bottom w:val="single" w:color="000000" w:sz="4" w:space="0"/>
            </w:tcBorders>
            <w:vAlign w:val="center"/>
          </w:tcPr>
          <w:p w14:paraId="209089F9">
            <w:pPr>
              <w:bidi w:val="0"/>
              <w:rPr>
                <w:rFonts w:hint="default" w:ascii="Times New Roman" w:hAnsi="Times New Roman" w:eastAsia="宋体" w:cs="Times New Roman"/>
                <w:color w:val="auto"/>
                <w:lang w:val="en-US" w:eastAsia="zh-CN"/>
              </w:rPr>
            </w:pPr>
            <w:r>
              <w:rPr>
                <w:rFonts w:hint="eastAsia" w:cs="Times New Roman"/>
                <w:color w:val="auto"/>
                <w:lang w:val="en-US" w:eastAsia="zh-CN"/>
              </w:rPr>
              <w:t>2404-130822-89-01-810147</w:t>
            </w:r>
          </w:p>
        </w:tc>
      </w:tr>
      <w:tr w14:paraId="3D22F4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674" w:type="dxa"/>
            <w:gridSpan w:val="2"/>
            <w:tcBorders>
              <w:top w:val="single" w:color="000000" w:sz="4" w:space="0"/>
              <w:bottom w:val="single" w:color="000000" w:sz="4" w:space="0"/>
              <w:right w:val="single" w:color="000000" w:sz="4" w:space="0"/>
            </w:tcBorders>
            <w:vAlign w:val="center"/>
          </w:tcPr>
          <w:p w14:paraId="3E9F6A9A">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建设单位联系人</w:t>
            </w:r>
          </w:p>
        </w:tc>
        <w:tc>
          <w:tcPr>
            <w:tcW w:w="2343" w:type="dxa"/>
            <w:tcBorders>
              <w:top w:val="single" w:color="000000" w:sz="4" w:space="0"/>
              <w:left w:val="single" w:color="000000" w:sz="4" w:space="0"/>
              <w:bottom w:val="single" w:color="000000" w:sz="4" w:space="0"/>
              <w:right w:val="single" w:color="000000" w:sz="4" w:space="0"/>
            </w:tcBorders>
            <w:vAlign w:val="center"/>
          </w:tcPr>
          <w:p w14:paraId="765C8569">
            <w:pPr>
              <w:bidi w:val="0"/>
              <w:rPr>
                <w:rFonts w:hint="default" w:ascii="Times New Roman" w:hAnsi="Times New Roman" w:eastAsia="宋体" w:cs="Times New Roman"/>
                <w:color w:val="auto"/>
                <w:lang w:eastAsia="zh-CN"/>
              </w:rPr>
            </w:pPr>
            <w:r>
              <w:rPr>
                <w:rFonts w:hint="eastAsia" w:cs="Times New Roman"/>
                <w:color w:val="auto"/>
                <w:lang w:eastAsia="zh-CN"/>
              </w:rPr>
              <w:t>张占洋</w:t>
            </w:r>
          </w:p>
        </w:tc>
        <w:tc>
          <w:tcPr>
            <w:tcW w:w="2213" w:type="dxa"/>
            <w:tcBorders>
              <w:top w:val="single" w:color="000000" w:sz="4" w:space="0"/>
              <w:left w:val="single" w:color="000000" w:sz="4" w:space="0"/>
              <w:bottom w:val="single" w:color="000000" w:sz="4" w:space="0"/>
              <w:right w:val="single" w:color="000000" w:sz="4" w:space="0"/>
            </w:tcBorders>
            <w:vAlign w:val="center"/>
          </w:tcPr>
          <w:p w14:paraId="5C447DBC">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联系方式</w:t>
            </w:r>
          </w:p>
        </w:tc>
        <w:tc>
          <w:tcPr>
            <w:tcW w:w="2638" w:type="dxa"/>
            <w:tcBorders>
              <w:top w:val="single" w:color="000000" w:sz="4" w:space="0"/>
              <w:left w:val="single" w:color="000000" w:sz="4" w:space="0"/>
              <w:bottom w:val="single" w:color="000000" w:sz="4" w:space="0"/>
            </w:tcBorders>
            <w:vAlign w:val="center"/>
          </w:tcPr>
          <w:p w14:paraId="6B824460">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15022486888</w:t>
            </w:r>
          </w:p>
        </w:tc>
      </w:tr>
      <w:tr w14:paraId="6E49B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7" w:hRule="atLeast"/>
        </w:trPr>
        <w:tc>
          <w:tcPr>
            <w:tcW w:w="1674" w:type="dxa"/>
            <w:gridSpan w:val="2"/>
            <w:tcBorders>
              <w:top w:val="single" w:color="000000" w:sz="4" w:space="0"/>
              <w:bottom w:val="single" w:color="000000" w:sz="4" w:space="0"/>
              <w:right w:val="single" w:color="000000" w:sz="4" w:space="0"/>
            </w:tcBorders>
            <w:vAlign w:val="center"/>
          </w:tcPr>
          <w:p w14:paraId="022F3106">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建设地点</w:t>
            </w:r>
          </w:p>
        </w:tc>
        <w:tc>
          <w:tcPr>
            <w:tcW w:w="7194" w:type="dxa"/>
            <w:gridSpan w:val="3"/>
            <w:tcBorders>
              <w:top w:val="single" w:color="000000" w:sz="4" w:space="0"/>
              <w:left w:val="single" w:color="000000" w:sz="4" w:space="0"/>
              <w:bottom w:val="single" w:color="000000" w:sz="4" w:space="0"/>
            </w:tcBorders>
            <w:vAlign w:val="center"/>
          </w:tcPr>
          <w:p w14:paraId="5AFBC11E">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eastAsia="zh-CN"/>
              </w:rPr>
              <w:t>河北</w:t>
            </w:r>
            <w:r>
              <w:rPr>
                <w:rFonts w:hint="default" w:ascii="Times New Roman" w:hAnsi="Times New Roman" w:eastAsia="宋体" w:cs="Times New Roman"/>
                <w:color w:val="auto"/>
                <w:highlight w:val="none"/>
              </w:rPr>
              <w:t>省</w:t>
            </w:r>
            <w:r>
              <w:rPr>
                <w:rFonts w:hint="default" w:ascii="Times New Roman" w:hAnsi="Times New Roman" w:eastAsia="宋体" w:cs="Times New Roman"/>
                <w:color w:val="auto"/>
                <w:highlight w:val="none"/>
                <w:lang w:eastAsia="zh-CN"/>
              </w:rPr>
              <w:t>承德市</w:t>
            </w:r>
            <w:r>
              <w:rPr>
                <w:rFonts w:hint="default" w:ascii="Times New Roman" w:hAnsi="Times New Roman" w:eastAsia="宋体" w:cs="Times New Roman"/>
                <w:color w:val="auto"/>
                <w:highlight w:val="none"/>
                <w:lang w:val="en-US" w:eastAsia="zh-CN"/>
              </w:rPr>
              <w:t>兴隆县平安堡镇</w:t>
            </w:r>
            <w:r>
              <w:rPr>
                <w:rFonts w:hint="eastAsia" w:cs="Times New Roman"/>
                <w:color w:val="auto"/>
                <w:highlight w:val="none"/>
                <w:lang w:val="en-US" w:eastAsia="zh-CN"/>
              </w:rPr>
              <w:t>经济开发区</w:t>
            </w:r>
          </w:p>
        </w:tc>
      </w:tr>
      <w:tr w14:paraId="6AC493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3" w:hRule="atLeast"/>
        </w:trPr>
        <w:tc>
          <w:tcPr>
            <w:tcW w:w="1674" w:type="dxa"/>
            <w:gridSpan w:val="2"/>
            <w:tcBorders>
              <w:top w:val="single" w:color="000000" w:sz="4" w:space="0"/>
              <w:bottom w:val="single" w:color="000000" w:sz="4" w:space="0"/>
              <w:right w:val="single" w:color="000000" w:sz="4" w:space="0"/>
            </w:tcBorders>
            <w:vAlign w:val="center"/>
          </w:tcPr>
          <w:p w14:paraId="02E0E298">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地理坐标</w:t>
            </w:r>
          </w:p>
        </w:tc>
        <w:tc>
          <w:tcPr>
            <w:tcW w:w="7194" w:type="dxa"/>
            <w:gridSpan w:val="3"/>
            <w:tcBorders>
              <w:top w:val="single" w:color="000000" w:sz="4" w:space="0"/>
              <w:left w:val="single" w:color="000000" w:sz="4" w:space="0"/>
              <w:bottom w:val="single" w:color="000000" w:sz="4" w:space="0"/>
            </w:tcBorders>
            <w:vAlign w:val="center"/>
          </w:tcPr>
          <w:p w14:paraId="46359C78">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117</w:t>
            </w:r>
            <w:r>
              <w:rPr>
                <w:rFonts w:hint="default" w:ascii="Times New Roman" w:hAnsi="Times New Roman" w:eastAsia="宋体" w:cs="Times New Roman"/>
                <w:color w:val="auto"/>
              </w:rPr>
              <w:t>度</w:t>
            </w:r>
            <w:r>
              <w:rPr>
                <w:rFonts w:hint="default" w:ascii="Times New Roman" w:hAnsi="Times New Roman" w:eastAsia="宋体" w:cs="Times New Roman"/>
                <w:color w:val="auto"/>
                <w:lang w:val="en-US" w:eastAsia="zh-CN"/>
              </w:rPr>
              <w:t>3</w:t>
            </w:r>
            <w:r>
              <w:rPr>
                <w:rFonts w:hint="eastAsia" w:cs="Times New Roman"/>
                <w:color w:val="auto"/>
                <w:lang w:val="en-US" w:eastAsia="zh-CN"/>
              </w:rPr>
              <w:t>5</w:t>
            </w:r>
            <w:r>
              <w:rPr>
                <w:rFonts w:hint="default" w:ascii="Times New Roman" w:hAnsi="Times New Roman" w:eastAsia="宋体" w:cs="Times New Roman"/>
                <w:color w:val="auto"/>
              </w:rPr>
              <w:t>分</w:t>
            </w:r>
            <w:r>
              <w:rPr>
                <w:rFonts w:hint="eastAsia" w:cs="Times New Roman"/>
                <w:color w:val="auto"/>
                <w:lang w:val="en-US" w:eastAsia="zh-CN"/>
              </w:rPr>
              <w:t>30.136</w:t>
            </w:r>
            <w:r>
              <w:rPr>
                <w:rFonts w:hint="default" w:ascii="Times New Roman" w:hAnsi="Times New Roman" w:eastAsia="宋体" w:cs="Times New Roman"/>
                <w:color w:val="auto"/>
              </w:rPr>
              <w:t>秒，</w:t>
            </w:r>
            <w:r>
              <w:rPr>
                <w:rFonts w:hint="default" w:ascii="Times New Roman" w:hAnsi="Times New Roman" w:eastAsia="宋体" w:cs="Times New Roman"/>
                <w:color w:val="auto"/>
                <w:lang w:val="en-US" w:eastAsia="zh-CN"/>
              </w:rPr>
              <w:t>40</w:t>
            </w:r>
            <w:r>
              <w:rPr>
                <w:rFonts w:hint="default" w:ascii="Times New Roman" w:hAnsi="Times New Roman" w:eastAsia="宋体" w:cs="Times New Roman"/>
                <w:color w:val="auto"/>
              </w:rPr>
              <w:t>度</w:t>
            </w:r>
            <w:r>
              <w:rPr>
                <w:rFonts w:hint="default" w:ascii="Times New Roman" w:hAnsi="Times New Roman" w:eastAsia="宋体" w:cs="Times New Roman"/>
                <w:color w:val="auto"/>
                <w:lang w:val="en-US" w:eastAsia="zh-CN"/>
              </w:rPr>
              <w:t>30</w:t>
            </w:r>
            <w:r>
              <w:rPr>
                <w:rFonts w:hint="default" w:ascii="Times New Roman" w:hAnsi="Times New Roman" w:eastAsia="宋体" w:cs="Times New Roman"/>
                <w:color w:val="auto"/>
              </w:rPr>
              <w:t>分</w:t>
            </w:r>
            <w:r>
              <w:rPr>
                <w:rFonts w:hint="eastAsia" w:cs="Times New Roman"/>
                <w:color w:val="auto"/>
                <w:lang w:val="en-US" w:eastAsia="zh-CN"/>
              </w:rPr>
              <w:t>2.610</w:t>
            </w:r>
            <w:r>
              <w:rPr>
                <w:rFonts w:hint="default" w:ascii="Times New Roman" w:hAnsi="Times New Roman" w:eastAsia="宋体" w:cs="Times New Roman"/>
                <w:color w:val="auto"/>
              </w:rPr>
              <w:t>秒）</w:t>
            </w:r>
          </w:p>
        </w:tc>
      </w:tr>
      <w:tr w14:paraId="0B7151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1674" w:type="dxa"/>
            <w:gridSpan w:val="2"/>
            <w:tcBorders>
              <w:top w:val="single" w:color="000000" w:sz="4" w:space="0"/>
              <w:bottom w:val="single" w:color="000000" w:sz="4" w:space="0"/>
              <w:right w:val="single" w:color="000000" w:sz="4" w:space="0"/>
            </w:tcBorders>
            <w:vAlign w:val="center"/>
          </w:tcPr>
          <w:p w14:paraId="25B846EE">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国民经济行业</w:t>
            </w:r>
          </w:p>
          <w:p w14:paraId="398DEDC0">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2343" w:type="dxa"/>
            <w:tcBorders>
              <w:top w:val="single" w:color="000000" w:sz="4" w:space="0"/>
              <w:left w:val="single" w:color="000000" w:sz="4" w:space="0"/>
              <w:bottom w:val="single" w:color="000000" w:sz="4" w:space="0"/>
              <w:right w:val="single" w:color="000000" w:sz="4" w:space="0"/>
            </w:tcBorders>
            <w:vAlign w:val="center"/>
          </w:tcPr>
          <w:p w14:paraId="55D2528A">
            <w:pPr>
              <w:bidi w:val="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C4210金属废料和碎屑加工处理</w:t>
            </w:r>
          </w:p>
        </w:tc>
        <w:tc>
          <w:tcPr>
            <w:tcW w:w="2213" w:type="dxa"/>
            <w:tcBorders>
              <w:top w:val="single" w:color="000000" w:sz="4" w:space="0"/>
              <w:left w:val="single" w:color="000000" w:sz="4" w:space="0"/>
              <w:bottom w:val="single" w:color="000000" w:sz="4" w:space="0"/>
              <w:right w:val="single" w:color="000000" w:sz="4" w:space="0"/>
            </w:tcBorders>
            <w:vAlign w:val="center"/>
          </w:tcPr>
          <w:p w14:paraId="2DC02C08">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建设项目行业类别</w:t>
            </w:r>
          </w:p>
        </w:tc>
        <w:tc>
          <w:tcPr>
            <w:tcW w:w="2638" w:type="dxa"/>
            <w:tcBorders>
              <w:top w:val="single" w:color="000000" w:sz="4" w:space="0"/>
              <w:left w:val="single" w:color="000000" w:sz="4" w:space="0"/>
              <w:bottom w:val="single" w:color="000000" w:sz="4" w:space="0"/>
            </w:tcBorders>
            <w:vAlign w:val="center"/>
          </w:tcPr>
          <w:p w14:paraId="215DBAFA">
            <w:pPr>
              <w:bidi w:val="0"/>
              <w:rPr>
                <w:rFonts w:hint="default" w:ascii="Times New Roman" w:hAnsi="Times New Roman" w:eastAsia="宋体" w:cs="Times New Roman"/>
                <w:color w:val="auto"/>
                <w:lang w:val="en-US" w:eastAsia="zh-CN"/>
              </w:rPr>
            </w:pPr>
            <w:r>
              <w:rPr>
                <w:rFonts w:hint="eastAsia" w:cs="Times New Roman"/>
                <w:color w:val="auto"/>
                <w:lang w:val="en-US" w:eastAsia="zh-CN"/>
              </w:rPr>
              <w:t>三十九、废弃资源综合利用业421金属废料和碎屑加工处理</w:t>
            </w:r>
          </w:p>
        </w:tc>
      </w:tr>
      <w:tr w14:paraId="5EB621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80" w:hRule="atLeast"/>
        </w:trPr>
        <w:tc>
          <w:tcPr>
            <w:tcW w:w="1674" w:type="dxa"/>
            <w:gridSpan w:val="2"/>
            <w:tcBorders>
              <w:top w:val="single" w:color="000000" w:sz="4" w:space="0"/>
              <w:bottom w:val="single" w:color="000000" w:sz="4" w:space="0"/>
              <w:right w:val="single" w:color="000000" w:sz="4" w:space="0"/>
            </w:tcBorders>
            <w:vAlign w:val="center"/>
          </w:tcPr>
          <w:p w14:paraId="3CD010D1">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建设性质</w:t>
            </w:r>
          </w:p>
        </w:tc>
        <w:tc>
          <w:tcPr>
            <w:tcW w:w="2343" w:type="dxa"/>
            <w:tcBorders>
              <w:top w:val="single" w:color="000000" w:sz="4" w:space="0"/>
              <w:left w:val="single" w:color="000000" w:sz="4" w:space="0"/>
              <w:bottom w:val="single" w:color="000000" w:sz="4" w:space="0"/>
              <w:right w:val="single" w:color="000000" w:sz="4" w:space="0"/>
            </w:tcBorders>
            <w:vAlign w:val="center"/>
          </w:tcPr>
          <w:p w14:paraId="28963F31">
            <w:pPr>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52"/>
            </w:r>
            <w:r>
              <w:rPr>
                <w:rFonts w:hint="default" w:ascii="Times New Roman" w:hAnsi="Times New Roman" w:eastAsia="宋体" w:cs="Times New Roman"/>
                <w:color w:val="auto"/>
              </w:rPr>
              <w:t>新建（迁建）</w:t>
            </w:r>
          </w:p>
          <w:p w14:paraId="16C24FD2">
            <w:pPr>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r>
              <w:rPr>
                <w:rFonts w:hint="default" w:ascii="Times New Roman" w:hAnsi="Times New Roman" w:eastAsia="宋体" w:cs="Times New Roman"/>
                <w:color w:val="auto"/>
              </w:rPr>
              <w:t>改建</w:t>
            </w:r>
          </w:p>
          <w:p w14:paraId="26D9FA29">
            <w:pPr>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r>
              <w:rPr>
                <w:rFonts w:hint="default" w:ascii="Times New Roman" w:hAnsi="Times New Roman" w:eastAsia="宋体" w:cs="Times New Roman"/>
                <w:color w:val="auto"/>
              </w:rPr>
              <w:t>扩建</w:t>
            </w:r>
          </w:p>
          <w:p w14:paraId="48142AE5">
            <w:pPr>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r>
              <w:rPr>
                <w:rFonts w:hint="default" w:ascii="Times New Roman" w:hAnsi="Times New Roman" w:eastAsia="宋体" w:cs="Times New Roman"/>
                <w:color w:val="auto"/>
              </w:rPr>
              <w:t>技术改造</w:t>
            </w:r>
          </w:p>
        </w:tc>
        <w:tc>
          <w:tcPr>
            <w:tcW w:w="2213" w:type="dxa"/>
            <w:tcBorders>
              <w:top w:val="single" w:color="000000" w:sz="4" w:space="0"/>
              <w:left w:val="single" w:color="000000" w:sz="4" w:space="0"/>
              <w:bottom w:val="single" w:color="000000" w:sz="4" w:space="0"/>
              <w:right w:val="single" w:color="000000" w:sz="4" w:space="0"/>
            </w:tcBorders>
            <w:vAlign w:val="center"/>
          </w:tcPr>
          <w:p w14:paraId="55DC1097">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建设项目申报情形</w:t>
            </w:r>
          </w:p>
        </w:tc>
        <w:tc>
          <w:tcPr>
            <w:tcW w:w="2638" w:type="dxa"/>
            <w:tcBorders>
              <w:top w:val="single" w:color="000000" w:sz="4" w:space="0"/>
              <w:left w:val="single" w:color="000000" w:sz="4" w:space="0"/>
              <w:bottom w:val="single" w:color="000000" w:sz="4" w:space="0"/>
            </w:tcBorders>
            <w:vAlign w:val="center"/>
          </w:tcPr>
          <w:p w14:paraId="7D79A452">
            <w:pPr>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52"/>
            </w:r>
            <w:r>
              <w:rPr>
                <w:rFonts w:hint="default" w:ascii="Times New Roman" w:hAnsi="Times New Roman" w:eastAsia="宋体" w:cs="Times New Roman"/>
                <w:color w:val="auto"/>
              </w:rPr>
              <w:t>首次申报项目</w:t>
            </w:r>
          </w:p>
          <w:p w14:paraId="440EC6CF">
            <w:pPr>
              <w:bidi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r>
              <w:rPr>
                <w:rFonts w:hint="default" w:ascii="Times New Roman" w:hAnsi="Times New Roman" w:eastAsia="宋体" w:cs="Times New Roman"/>
                <w:color w:val="auto"/>
              </w:rPr>
              <w:t>不予批准后再次申报项目</w:t>
            </w:r>
          </w:p>
          <w:p w14:paraId="339CC16A">
            <w:pPr>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r>
              <w:rPr>
                <w:rFonts w:hint="default" w:ascii="Times New Roman" w:hAnsi="Times New Roman" w:eastAsia="宋体" w:cs="Times New Roman"/>
                <w:color w:val="auto"/>
              </w:rPr>
              <w:t>超五年重新审核项目</w:t>
            </w:r>
          </w:p>
          <w:p w14:paraId="41FD1AC2">
            <w:pPr>
              <w:bidi w:val="0"/>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r>
              <w:rPr>
                <w:rFonts w:hint="default" w:ascii="Times New Roman" w:hAnsi="Times New Roman" w:eastAsia="宋体" w:cs="Times New Roman"/>
                <w:color w:val="auto"/>
              </w:rPr>
              <w:t>重大变动重新报批项目</w:t>
            </w:r>
          </w:p>
        </w:tc>
      </w:tr>
      <w:tr w14:paraId="1AB1A4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674" w:type="dxa"/>
            <w:gridSpan w:val="2"/>
            <w:tcBorders>
              <w:top w:val="single" w:color="000000" w:sz="4" w:space="0"/>
              <w:bottom w:val="single" w:color="000000" w:sz="4" w:space="0"/>
              <w:right w:val="single" w:color="000000" w:sz="4" w:space="0"/>
            </w:tcBorders>
            <w:vAlign w:val="center"/>
          </w:tcPr>
          <w:p w14:paraId="4442EA89">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项目审批（核准/备案）部门</w:t>
            </w:r>
          </w:p>
          <w:p w14:paraId="00D2B498">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（选填）</w:t>
            </w:r>
          </w:p>
        </w:tc>
        <w:tc>
          <w:tcPr>
            <w:tcW w:w="2343" w:type="dxa"/>
            <w:tcBorders>
              <w:top w:val="single" w:color="000000" w:sz="4" w:space="0"/>
              <w:left w:val="single" w:color="000000" w:sz="4" w:space="0"/>
              <w:bottom w:val="single" w:color="000000" w:sz="4" w:space="0"/>
              <w:right w:val="single" w:color="000000" w:sz="4" w:space="0"/>
            </w:tcBorders>
            <w:vAlign w:val="center"/>
          </w:tcPr>
          <w:p w14:paraId="74FD7F9F">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兴隆县行政审批局</w:t>
            </w:r>
          </w:p>
        </w:tc>
        <w:tc>
          <w:tcPr>
            <w:tcW w:w="2213" w:type="dxa"/>
            <w:tcBorders>
              <w:top w:val="single" w:color="000000" w:sz="4" w:space="0"/>
              <w:left w:val="single" w:color="000000" w:sz="4" w:space="0"/>
              <w:bottom w:val="single" w:color="000000" w:sz="4" w:space="0"/>
              <w:right w:val="single" w:color="000000" w:sz="4" w:space="0"/>
            </w:tcBorders>
            <w:vAlign w:val="center"/>
          </w:tcPr>
          <w:p w14:paraId="33058E3D">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项目审批</w:t>
            </w:r>
          </w:p>
          <w:p w14:paraId="25114EB0">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（核准/备案）文号</w:t>
            </w:r>
          </w:p>
          <w:p w14:paraId="29BC8939">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（选填）</w:t>
            </w:r>
          </w:p>
        </w:tc>
        <w:tc>
          <w:tcPr>
            <w:tcW w:w="2638" w:type="dxa"/>
            <w:tcBorders>
              <w:top w:val="single" w:color="000000" w:sz="4" w:space="0"/>
              <w:left w:val="single" w:color="000000" w:sz="4" w:space="0"/>
              <w:bottom w:val="single" w:color="000000" w:sz="4" w:space="0"/>
            </w:tcBorders>
            <w:vAlign w:val="center"/>
          </w:tcPr>
          <w:p w14:paraId="15996169">
            <w:pPr>
              <w:bidi w:val="0"/>
              <w:rPr>
                <w:rFonts w:hint="default" w:ascii="Times New Roman" w:hAnsi="Times New Roman" w:eastAsia="宋体" w:cs="Times New Roman"/>
                <w:color w:val="auto"/>
                <w:lang w:val="en-US" w:eastAsia="zh-CN"/>
              </w:rPr>
            </w:pPr>
            <w:r>
              <w:rPr>
                <w:rFonts w:hint="eastAsia" w:cs="Times New Roman"/>
                <w:color w:val="auto"/>
                <w:lang w:val="en-US" w:eastAsia="zh-CN"/>
              </w:rPr>
              <w:t>兴审批投字〔2024〕92号</w:t>
            </w:r>
          </w:p>
        </w:tc>
      </w:tr>
      <w:tr w14:paraId="22C0D7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674" w:type="dxa"/>
            <w:gridSpan w:val="2"/>
            <w:tcBorders>
              <w:top w:val="single" w:color="000000" w:sz="4" w:space="0"/>
              <w:bottom w:val="single" w:color="000000" w:sz="4" w:space="0"/>
              <w:right w:val="single" w:color="000000" w:sz="4" w:space="0"/>
            </w:tcBorders>
            <w:vAlign w:val="center"/>
          </w:tcPr>
          <w:p w14:paraId="772B6F11">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总投资（万元）</w:t>
            </w:r>
          </w:p>
        </w:tc>
        <w:tc>
          <w:tcPr>
            <w:tcW w:w="2343" w:type="dxa"/>
            <w:tcBorders>
              <w:top w:val="single" w:color="000000" w:sz="4" w:space="0"/>
              <w:left w:val="single" w:color="000000" w:sz="4" w:space="0"/>
              <w:bottom w:val="single" w:color="000000" w:sz="4" w:space="0"/>
              <w:right w:val="single" w:color="000000" w:sz="4" w:space="0"/>
            </w:tcBorders>
            <w:vAlign w:val="center"/>
          </w:tcPr>
          <w:p w14:paraId="3478FE2B">
            <w:pPr>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300</w:t>
            </w:r>
          </w:p>
        </w:tc>
        <w:tc>
          <w:tcPr>
            <w:tcW w:w="2213" w:type="dxa"/>
            <w:tcBorders>
              <w:top w:val="single" w:color="000000" w:sz="4" w:space="0"/>
              <w:left w:val="single" w:color="000000" w:sz="4" w:space="0"/>
              <w:bottom w:val="single" w:color="000000" w:sz="4" w:space="0"/>
              <w:right w:val="single" w:color="000000" w:sz="4" w:space="0"/>
            </w:tcBorders>
            <w:vAlign w:val="center"/>
          </w:tcPr>
          <w:p w14:paraId="41A8B806">
            <w:pPr>
              <w:bidi w:val="0"/>
              <w:rPr>
                <w:rFonts w:hint="default" w:ascii="Times New Roman" w:hAnsi="Times New Roman" w:eastAsia="宋体" w:cs="Times New Roman"/>
                <w:color w:val="auto"/>
                <w:highlight w:val="yellow"/>
              </w:rPr>
            </w:pPr>
            <w:r>
              <w:rPr>
                <w:rFonts w:hint="default" w:ascii="Times New Roman" w:hAnsi="Times New Roman" w:eastAsia="宋体" w:cs="Times New Roman"/>
                <w:color w:val="auto"/>
                <w:highlight w:val="none"/>
              </w:rPr>
              <w:t>环保投资（万元）</w:t>
            </w:r>
          </w:p>
        </w:tc>
        <w:tc>
          <w:tcPr>
            <w:tcW w:w="2638" w:type="dxa"/>
            <w:tcBorders>
              <w:top w:val="single" w:color="000000" w:sz="4" w:space="0"/>
              <w:left w:val="single" w:color="000000" w:sz="4" w:space="0"/>
              <w:bottom w:val="single" w:color="000000" w:sz="4" w:space="0"/>
            </w:tcBorders>
            <w:vAlign w:val="center"/>
          </w:tcPr>
          <w:p w14:paraId="02DEB20A">
            <w:pPr>
              <w:bidi w:val="0"/>
              <w:rPr>
                <w:rFonts w:hint="default" w:ascii="Times New Roman" w:hAnsi="Times New Roman" w:eastAsia="宋体" w:cs="Times New Roman"/>
                <w:color w:val="auto"/>
                <w:highlight w:val="yellow"/>
                <w:lang w:val="en-US" w:eastAsia="zh-CN"/>
              </w:rPr>
            </w:pP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eastAsia="zh-CN"/>
              </w:rPr>
              <w:t>0</w:t>
            </w:r>
          </w:p>
        </w:tc>
      </w:tr>
      <w:tr w14:paraId="1BF0AD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674" w:type="dxa"/>
            <w:gridSpan w:val="2"/>
            <w:tcBorders>
              <w:top w:val="single" w:color="000000" w:sz="4" w:space="0"/>
              <w:bottom w:val="single" w:color="000000" w:sz="4" w:space="0"/>
              <w:right w:val="single" w:color="000000" w:sz="4" w:space="0"/>
            </w:tcBorders>
            <w:vAlign w:val="center"/>
          </w:tcPr>
          <w:p w14:paraId="63F1BF5C">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环保投资占比（%）</w:t>
            </w:r>
          </w:p>
        </w:tc>
        <w:tc>
          <w:tcPr>
            <w:tcW w:w="2343" w:type="dxa"/>
            <w:tcBorders>
              <w:top w:val="single" w:color="000000" w:sz="4" w:space="0"/>
              <w:left w:val="single" w:color="000000" w:sz="4" w:space="0"/>
              <w:bottom w:val="single" w:color="000000" w:sz="4" w:space="0"/>
              <w:right w:val="single" w:color="000000" w:sz="4" w:space="0"/>
            </w:tcBorders>
            <w:vAlign w:val="center"/>
          </w:tcPr>
          <w:p w14:paraId="1B36573B">
            <w:pPr>
              <w:bidi w:val="0"/>
              <w:rPr>
                <w:rFonts w:hint="default" w:ascii="Times New Roman" w:hAnsi="Times New Roman" w:eastAsia="宋体" w:cs="Times New Roman"/>
                <w:color w:val="auto"/>
                <w:highlight w:val="none"/>
                <w:lang w:val="en-US" w:eastAsia="zh-CN"/>
              </w:rPr>
            </w:pPr>
            <w:r>
              <w:rPr>
                <w:rFonts w:hint="eastAsia" w:cs="Times New Roman"/>
                <w:color w:val="auto"/>
                <w:sz w:val="24"/>
                <w:szCs w:val="24"/>
                <w:lang w:val="en-US" w:eastAsia="zh-CN"/>
              </w:rPr>
              <w:t>20</w:t>
            </w:r>
          </w:p>
        </w:tc>
        <w:tc>
          <w:tcPr>
            <w:tcW w:w="2213" w:type="dxa"/>
            <w:tcBorders>
              <w:top w:val="single" w:color="000000" w:sz="4" w:space="0"/>
              <w:left w:val="single" w:color="000000" w:sz="4" w:space="0"/>
              <w:bottom w:val="single" w:color="000000" w:sz="4" w:space="0"/>
              <w:right w:val="single" w:color="000000" w:sz="4" w:space="0"/>
            </w:tcBorders>
            <w:vAlign w:val="center"/>
          </w:tcPr>
          <w:p w14:paraId="2BDB6864">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施工工期</w:t>
            </w:r>
          </w:p>
        </w:tc>
        <w:tc>
          <w:tcPr>
            <w:tcW w:w="2638" w:type="dxa"/>
            <w:tcBorders>
              <w:top w:val="single" w:color="000000" w:sz="4" w:space="0"/>
              <w:left w:val="single" w:color="000000" w:sz="4" w:space="0"/>
              <w:bottom w:val="single" w:color="000000" w:sz="4" w:space="0"/>
            </w:tcBorders>
            <w:vAlign w:val="center"/>
          </w:tcPr>
          <w:p w14:paraId="2C78A1FC">
            <w:pPr>
              <w:bidi w:val="0"/>
              <w:rPr>
                <w:rFonts w:hint="default" w:ascii="Times New Roman" w:hAnsi="Times New Roman" w:eastAsia="宋体" w:cs="Times New Roman"/>
                <w:color w:val="auto"/>
                <w:lang w:val="en-US" w:eastAsia="zh-CN"/>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个月</w:t>
            </w:r>
          </w:p>
        </w:tc>
      </w:tr>
      <w:tr w14:paraId="4ECB78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1674" w:type="dxa"/>
            <w:gridSpan w:val="2"/>
            <w:tcBorders>
              <w:top w:val="single" w:color="000000" w:sz="4" w:space="0"/>
              <w:bottom w:val="single" w:color="000000" w:sz="4" w:space="0"/>
              <w:right w:val="single" w:color="000000" w:sz="4" w:space="0"/>
            </w:tcBorders>
            <w:vAlign w:val="center"/>
          </w:tcPr>
          <w:p w14:paraId="56CBF10D">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是否开工建设</w:t>
            </w:r>
          </w:p>
        </w:tc>
        <w:tc>
          <w:tcPr>
            <w:tcW w:w="2343" w:type="dxa"/>
            <w:tcBorders>
              <w:top w:val="single" w:color="000000" w:sz="4" w:space="0"/>
              <w:left w:val="single" w:color="000000" w:sz="4" w:space="0"/>
              <w:bottom w:val="single" w:color="000000" w:sz="4" w:space="0"/>
              <w:right w:val="single" w:color="000000" w:sz="4" w:space="0"/>
            </w:tcBorders>
            <w:vAlign w:val="center"/>
          </w:tcPr>
          <w:p w14:paraId="76ACE30B">
            <w:pPr>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52"/>
            </w:r>
            <w:r>
              <w:rPr>
                <w:rFonts w:hint="default" w:ascii="Times New Roman" w:hAnsi="Times New Roman" w:eastAsia="宋体" w:cs="Times New Roman"/>
                <w:color w:val="auto"/>
              </w:rPr>
              <w:t>否</w:t>
            </w:r>
          </w:p>
          <w:p w14:paraId="771BA209">
            <w:pPr>
              <w:bidi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rPr>
              <w:sym w:font="Wingdings 2" w:char="00A3"/>
            </w:r>
            <w:r>
              <w:rPr>
                <w:rFonts w:hint="default" w:ascii="Times New Roman" w:hAnsi="Times New Roman" w:eastAsia="宋体" w:cs="Times New Roman"/>
                <w:color w:val="auto"/>
              </w:rPr>
              <w:t>是：</w:t>
            </w:r>
          </w:p>
        </w:tc>
        <w:tc>
          <w:tcPr>
            <w:tcW w:w="2213" w:type="dxa"/>
            <w:tcBorders>
              <w:top w:val="single" w:color="000000" w:sz="4" w:space="0"/>
              <w:left w:val="single" w:color="000000" w:sz="4" w:space="0"/>
              <w:bottom w:val="single" w:color="000000" w:sz="4" w:space="0"/>
            </w:tcBorders>
            <w:vAlign w:val="center"/>
          </w:tcPr>
          <w:p w14:paraId="30E30318">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用地（用海）</w:t>
            </w:r>
          </w:p>
          <w:p w14:paraId="09AF2CF3">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rPr>
              <w:t>面积（m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p>
        </w:tc>
        <w:tc>
          <w:tcPr>
            <w:tcW w:w="2638" w:type="dxa"/>
            <w:tcBorders>
              <w:top w:val="single" w:color="000000" w:sz="4" w:space="0"/>
              <w:left w:val="single" w:color="000000" w:sz="4" w:space="0"/>
              <w:bottom w:val="single" w:color="000000" w:sz="4" w:space="0"/>
            </w:tcBorders>
            <w:vAlign w:val="center"/>
          </w:tcPr>
          <w:p w14:paraId="0CC9DD4C">
            <w:pPr>
              <w:bidi w:val="0"/>
              <w:rPr>
                <w:rFonts w:hint="default" w:ascii="Times New Roman" w:hAnsi="Times New Roman" w:eastAsia="宋体" w:cs="Times New Roman"/>
                <w:color w:val="auto"/>
                <w:lang w:val="en-US" w:eastAsia="zh-CN"/>
              </w:rPr>
            </w:pPr>
            <w:r>
              <w:rPr>
                <w:rFonts w:hint="eastAsia" w:cs="Times New Roman"/>
                <w:color w:val="auto"/>
                <w:lang w:val="en-US" w:eastAsia="zh-CN"/>
              </w:rPr>
              <w:t>3500</w:t>
            </w:r>
          </w:p>
        </w:tc>
      </w:tr>
      <w:tr w14:paraId="38CF6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4" w:hRule="atLeast"/>
        </w:trPr>
        <w:tc>
          <w:tcPr>
            <w:tcW w:w="1674" w:type="dxa"/>
            <w:gridSpan w:val="2"/>
            <w:tcBorders>
              <w:top w:val="single" w:color="000000" w:sz="4" w:space="0"/>
              <w:bottom w:val="single" w:color="000000" w:sz="4" w:space="0"/>
              <w:right w:val="single" w:color="000000" w:sz="4" w:space="0"/>
            </w:tcBorders>
            <w:vAlign w:val="center"/>
          </w:tcPr>
          <w:p w14:paraId="095BDA09">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专项评价设置</w:t>
            </w:r>
          </w:p>
          <w:p w14:paraId="0A9B9ACB">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情况</w:t>
            </w:r>
          </w:p>
        </w:tc>
        <w:tc>
          <w:tcPr>
            <w:tcW w:w="7194" w:type="dxa"/>
            <w:gridSpan w:val="3"/>
            <w:tcBorders>
              <w:top w:val="single" w:color="000000" w:sz="4" w:space="0"/>
              <w:left w:val="single" w:color="000000" w:sz="4" w:space="0"/>
              <w:bottom w:val="single" w:color="000000" w:sz="4" w:space="0"/>
            </w:tcBorders>
            <w:vAlign w:val="center"/>
          </w:tcPr>
          <w:p w14:paraId="4493EADE">
            <w:pPr>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无</w:t>
            </w:r>
          </w:p>
        </w:tc>
      </w:tr>
      <w:tr w14:paraId="38D3D7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6" w:hRule="atLeast"/>
        </w:trPr>
        <w:tc>
          <w:tcPr>
            <w:tcW w:w="1674" w:type="dxa"/>
            <w:gridSpan w:val="2"/>
            <w:tcBorders>
              <w:top w:val="single" w:color="000000" w:sz="4" w:space="0"/>
              <w:bottom w:val="single" w:color="000000" w:sz="4" w:space="0"/>
              <w:right w:val="single" w:color="000000" w:sz="4" w:space="0"/>
            </w:tcBorders>
            <w:vAlign w:val="center"/>
          </w:tcPr>
          <w:p w14:paraId="6DBAC4C0">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规划情况</w:t>
            </w:r>
          </w:p>
        </w:tc>
        <w:tc>
          <w:tcPr>
            <w:tcW w:w="7194" w:type="dxa"/>
            <w:gridSpan w:val="3"/>
            <w:tcBorders>
              <w:top w:val="single" w:color="000000" w:sz="4" w:space="0"/>
              <w:left w:val="single" w:color="000000" w:sz="4" w:space="0"/>
              <w:bottom w:val="single" w:color="000000" w:sz="4" w:space="0"/>
            </w:tcBorders>
            <w:vAlign w:val="center"/>
          </w:tcPr>
          <w:p w14:paraId="1D13A03D">
            <w:pPr>
              <w:pStyle w:val="29"/>
              <w:keepNext w:val="0"/>
              <w:keepLines w:val="0"/>
              <w:pageBreakBefore w:val="0"/>
              <w:widowControl w:val="0"/>
              <w:kinsoku/>
              <w:wordWrap/>
              <w:overflowPunct/>
              <w:topLinePunct w:val="0"/>
              <w:autoSpaceDE w:val="0"/>
              <w:autoSpaceDN w:val="0"/>
              <w:bidi w:val="0"/>
              <w:adjustRightInd/>
              <w:snapToGrid/>
              <w:spacing w:before="0" w:line="500" w:lineRule="exact"/>
              <w:ind w:left="480" w:leftChars="200" w:right="0" w:firstLine="0" w:firstLineChars="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b/>
                <w:color w:val="auto"/>
                <w:spacing w:val="0"/>
                <w:sz w:val="24"/>
                <w:szCs w:val="24"/>
              </w:rPr>
              <w:t>规划</w:t>
            </w:r>
            <w:r>
              <w:rPr>
                <w:rFonts w:hint="default" w:ascii="Times New Roman" w:hAnsi="Times New Roman" w:eastAsia="宋体" w:cs="Times New Roman"/>
                <w:b/>
                <w:color w:val="auto"/>
                <w:spacing w:val="0"/>
                <w:sz w:val="24"/>
                <w:szCs w:val="24"/>
                <w:lang w:eastAsia="zh-CN"/>
              </w:rPr>
              <w:t>园区</w:t>
            </w:r>
            <w:r>
              <w:rPr>
                <w:rFonts w:hint="default" w:ascii="Times New Roman" w:hAnsi="Times New Roman" w:eastAsia="宋体" w:cs="Times New Roman"/>
                <w:b/>
                <w:color w:val="auto"/>
                <w:spacing w:val="0"/>
                <w:sz w:val="24"/>
                <w:szCs w:val="24"/>
              </w:rPr>
              <w:t>名称：</w:t>
            </w:r>
            <w:r>
              <w:rPr>
                <w:rFonts w:hint="default" w:ascii="Times New Roman" w:hAnsi="Times New Roman" w:eastAsia="宋体" w:cs="Times New Roman"/>
                <w:color w:val="auto"/>
                <w:spacing w:val="0"/>
                <w:sz w:val="24"/>
                <w:szCs w:val="24"/>
              </w:rPr>
              <w:t>《河北兴隆经济开发区》</w:t>
            </w:r>
          </w:p>
          <w:p w14:paraId="68851220">
            <w:pPr>
              <w:pStyle w:val="29"/>
              <w:keepNext w:val="0"/>
              <w:keepLines w:val="0"/>
              <w:pageBreakBefore w:val="0"/>
              <w:widowControl w:val="0"/>
              <w:kinsoku/>
              <w:wordWrap/>
              <w:overflowPunct/>
              <w:topLinePunct w:val="0"/>
              <w:autoSpaceDE w:val="0"/>
              <w:autoSpaceDN w:val="0"/>
              <w:bidi w:val="0"/>
              <w:adjustRightInd/>
              <w:snapToGrid/>
              <w:spacing w:before="0" w:line="500" w:lineRule="exact"/>
              <w:ind w:left="480" w:leftChars="200" w:right="0" w:firstLine="0" w:firstLineChars="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b/>
                <w:color w:val="auto"/>
                <w:spacing w:val="0"/>
                <w:sz w:val="24"/>
                <w:szCs w:val="24"/>
              </w:rPr>
              <w:t>审查机关：</w:t>
            </w:r>
            <w:r>
              <w:rPr>
                <w:rFonts w:hint="default" w:ascii="Times New Roman" w:hAnsi="Times New Roman" w:eastAsia="宋体" w:cs="Times New Roman"/>
                <w:color w:val="auto"/>
                <w:spacing w:val="0"/>
                <w:sz w:val="24"/>
                <w:szCs w:val="24"/>
              </w:rPr>
              <w:t>河北省人民政府</w:t>
            </w:r>
          </w:p>
          <w:p w14:paraId="05792344">
            <w:pPr>
              <w:pStyle w:val="29"/>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482"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b/>
                <w:color w:val="auto"/>
                <w:spacing w:val="0"/>
                <w:sz w:val="24"/>
                <w:szCs w:val="24"/>
              </w:rPr>
              <w:t>审查文件名称：</w:t>
            </w:r>
            <w:r>
              <w:rPr>
                <w:rFonts w:hint="default" w:ascii="Times New Roman" w:hAnsi="Times New Roman" w:eastAsia="宋体" w:cs="Times New Roman"/>
                <w:color w:val="auto"/>
                <w:spacing w:val="0"/>
                <w:sz w:val="24"/>
                <w:szCs w:val="24"/>
              </w:rPr>
              <w:t>河北省人民政府印发《关于同意设立河北丰宁、兴隆经济开发区的批复》</w:t>
            </w:r>
          </w:p>
          <w:p w14:paraId="5E199500">
            <w:pPr>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482" w:firstLineChars="200"/>
              <w:jc w:val="both"/>
              <w:textAlignment w:val="auto"/>
              <w:rPr>
                <w:rFonts w:hint="default" w:ascii="Times New Roman" w:hAnsi="Times New Roman" w:eastAsia="宋体" w:cs="Times New Roman"/>
                <w:color w:val="auto"/>
                <w:spacing w:val="0"/>
                <w:sz w:val="24"/>
                <w:highlight w:val="none"/>
                <w:lang w:eastAsia="zh-CN"/>
              </w:rPr>
            </w:pPr>
            <w:r>
              <w:rPr>
                <w:rFonts w:hint="default" w:ascii="Times New Roman" w:hAnsi="Times New Roman" w:eastAsia="宋体" w:cs="Times New Roman"/>
                <w:b/>
                <w:color w:val="auto"/>
                <w:spacing w:val="0"/>
                <w:sz w:val="24"/>
                <w:szCs w:val="24"/>
              </w:rPr>
              <w:t>文号：</w:t>
            </w:r>
            <w:r>
              <w:rPr>
                <w:rFonts w:hint="default" w:ascii="Times New Roman" w:hAnsi="Times New Roman" w:eastAsia="宋体" w:cs="Times New Roman"/>
                <w:color w:val="auto"/>
                <w:spacing w:val="0"/>
                <w:sz w:val="24"/>
                <w:szCs w:val="24"/>
              </w:rPr>
              <w:t>冀政函[2012]93号</w:t>
            </w:r>
          </w:p>
        </w:tc>
      </w:tr>
      <w:tr w14:paraId="5323A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674" w:type="dxa"/>
            <w:gridSpan w:val="2"/>
            <w:tcBorders>
              <w:top w:val="single" w:color="000000" w:sz="4" w:space="0"/>
              <w:bottom w:val="single" w:color="000000" w:sz="4" w:space="0"/>
              <w:right w:val="single" w:color="000000" w:sz="4" w:space="0"/>
            </w:tcBorders>
            <w:vAlign w:val="center"/>
          </w:tcPr>
          <w:p w14:paraId="42C5DE85">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规划环境影响</w:t>
            </w:r>
          </w:p>
          <w:p w14:paraId="4BB341EA">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评价情况</w:t>
            </w:r>
          </w:p>
        </w:tc>
        <w:tc>
          <w:tcPr>
            <w:tcW w:w="7194" w:type="dxa"/>
            <w:gridSpan w:val="3"/>
            <w:tcBorders>
              <w:top w:val="single" w:color="000000" w:sz="4" w:space="0"/>
              <w:left w:val="single" w:color="000000" w:sz="4" w:space="0"/>
              <w:bottom w:val="single" w:color="000000" w:sz="4" w:space="0"/>
            </w:tcBorders>
            <w:vAlign w:val="center"/>
          </w:tcPr>
          <w:p w14:paraId="00026387">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eastAsia="宋体" w:cs="Times New Roman"/>
                <w:color w:val="auto"/>
                <w:spacing w:val="0"/>
                <w:sz w:val="24"/>
                <w:lang w:eastAsia="zh-CN"/>
              </w:rPr>
            </w:pPr>
            <w:r>
              <w:rPr>
                <w:rFonts w:hint="default" w:ascii="Times New Roman" w:hAnsi="Times New Roman" w:eastAsia="宋体" w:cs="Times New Roman"/>
                <w:b/>
                <w:bCs/>
                <w:color w:val="auto"/>
                <w:spacing w:val="0"/>
                <w:sz w:val="24"/>
                <w:lang w:eastAsia="zh-CN"/>
              </w:rPr>
              <w:t>规划环境影响评价文件名称：</w:t>
            </w:r>
            <w:r>
              <w:rPr>
                <w:rFonts w:hint="default" w:ascii="Times New Roman" w:hAnsi="Times New Roman" w:eastAsia="宋体" w:cs="Times New Roman"/>
                <w:color w:val="auto"/>
                <w:spacing w:val="0"/>
                <w:sz w:val="24"/>
                <w:lang w:eastAsia="zh-CN"/>
              </w:rPr>
              <w:t>《河北兴隆经济开发区总体发展规划(2023-2035年)环境影响报告书》</w:t>
            </w:r>
          </w:p>
          <w:p w14:paraId="1C8EC89B">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eastAsia="宋体" w:cs="Times New Roman"/>
                <w:color w:val="auto"/>
                <w:spacing w:val="0"/>
                <w:sz w:val="24"/>
                <w:lang w:eastAsia="zh-CN"/>
              </w:rPr>
            </w:pPr>
            <w:r>
              <w:rPr>
                <w:rFonts w:hint="default" w:ascii="Times New Roman" w:hAnsi="Times New Roman" w:eastAsia="宋体" w:cs="Times New Roman"/>
                <w:b/>
                <w:bCs/>
                <w:color w:val="auto"/>
                <w:spacing w:val="0"/>
                <w:sz w:val="24"/>
                <w:lang w:eastAsia="zh-CN"/>
              </w:rPr>
              <w:t>审查机关：</w:t>
            </w:r>
            <w:r>
              <w:rPr>
                <w:rFonts w:hint="default" w:ascii="Times New Roman" w:hAnsi="Times New Roman" w:eastAsia="宋体" w:cs="Times New Roman"/>
                <w:color w:val="auto"/>
                <w:spacing w:val="0"/>
                <w:sz w:val="24"/>
                <w:lang w:eastAsia="zh-CN"/>
              </w:rPr>
              <w:t>河北省生态环境厅</w:t>
            </w:r>
          </w:p>
          <w:p w14:paraId="7D9352E3">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eastAsia="宋体" w:cs="Times New Roman"/>
                <w:color w:val="auto"/>
                <w:spacing w:val="0"/>
                <w:sz w:val="24"/>
                <w:lang w:eastAsia="zh-CN"/>
              </w:rPr>
            </w:pPr>
            <w:r>
              <w:rPr>
                <w:rFonts w:hint="default" w:ascii="Times New Roman" w:hAnsi="Times New Roman" w:eastAsia="宋体" w:cs="Times New Roman"/>
                <w:b/>
                <w:bCs/>
                <w:color w:val="auto"/>
                <w:spacing w:val="0"/>
                <w:sz w:val="24"/>
                <w:lang w:eastAsia="zh-CN"/>
              </w:rPr>
              <w:t>审查文件名称：</w:t>
            </w:r>
            <w:r>
              <w:rPr>
                <w:rFonts w:hint="default" w:ascii="Times New Roman" w:hAnsi="Times New Roman" w:eastAsia="宋体" w:cs="Times New Roman"/>
                <w:color w:val="auto"/>
                <w:spacing w:val="0"/>
                <w:sz w:val="24"/>
                <w:lang w:eastAsia="zh-CN"/>
              </w:rPr>
              <w:t>关于转送河北兴隆经济开发区总体规划环境影响报告书审查意见的函</w:t>
            </w:r>
          </w:p>
          <w:p w14:paraId="3D2A1018">
            <w:pPr>
              <w:keepNext w:val="0"/>
              <w:keepLines w:val="0"/>
              <w:pageBreakBefore w:val="0"/>
              <w:widowControl w:val="0"/>
              <w:kinsoku/>
              <w:wordWrap/>
              <w:overflowPunct/>
              <w:topLinePunct w:val="0"/>
              <w:autoSpaceDE w:val="0"/>
              <w:autoSpaceDN w:val="0"/>
              <w:bidi w:val="0"/>
              <w:adjustRightInd/>
              <w:snapToGrid/>
              <w:spacing w:line="500" w:lineRule="exact"/>
              <w:ind w:left="0" w:leftChars="0" w:right="0" w:rightChars="0" w:firstLine="482" w:firstLineChars="200"/>
              <w:jc w:val="left"/>
              <w:textAlignment w:val="auto"/>
              <w:rPr>
                <w:rFonts w:hint="default" w:ascii="Times New Roman" w:hAnsi="Times New Roman" w:eastAsia="宋体" w:cs="Times New Roman"/>
                <w:color w:val="auto"/>
                <w:spacing w:val="0"/>
                <w:sz w:val="24"/>
                <w:lang w:eastAsia="zh-CN"/>
              </w:rPr>
            </w:pPr>
            <w:r>
              <w:rPr>
                <w:rFonts w:hint="default" w:ascii="Times New Roman" w:hAnsi="Times New Roman" w:eastAsia="宋体" w:cs="Times New Roman"/>
                <w:b/>
                <w:bCs/>
                <w:color w:val="auto"/>
                <w:spacing w:val="0"/>
                <w:sz w:val="24"/>
                <w:lang w:eastAsia="zh-CN"/>
              </w:rPr>
              <w:t>文号：</w:t>
            </w:r>
            <w:r>
              <w:rPr>
                <w:rFonts w:hint="default" w:ascii="Times New Roman" w:hAnsi="Times New Roman" w:eastAsia="宋体" w:cs="Times New Roman"/>
                <w:color w:val="auto"/>
                <w:spacing w:val="0"/>
                <w:sz w:val="24"/>
              </w:rPr>
              <w:t>冀环环评函（2024）962号</w:t>
            </w:r>
          </w:p>
        </w:tc>
      </w:tr>
      <w:tr w14:paraId="2F1D28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0" w:hRule="atLeast"/>
        </w:trPr>
        <w:tc>
          <w:tcPr>
            <w:tcW w:w="1674" w:type="dxa"/>
            <w:gridSpan w:val="2"/>
            <w:tcBorders>
              <w:top w:val="single" w:color="000000" w:sz="4" w:space="0"/>
              <w:bottom w:val="single" w:color="000000" w:sz="4" w:space="0"/>
              <w:right w:val="single" w:color="000000" w:sz="4" w:space="0"/>
            </w:tcBorders>
            <w:vAlign w:val="center"/>
          </w:tcPr>
          <w:p w14:paraId="098DB269">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规划及规划环境影响评价符合性分析</w:t>
            </w:r>
          </w:p>
        </w:tc>
        <w:tc>
          <w:tcPr>
            <w:tcW w:w="7194" w:type="dxa"/>
            <w:gridSpan w:val="3"/>
            <w:tcBorders>
              <w:top w:val="single" w:color="000000" w:sz="4" w:space="0"/>
              <w:left w:val="single" w:color="000000" w:sz="4" w:space="0"/>
              <w:bottom w:val="single" w:color="000000" w:sz="4" w:space="0"/>
            </w:tcBorders>
            <w:vAlign w:val="center"/>
          </w:tcPr>
          <w:p w14:paraId="5838055F">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规划及规划环评符合性：</w:t>
            </w:r>
          </w:p>
          <w:p w14:paraId="607775FA">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本项目位于河北兴隆经济开发区</w:t>
            </w:r>
            <w:r>
              <w:rPr>
                <w:rFonts w:hint="eastAsia" w:cs="Times New Roman"/>
                <w:color w:val="auto"/>
                <w:lang w:eastAsia="zh-CN"/>
              </w:rPr>
              <w:t>中心区</w:t>
            </w:r>
            <w:r>
              <w:rPr>
                <w:rFonts w:hint="default" w:ascii="Times New Roman" w:hAnsi="Times New Roman" w:eastAsia="宋体" w:cs="Times New Roman"/>
                <w:color w:val="auto"/>
              </w:rPr>
              <w:t>组团，开发区的功能定位为“主要发展装备制造、食品加工制造、中</w:t>
            </w:r>
            <w:bookmarkStart w:id="1" w:name="_GoBack"/>
            <w:bookmarkEnd w:id="1"/>
            <w:r>
              <w:rPr>
                <w:rFonts w:hint="default" w:ascii="Times New Roman" w:hAnsi="Times New Roman" w:eastAsia="宋体" w:cs="Times New Roman"/>
                <w:color w:val="auto"/>
              </w:rPr>
              <w:t>医药制造、新型建材、金属冶炼和压延加工等产业及相关产业。依托112国道打造现代物流</w:t>
            </w:r>
            <w:r>
              <w:rPr>
                <w:rFonts w:hint="eastAsia" w:cs="Times New Roman"/>
                <w:color w:val="auto"/>
                <w:lang w:eastAsia="zh-CN"/>
              </w:rPr>
              <w:t>，</w:t>
            </w:r>
            <w:r>
              <w:rPr>
                <w:rFonts w:hint="default" w:ascii="Times New Roman" w:hAnsi="Times New Roman" w:eastAsia="宋体" w:cs="Times New Roman"/>
                <w:color w:val="auto"/>
              </w:rPr>
              <w:t>形成贸易货物集散中心。同时大力发展循环经济，提升传统产业，增强产业链，延伸产业链条，兼顾发展城市服务、生产和生活配套设施。 ”本项目</w:t>
            </w:r>
            <w:r>
              <w:rPr>
                <w:rFonts w:hint="eastAsia" w:ascii="Times New Roman" w:hAnsi="Times New Roman" w:eastAsia="宋体" w:cs="Times New Roman"/>
                <w:color w:val="auto"/>
                <w:sz w:val="24"/>
                <w:szCs w:val="24"/>
                <w:lang w:eastAsia="zh-CN"/>
              </w:rPr>
              <w:t>主要以外购</w:t>
            </w:r>
            <w:r>
              <w:rPr>
                <w:rFonts w:hint="default" w:ascii="Times New Roman" w:hAnsi="Times New Roman" w:eastAsia="宋体" w:cs="Times New Roman"/>
                <w:color w:val="auto"/>
                <w:sz w:val="24"/>
                <w:szCs w:val="24"/>
              </w:rPr>
              <w:t>的</w:t>
            </w:r>
            <w:r>
              <w:rPr>
                <w:rFonts w:hint="eastAsia" w:ascii="Times New Roman" w:hAnsi="Times New Roman" w:eastAsia="宋体" w:cs="Times New Roman"/>
                <w:color w:val="auto"/>
                <w:sz w:val="24"/>
                <w:szCs w:val="24"/>
                <w:lang w:eastAsia="zh-CN"/>
              </w:rPr>
              <w:t>废钢渣</w:t>
            </w:r>
            <w:r>
              <w:rPr>
                <w:rFonts w:hint="default" w:ascii="Times New Roman" w:hAnsi="Times New Roman" w:eastAsia="宋体" w:cs="Times New Roman"/>
                <w:color w:val="auto"/>
                <w:sz w:val="24"/>
                <w:szCs w:val="24"/>
              </w:rPr>
              <w:t>为原料，通过</w:t>
            </w:r>
            <w:r>
              <w:rPr>
                <w:rFonts w:hint="eastAsia" w:ascii="Times New Roman" w:hAnsi="Times New Roman" w:eastAsia="宋体" w:cs="Times New Roman"/>
                <w:color w:val="auto"/>
                <w:sz w:val="24"/>
                <w:szCs w:val="24"/>
                <w:lang w:eastAsia="zh-CN"/>
              </w:rPr>
              <w:t>筛选、除杂、粉磨</w:t>
            </w:r>
            <w:r>
              <w:rPr>
                <w:rFonts w:hint="default" w:ascii="Times New Roman" w:hAnsi="Times New Roman" w:eastAsia="宋体" w:cs="Times New Roman"/>
                <w:color w:val="auto"/>
                <w:sz w:val="24"/>
                <w:szCs w:val="24"/>
              </w:rPr>
              <w:t>等工序</w:t>
            </w:r>
            <w:r>
              <w:rPr>
                <w:rFonts w:hint="eastAsia" w:ascii="Times New Roman" w:hAnsi="Times New Roman" w:eastAsia="宋体" w:cs="Times New Roman"/>
                <w:color w:val="auto"/>
                <w:sz w:val="24"/>
                <w:szCs w:val="24"/>
                <w:lang w:eastAsia="zh-CN"/>
              </w:rPr>
              <w:t>对废钢渣再处理，形成制砖砂</w:t>
            </w:r>
            <w:r>
              <w:rPr>
                <w:rFonts w:hint="default" w:ascii="Times New Roman" w:hAnsi="Times New Roman" w:eastAsia="宋体" w:cs="Times New Roman"/>
                <w:color w:val="auto"/>
              </w:rPr>
              <w:t>，满足新型建材这一定位，与园区规划相符，与区块定位不冲突。</w:t>
            </w:r>
          </w:p>
          <w:p w14:paraId="39686BE2">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规划环评审查意见符合性：</w:t>
            </w:r>
          </w:p>
          <w:p w14:paraId="2490A3C1">
            <w:pPr>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left"/>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在开发区规划实施过程中，除严格落实《</w:t>
            </w:r>
            <w:r>
              <w:rPr>
                <w:rFonts w:hint="default" w:ascii="Times New Roman" w:hAnsi="Times New Roman" w:eastAsia="宋体" w:cs="Times New Roman"/>
                <w:color w:val="auto"/>
                <w:lang w:eastAsia="zh-CN"/>
              </w:rPr>
              <w:t>河北兴隆经济开发区总体发展规划(2023-2035年)环境影响报告书</w:t>
            </w:r>
            <w:r>
              <w:rPr>
                <w:rFonts w:hint="default" w:ascii="Times New Roman" w:hAnsi="Times New Roman" w:eastAsia="宋体" w:cs="Times New Roman"/>
                <w:color w:val="auto"/>
              </w:rPr>
              <w:t>》各项要求外，还应做好以下工作</w:t>
            </w:r>
            <w:r>
              <w:rPr>
                <w:rFonts w:hint="eastAsia" w:cs="Times New Roman"/>
                <w:color w:val="auto"/>
                <w:lang w:eastAsia="zh-CN"/>
              </w:rPr>
              <w:t>：</w:t>
            </w:r>
          </w:p>
          <w:p w14:paraId="32916C14">
            <w:pPr>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（一）严格环境准入，推动产业转型升级和绿色发展。入区企业应符合《产业结构调整指导目录（</w:t>
            </w:r>
            <w:r>
              <w:rPr>
                <w:rFonts w:hint="eastAsia" w:cs="Times New Roman"/>
                <w:color w:val="auto"/>
                <w:lang w:val="en-US" w:eastAsia="zh-CN"/>
              </w:rPr>
              <w:t>2024</w:t>
            </w:r>
            <w:r>
              <w:rPr>
                <w:rFonts w:hint="default" w:ascii="Times New Roman" w:hAnsi="Times New Roman" w:eastAsia="宋体" w:cs="Times New Roman"/>
                <w:color w:val="auto"/>
              </w:rPr>
              <w:t>年本）》《承德市生态环境保护“十四五”规划》(承市政字[2022]16 号)、《兴隆县国民经济和社会发展第十四个五年规划和二〇三五年远景目标纲要》</w:t>
            </w:r>
            <w:r>
              <w:rPr>
                <w:rFonts w:hint="eastAsia" w:cs="Times New Roman"/>
                <w:color w:val="auto"/>
                <w:lang w:eastAsia="zh-CN"/>
              </w:rPr>
              <w:t>、《承德市“三线一单”生态环境准入清单》</w:t>
            </w:r>
            <w:r>
              <w:rPr>
                <w:rFonts w:hint="default" w:ascii="Times New Roman" w:hAnsi="Times New Roman" w:eastAsia="宋体" w:cs="Times New Roman"/>
                <w:color w:val="auto"/>
              </w:rPr>
              <w:t>等文件要求，并严格落实环评报告中生态环境准入清单的管控要求。</w:t>
            </w:r>
          </w:p>
          <w:p w14:paraId="24D5B5EE">
            <w:pPr>
              <w:keepNext w:val="0"/>
              <w:keepLines w:val="0"/>
              <w:pageBreakBefore w:val="0"/>
              <w:widowControl/>
              <w:suppressLineNumbers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对照</w:t>
            </w:r>
            <w:r>
              <w:rPr>
                <w:b/>
                <w:bCs/>
                <w:color w:val="auto"/>
                <w:sz w:val="24"/>
                <w:szCs w:val="24"/>
              </w:rPr>
              <w:t>《国民经济行业分类》（GB/T4754-2017）</w:t>
            </w:r>
            <w:r>
              <w:rPr>
                <w:rFonts w:hint="eastAsia"/>
                <w:b/>
                <w:bCs/>
                <w:color w:val="auto"/>
                <w:sz w:val="24"/>
                <w:szCs w:val="24"/>
                <w:lang w:eastAsia="zh-CN"/>
              </w:rPr>
              <w:t>项目属于</w:t>
            </w:r>
            <w:r>
              <w:rPr>
                <w:rFonts w:hint="eastAsia"/>
                <w:b/>
                <w:bCs/>
                <w:color w:val="auto"/>
                <w:sz w:val="24"/>
                <w:szCs w:val="24"/>
                <w:highlight w:val="none"/>
                <w:lang w:val="en-US" w:eastAsia="zh-CN"/>
              </w:rPr>
              <w:t>4210金属废料和碎屑加工处理，主要以外购的废钢渣为原料，通过筛选、除杂、粉磨等工序对废钢渣加工处理，更好的提高废旧资源再生利用水平</w:t>
            </w:r>
            <w:r>
              <w:rPr>
                <w:rFonts w:hint="default" w:ascii="Times New Roman" w:hAnsi="Times New Roman" w:eastAsia="宋体" w:cs="Times New Roman"/>
                <w:b/>
                <w:bCs/>
                <w:color w:val="auto"/>
              </w:rPr>
              <w:t>属于《产业结构调整指导目录（</w:t>
            </w:r>
            <w:r>
              <w:rPr>
                <w:rFonts w:hint="eastAsia" w:cs="Times New Roman"/>
                <w:b/>
                <w:bCs/>
                <w:color w:val="auto"/>
                <w:lang w:val="en-US" w:eastAsia="zh-CN"/>
              </w:rPr>
              <w:t>2024</w:t>
            </w:r>
            <w:r>
              <w:rPr>
                <w:rFonts w:hint="default" w:ascii="Times New Roman" w:hAnsi="Times New Roman" w:eastAsia="宋体" w:cs="Times New Roman"/>
                <w:b/>
                <w:bCs/>
                <w:color w:val="auto"/>
              </w:rPr>
              <w:t>年本）》中</w:t>
            </w:r>
            <w:r>
              <w:rPr>
                <w:rFonts w:hint="default" w:ascii="Times New Roman" w:hAnsi="Times New Roman" w:eastAsia="宋体" w:cs="Times New Roman"/>
                <w:b/>
                <w:bCs/>
                <w:color w:val="auto"/>
                <w:lang w:val="en-US" w:eastAsia="zh-CN"/>
              </w:rPr>
              <w:t>鼓励类项目</w:t>
            </w:r>
            <w:r>
              <w:rPr>
                <w:rFonts w:hint="default" w:ascii="Times New Roman" w:hAnsi="Times New Roman" w:eastAsia="宋体" w:cs="Times New Roman"/>
                <w:b/>
                <w:bCs/>
                <w:color w:val="auto"/>
              </w:rPr>
              <w:t>；</w:t>
            </w:r>
            <w:r>
              <w:rPr>
                <w:rFonts w:hint="eastAsia" w:cs="Times New Roman"/>
                <w:b/>
                <w:bCs/>
                <w:color w:val="auto"/>
                <w:lang w:eastAsia="zh-CN"/>
              </w:rPr>
              <w:t>同时项目建设符合</w:t>
            </w:r>
            <w:r>
              <w:rPr>
                <w:rFonts w:hint="default" w:ascii="Times New Roman" w:hAnsi="Times New Roman" w:eastAsia="宋体" w:cs="Times New Roman"/>
                <w:b/>
                <w:bCs/>
                <w:color w:val="auto"/>
              </w:rPr>
              <w:t>《承德市生态环境保护“十四五”规划》(承市政字[2022]16号)、《兴隆县国民经济和社会发展第十四个五年规划和二〇三五年远景目标纲要》。满足审查意见的环境准入条件</w:t>
            </w:r>
            <w:r>
              <w:rPr>
                <w:rFonts w:hint="default" w:ascii="Times New Roman" w:hAnsi="Times New Roman" w:eastAsia="宋体" w:cs="Times New Roman"/>
                <w:b/>
                <w:bCs/>
                <w:color w:val="auto"/>
                <w:lang w:eastAsia="zh-CN"/>
              </w:rPr>
              <w:t>。</w:t>
            </w:r>
          </w:p>
          <w:p w14:paraId="60C82A6D">
            <w:pPr>
              <w:pStyle w:val="29"/>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二）加强总量管控，促进环境质量改善。按照最不利条件并预留一定安全余量的原则，提出的污染物排放总量控制上线作为开发区污染物总量管控限值。严格落实区域污染物削减方案，并提升技术工艺及节能节水控污水平，不断改善环境质量。</w:t>
            </w:r>
          </w:p>
          <w:p w14:paraId="11C1A75C">
            <w:pPr>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项目建成不涉及总量。</w:t>
            </w:r>
          </w:p>
          <w:p w14:paraId="0FDB3527">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rPr>
                <w:rFonts w:hint="default" w:ascii="Times New Roman" w:hAnsi="Times New Roman" w:eastAsia="宋体" w:cs="Times New Roman"/>
                <w:color w:val="auto"/>
              </w:rPr>
            </w:pPr>
            <w:r>
              <w:rPr>
                <w:rFonts w:hint="eastAsia" w:cs="Times New Roman"/>
                <w:color w:val="auto"/>
                <w:lang w:eastAsia="zh-CN"/>
              </w:rPr>
              <w:t>（三）</w:t>
            </w:r>
            <w:r>
              <w:rPr>
                <w:rFonts w:hint="default" w:ascii="Times New Roman" w:hAnsi="Times New Roman" w:eastAsia="宋体" w:cs="Times New Roman"/>
                <w:color w:val="auto"/>
              </w:rPr>
              <w:t>加强规划环评与项目环评联动，切实发挥规划和项目环评预防环境污染和生态破坏的作用。项目环评文件应落实规划环评提出的各项要求，选址符合性分析、区域大气环境容量、配套基础设施可行性可适当简化；重点开展项目准入条件符合性、工程分析、布局合理性、环保措施的可行性论证、污染物排放量与总量控制指标、大气环境防护距离符合性、清洁生产水平分析，并关注开发区基础设施及应急体系保障能力，强化环境监测和环境保护相关措施的落实。</w:t>
            </w:r>
          </w:p>
          <w:p w14:paraId="7310A3D2">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0" w:right="0" w:rightChars="0" w:firstLine="482" w:firstLineChars="20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本项目环评对项目准入条件符合性、工程分析、布局合理性、环保措施的可行性进行了论证、对污染物排放量</w:t>
            </w:r>
            <w:r>
              <w:rPr>
                <w:rFonts w:hint="default" w:ascii="Times New Roman" w:hAnsi="Times New Roman" w:eastAsia="宋体" w:cs="Times New Roman"/>
                <w:b/>
                <w:bCs/>
                <w:color w:val="auto"/>
                <w:lang w:eastAsia="zh-CN"/>
              </w:rPr>
              <w:t>等</w:t>
            </w:r>
            <w:r>
              <w:rPr>
                <w:rFonts w:hint="default" w:ascii="Times New Roman" w:hAnsi="Times New Roman" w:eastAsia="宋体" w:cs="Times New Roman"/>
                <w:b/>
                <w:bCs/>
                <w:color w:val="auto"/>
              </w:rPr>
              <w:t>进行了分析，满足审查意见中加强规划环评与项目环评联动这一要求</w:t>
            </w:r>
            <w:r>
              <w:rPr>
                <w:rFonts w:hint="default" w:ascii="Times New Roman" w:hAnsi="Times New Roman" w:eastAsia="宋体" w:cs="Times New Roman"/>
                <w:b/>
                <w:bCs/>
                <w:color w:val="auto"/>
                <w:lang w:eastAsia="zh-CN"/>
              </w:rPr>
              <w:t>。</w:t>
            </w:r>
          </w:p>
          <w:p w14:paraId="498DAB69">
            <w:pPr>
              <w:pStyle w:val="29"/>
              <w:keepNext w:val="0"/>
              <w:keepLines w:val="0"/>
              <w:pageBreakBefore w:val="0"/>
              <w:widowControl w:val="0"/>
              <w:numPr>
                <w:ilvl w:val="0"/>
                <w:numId w:val="2"/>
              </w:numPr>
              <w:kinsoku/>
              <w:wordWrap/>
              <w:overflowPunct/>
              <w:topLinePunct w:val="0"/>
              <w:autoSpaceDE w:val="0"/>
              <w:autoSpaceDN w:val="0"/>
              <w:bidi w:val="0"/>
              <w:adjustRightInd/>
              <w:snapToGrid/>
              <w:spacing w:line="500" w:lineRule="exact"/>
              <w:ind w:left="0" w:leftChars="0" w:right="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注重开发区发展与区域资源承载力相协调，统筹规划建设开发区配套的基础设施。中心区组团集中供水设施依托在建的雾灵山第二水厂，水厂位于城区西北侧下石洞村西，由地表水地下水联合供给；除中心区组团外，其他组团位置偏远且企业数量少，不具备建设集中供水设施的条件，均纳入区域供水范畴</w:t>
            </w:r>
            <w:r>
              <w:rPr>
                <w:rFonts w:hint="eastAsia" w:ascii="Times New Roman" w:hAnsi="Times New Roman" w:cs="Times New Roman"/>
                <w:color w:val="auto"/>
                <w:lang w:eastAsia="zh-CN"/>
              </w:rPr>
              <w:t>；中心区组团与中心城区统筹供热，规划保留现状鹏生热电厂，并根据需求适时进行扩容。</w:t>
            </w:r>
            <w:r>
              <w:rPr>
                <w:rFonts w:hint="default" w:ascii="Times New Roman" w:hAnsi="Times New Roman" w:eastAsia="宋体" w:cs="Times New Roman"/>
                <w:color w:val="auto"/>
              </w:rPr>
              <w:t>其他组团位置偏远</w:t>
            </w:r>
            <w:r>
              <w:rPr>
                <w:rFonts w:hint="eastAsia" w:ascii="Times New Roman" w:hAnsi="Times New Roman" w:cs="Times New Roman"/>
                <w:color w:val="auto"/>
                <w:lang w:eastAsia="zh-CN"/>
              </w:rPr>
              <w:t>由自建的燃气、生物质或电锅炉供给。</w:t>
            </w:r>
            <w:r>
              <w:rPr>
                <w:rFonts w:hint="default" w:ascii="Times New Roman" w:hAnsi="Times New Roman" w:eastAsia="宋体" w:cs="Times New Roman"/>
                <w:color w:val="auto"/>
              </w:rPr>
              <w:t>开发区气源采用CNG压缩天然气、LNG液化天然气，采用撬车和罐车进行运输。</w:t>
            </w:r>
          </w:p>
          <w:p w14:paraId="1D375BFC">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z w:val="24"/>
                <w:szCs w:val="24"/>
                <w:lang w:eastAsia="zh-CN"/>
              </w:rPr>
              <w:t>本项目为新建项目</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eastAsia="zh-CN"/>
              </w:rPr>
              <w:t>用电</w:t>
            </w:r>
            <w:r>
              <w:rPr>
                <w:rFonts w:hint="default" w:ascii="Times New Roman" w:hAnsi="Times New Roman" w:eastAsia="宋体" w:cs="Times New Roman"/>
                <w:b/>
                <w:bCs/>
                <w:color w:val="auto"/>
                <w:sz w:val="24"/>
                <w:szCs w:val="24"/>
                <w:lang w:val="en-US" w:eastAsia="zh-CN"/>
              </w:rPr>
              <w:t>自备变压器</w:t>
            </w:r>
            <w:r>
              <w:rPr>
                <w:rFonts w:hint="default" w:ascii="Times New Roman" w:hAnsi="Times New Roman" w:eastAsia="宋体" w:cs="Times New Roman"/>
                <w:b/>
                <w:bCs/>
                <w:color w:val="auto"/>
                <w:sz w:val="24"/>
                <w:szCs w:val="24"/>
                <w:lang w:eastAsia="zh-CN"/>
              </w:rPr>
              <w:t>，接入当地电网；用水</w:t>
            </w:r>
            <w:r>
              <w:rPr>
                <w:rFonts w:hint="eastAsia" w:cs="Times New Roman"/>
                <w:b/>
                <w:bCs/>
                <w:color w:val="auto"/>
                <w:sz w:val="24"/>
                <w:szCs w:val="24"/>
                <w:lang w:eastAsia="zh-CN"/>
              </w:rPr>
              <w:t>利用场内现有水井</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kern w:val="0"/>
                <w:sz w:val="24"/>
                <w:szCs w:val="24"/>
                <w:lang w:val="en-US" w:eastAsia="zh-CN" w:bidi="ar"/>
              </w:rPr>
              <w:t>生产废水排入</w:t>
            </w:r>
            <w:r>
              <w:rPr>
                <w:rFonts w:hint="eastAsia" w:cs="Times New Roman"/>
                <w:b/>
                <w:bCs/>
                <w:color w:val="auto"/>
                <w:kern w:val="0"/>
                <w:sz w:val="24"/>
                <w:szCs w:val="24"/>
                <w:lang w:val="en-US" w:eastAsia="zh-CN" w:bidi="ar"/>
              </w:rPr>
              <w:t>沉淀池</w:t>
            </w:r>
            <w:r>
              <w:rPr>
                <w:rFonts w:hint="default" w:ascii="Times New Roman" w:hAnsi="Times New Roman" w:eastAsia="宋体" w:cs="Times New Roman"/>
                <w:b/>
                <w:bCs/>
                <w:color w:val="auto"/>
                <w:kern w:val="0"/>
                <w:sz w:val="24"/>
                <w:szCs w:val="24"/>
                <w:lang w:val="en-US" w:eastAsia="zh-CN" w:bidi="ar"/>
              </w:rPr>
              <w:t>内回用于生产，不外排；</w:t>
            </w:r>
            <w:r>
              <w:rPr>
                <w:rFonts w:hint="default" w:ascii="Times New Roman" w:hAnsi="Times New Roman" w:eastAsia="宋体" w:cs="Times New Roman"/>
                <w:b/>
                <w:bCs/>
                <w:color w:val="auto"/>
                <w:sz w:val="24"/>
                <w:szCs w:val="24"/>
                <w:highlight w:val="none"/>
                <w:lang w:val="en-US" w:eastAsia="zh-CN"/>
              </w:rPr>
              <w:t>本项目生产不用热，办公室取暖由单体空调提供；</w:t>
            </w:r>
            <w:r>
              <w:rPr>
                <w:rFonts w:hint="default" w:ascii="Times New Roman" w:hAnsi="Times New Roman" w:eastAsia="宋体" w:cs="Times New Roman"/>
                <w:b/>
                <w:bCs/>
                <w:color w:val="auto"/>
                <w:sz w:val="24"/>
                <w:szCs w:val="24"/>
                <w:lang w:eastAsia="zh-CN"/>
              </w:rPr>
              <w:t>不适用蒸汽。</w:t>
            </w:r>
          </w:p>
          <w:p w14:paraId="1AED687D">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六）加强区域环境污染防治和应急措施。强化区域环境大气、水污染治理措施，加强固体废物管理，危险废物坚持无害化、减量化、资源化原则，妥善利用和处置，确保环境安全。严格落实环境报告书中提出的各项环境风险防范措施，加强风险事故情况下的环境污染防范、应急响应和协同处置，防治对区域周边环境敏感点造成影响。</w:t>
            </w:r>
          </w:p>
          <w:p w14:paraId="6D0EEDB8">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482" w:firstLineChars="20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项目对产生的大气污染物、固体废物进行处理，使其能够达标排放，项目所产生的危险废物均得到了妥善处置，满足审查意见提出的环保要求。</w:t>
            </w:r>
          </w:p>
          <w:p w14:paraId="04C6F3DB">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right="0" w:rightChars="0" w:firstLine="0" w:firstLineChars="0"/>
              <w:jc w:val="center"/>
              <w:textAlignment w:val="auto"/>
              <w:rPr>
                <w:rFonts w:hint="default" w:ascii="Times New Roman" w:hAnsi="Times New Roman" w:eastAsia="宋体" w:cs="Times New Roman"/>
                <w:color w:val="auto"/>
                <w:lang w:eastAsia="zh-CN"/>
              </w:rPr>
            </w:pPr>
          </w:p>
        </w:tc>
      </w:tr>
      <w:tr w14:paraId="5D6CF7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05" w:hRule="atLeast"/>
        </w:trPr>
        <w:tc>
          <w:tcPr>
            <w:tcW w:w="1027" w:type="dxa"/>
            <w:tcBorders>
              <w:top w:val="single" w:color="000000" w:sz="4" w:space="0"/>
              <w:right w:val="single" w:color="000000" w:sz="4" w:space="0"/>
            </w:tcBorders>
            <w:vAlign w:val="center"/>
          </w:tcPr>
          <w:p w14:paraId="445DF656">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其他符合性分析</w:t>
            </w:r>
          </w:p>
        </w:tc>
        <w:tc>
          <w:tcPr>
            <w:tcW w:w="7841" w:type="dxa"/>
            <w:gridSpan w:val="4"/>
            <w:tcBorders>
              <w:top w:val="single" w:color="000000" w:sz="4" w:space="0"/>
            </w:tcBorders>
            <w:vAlign w:val="center"/>
          </w:tcPr>
          <w:p w14:paraId="19F8A82F">
            <w:pPr>
              <w:keepNext w:val="0"/>
              <w:keepLines w:val="0"/>
              <w:pageBreakBefore w:val="0"/>
              <w:widowControl w:val="0"/>
              <w:kinsoku/>
              <w:wordWrap/>
              <w:overflowPunct/>
              <w:topLinePunct w:val="0"/>
              <w:autoSpaceDE w:val="0"/>
              <w:autoSpaceDN w:val="0"/>
              <w:bidi w:val="0"/>
              <w:adjustRightInd/>
              <w:snapToGrid/>
              <w:spacing w:line="500" w:lineRule="exact"/>
              <w:ind w:left="0" w:right="0" w:firstLine="482" w:firstLineChars="200"/>
              <w:jc w:val="left"/>
              <w:textAlignment w:val="auto"/>
              <w:rPr>
                <w:b/>
                <w:bCs/>
                <w:color w:val="auto"/>
              </w:rPr>
            </w:pPr>
            <w:r>
              <w:rPr>
                <w:rFonts w:hint="eastAsia"/>
                <w:b/>
                <w:bCs/>
                <w:color w:val="auto"/>
                <w:lang w:val="en-US"/>
              </w:rPr>
              <w:t>1、</w:t>
            </w:r>
            <w:r>
              <w:rPr>
                <w:rFonts w:hint="eastAsia"/>
                <w:b/>
                <w:bCs/>
                <w:color w:val="auto"/>
                <w:lang w:eastAsia="zh-CN"/>
              </w:rPr>
              <w:t>市场准入清单</w:t>
            </w:r>
            <w:r>
              <w:rPr>
                <w:rFonts w:hint="eastAsia"/>
                <w:b/>
                <w:bCs/>
                <w:color w:val="auto"/>
              </w:rPr>
              <w:t>符合性分析：</w:t>
            </w:r>
          </w:p>
          <w:p w14:paraId="2379C41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w:t>
            </w:r>
            <w:r>
              <w:rPr>
                <w:rFonts w:hint="default" w:ascii="Times New Roman" w:hAnsi="Times New Roman" w:eastAsia="宋体" w:cs="Times New Roman"/>
                <w:color w:val="auto"/>
                <w:lang w:val="en-US" w:eastAsia="zh-CN"/>
              </w:rPr>
              <w:t>据</w:t>
            </w:r>
            <w:r>
              <w:rPr>
                <w:rFonts w:hint="eastAsia" w:cs="Times New Roman"/>
                <w:color w:val="auto"/>
                <w:lang w:val="en-US" w:eastAsia="zh-CN"/>
              </w:rPr>
              <w:t>“</w:t>
            </w:r>
            <w:r>
              <w:rPr>
                <w:rFonts w:hint="default" w:ascii="Times New Roman" w:hAnsi="Times New Roman" w:eastAsia="宋体" w:cs="Times New Roman"/>
                <w:color w:val="auto"/>
                <w:lang w:val="en-US" w:eastAsia="zh-CN"/>
              </w:rPr>
              <w:t>国家发展改革委 商务部关于印发《市场准入负面清单（2022年版）》的通知（发改体改规[2022]397号）</w:t>
            </w:r>
            <w:r>
              <w:rPr>
                <w:rFonts w:hint="eastAsia" w:cs="Times New Roman"/>
                <w:color w:val="auto"/>
                <w:lang w:val="en-US" w:eastAsia="zh-CN"/>
              </w:rPr>
              <w:t>”</w:t>
            </w:r>
            <w:r>
              <w:rPr>
                <w:rFonts w:hint="default" w:ascii="Times New Roman" w:hAnsi="Times New Roman" w:eastAsia="宋体" w:cs="Times New Roman"/>
                <w:color w:val="auto"/>
                <w:lang w:val="en-US" w:eastAsia="zh-CN"/>
              </w:rPr>
              <w:t>，应严格落实</w:t>
            </w:r>
            <w:r>
              <w:rPr>
                <w:rFonts w:hint="eastAsia" w:cs="Times New Roman"/>
                <w:color w:val="auto"/>
                <w:lang w:val="en-US" w:eastAsia="zh-CN"/>
              </w:rPr>
              <w:t>“</w:t>
            </w:r>
            <w:r>
              <w:rPr>
                <w:rFonts w:hint="default" w:ascii="Times New Roman" w:hAnsi="Times New Roman" w:eastAsia="宋体" w:cs="Times New Roman"/>
                <w:color w:val="auto"/>
                <w:lang w:val="en-US" w:eastAsia="zh-CN"/>
              </w:rPr>
              <w:t>全国一张清单</w:t>
            </w:r>
            <w:r>
              <w:rPr>
                <w:rFonts w:hint="eastAsia" w:cs="Times New Roman"/>
                <w:color w:val="auto"/>
                <w:lang w:val="en-US" w:eastAsia="zh-CN"/>
              </w:rPr>
              <w:t>”</w:t>
            </w:r>
            <w:r>
              <w:rPr>
                <w:rFonts w:hint="default" w:ascii="Times New Roman" w:hAnsi="Times New Roman" w:eastAsia="宋体" w:cs="Times New Roman"/>
                <w:color w:val="auto"/>
                <w:lang w:val="en-US" w:eastAsia="zh-CN"/>
              </w:rPr>
              <w:t>管理要求，坚决维护市场准入负面清单制度的统一性、严肃性和权威性，确保</w:t>
            </w:r>
            <w:r>
              <w:rPr>
                <w:rFonts w:hint="eastAsia" w:cs="Times New Roman"/>
                <w:color w:val="auto"/>
                <w:lang w:val="en-US" w:eastAsia="zh-CN"/>
              </w:rPr>
              <w:t>“</w:t>
            </w:r>
            <w:r>
              <w:rPr>
                <w:rFonts w:hint="default" w:ascii="Times New Roman" w:hAnsi="Times New Roman" w:eastAsia="宋体" w:cs="Times New Roman"/>
                <w:color w:val="auto"/>
                <w:lang w:val="en-US" w:eastAsia="zh-CN"/>
              </w:rPr>
              <w:t>一单尽列、单外无单</w:t>
            </w:r>
            <w:r>
              <w:rPr>
                <w:rFonts w:hint="eastAsia" w:cs="Times New Roman"/>
                <w:color w:val="auto"/>
                <w:lang w:val="en-US" w:eastAsia="zh-CN"/>
              </w:rPr>
              <w:t>”</w:t>
            </w:r>
            <w:r>
              <w:rPr>
                <w:rFonts w:hint="default" w:ascii="Times New Roman" w:hAnsi="Times New Roman" w:eastAsia="宋体" w:cs="Times New Roman"/>
                <w:color w:val="auto"/>
                <w:lang w:val="en-US" w:eastAsia="zh-CN"/>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1E0AD40D">
            <w:pPr>
              <w:keepNext w:val="0"/>
              <w:keepLines w:val="0"/>
              <w:pageBreakBefore w:val="0"/>
              <w:widowControl w:val="0"/>
              <w:kinsoku/>
              <w:wordWrap/>
              <w:overflowPunct/>
              <w:topLinePunct w:val="0"/>
              <w:autoSpaceDE w:val="0"/>
              <w:autoSpaceDN w:val="0"/>
              <w:bidi w:val="0"/>
              <w:adjustRightInd w:val="0"/>
              <w:snapToGrid w:val="0"/>
              <w:spacing w:line="500" w:lineRule="exact"/>
              <w:ind w:left="0" w:right="0" w:firstLine="480" w:firstLineChars="200"/>
              <w:jc w:val="left"/>
              <w:textAlignment w:val="auto"/>
              <w:rPr>
                <w:rFonts w:hint="eastAsia"/>
                <w:color w:val="auto"/>
                <w:lang w:val="en-US"/>
              </w:rPr>
            </w:pPr>
            <w:r>
              <w:rPr>
                <w:rFonts w:hint="default" w:ascii="Times New Roman" w:hAnsi="Times New Roman" w:eastAsia="宋体" w:cs="Times New Roman"/>
                <w:color w:val="auto"/>
                <w:lang w:val="en-US" w:eastAsia="zh-CN"/>
              </w:rPr>
              <w:t>根据《市场准入负面清单（2022年版）》，禁止准入类共6项，涉及生态环境保护的3项，本项目符合性见表</w:t>
            </w:r>
            <w:r>
              <w:rPr>
                <w:rFonts w:hint="eastAsia" w:ascii="Times New Roman" w:hAnsi="Times New Roman" w:eastAsia="宋体" w:cs="Times New Roman"/>
                <w:color w:val="auto"/>
                <w:lang w:val="en-US" w:eastAsia="zh-CN"/>
              </w:rPr>
              <w:t>1-1</w:t>
            </w:r>
          </w:p>
          <w:p w14:paraId="6CF19916">
            <w:pPr>
              <w:spacing w:line="500" w:lineRule="exact"/>
              <w:ind w:left="480" w:leftChars="200"/>
              <w:rPr>
                <w:b/>
                <w:bCs/>
                <w:color w:val="auto"/>
                <w:sz w:val="21"/>
                <w:szCs w:val="21"/>
              </w:rPr>
            </w:pPr>
            <w:r>
              <w:rPr>
                <w:b/>
                <w:bCs/>
                <w:color w:val="auto"/>
                <w:sz w:val="21"/>
                <w:szCs w:val="21"/>
              </w:rPr>
              <w:t>表</w:t>
            </w:r>
            <w:r>
              <w:rPr>
                <w:b/>
                <w:bCs/>
                <w:color w:val="auto"/>
                <w:sz w:val="21"/>
                <w:szCs w:val="21"/>
                <w:lang w:val="en-US"/>
              </w:rPr>
              <w:t>1-1</w:t>
            </w:r>
            <w:r>
              <w:rPr>
                <w:b/>
                <w:bCs/>
                <w:color w:val="auto"/>
                <w:sz w:val="21"/>
                <w:szCs w:val="21"/>
              </w:rPr>
              <w:tab/>
            </w:r>
            <w:r>
              <w:rPr>
                <w:b/>
                <w:bCs/>
                <w:color w:val="auto"/>
                <w:sz w:val="21"/>
                <w:szCs w:val="21"/>
              </w:rPr>
              <w:t>项目与《市场准入负面清单（</w:t>
            </w:r>
            <w:r>
              <w:rPr>
                <w:b/>
                <w:bCs/>
                <w:color w:val="auto"/>
                <w:sz w:val="21"/>
                <w:szCs w:val="21"/>
                <w:lang w:val="en-US"/>
              </w:rPr>
              <w:t>2022年版</w:t>
            </w:r>
            <w:r>
              <w:rPr>
                <w:b/>
                <w:bCs/>
                <w:color w:val="auto"/>
                <w:sz w:val="21"/>
                <w:szCs w:val="21"/>
              </w:rPr>
              <w:t>）》符合性分析</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520"/>
              <w:gridCol w:w="1350"/>
              <w:gridCol w:w="1534"/>
              <w:gridCol w:w="2390"/>
            </w:tblGrid>
            <w:tr w14:paraId="3BCC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14:paraId="5B1C2BB9">
                  <w:pPr>
                    <w:widowControl/>
                    <w:spacing w:line="240" w:lineRule="auto"/>
                    <w:rPr>
                      <w:b/>
                      <w:bCs/>
                      <w:color w:val="auto"/>
                      <w:sz w:val="21"/>
                      <w:szCs w:val="21"/>
                      <w:lang w:val="en-US"/>
                    </w:rPr>
                  </w:pPr>
                  <w:r>
                    <w:rPr>
                      <w:b/>
                      <w:bCs/>
                      <w:color w:val="auto"/>
                      <w:sz w:val="21"/>
                      <w:szCs w:val="21"/>
                      <w:lang w:val="en-US"/>
                    </w:rPr>
                    <w:t>项目号</w:t>
                  </w:r>
                </w:p>
              </w:tc>
              <w:tc>
                <w:tcPr>
                  <w:tcW w:w="992" w:type="pct"/>
                  <w:vAlign w:val="center"/>
                </w:tcPr>
                <w:p w14:paraId="304F6540">
                  <w:pPr>
                    <w:widowControl/>
                    <w:spacing w:line="240" w:lineRule="auto"/>
                    <w:rPr>
                      <w:b/>
                      <w:bCs/>
                      <w:color w:val="auto"/>
                      <w:sz w:val="21"/>
                      <w:szCs w:val="21"/>
                      <w:lang w:val="en-US"/>
                    </w:rPr>
                  </w:pPr>
                  <w:r>
                    <w:rPr>
                      <w:b/>
                      <w:bCs/>
                      <w:color w:val="auto"/>
                      <w:sz w:val="21"/>
                      <w:szCs w:val="21"/>
                      <w:lang w:val="en-US"/>
                    </w:rPr>
                    <w:t>禁止或许可事项</w:t>
                  </w:r>
                </w:p>
              </w:tc>
              <w:tc>
                <w:tcPr>
                  <w:tcW w:w="881" w:type="pct"/>
                  <w:vAlign w:val="center"/>
                </w:tcPr>
                <w:p w14:paraId="52C8ADE9">
                  <w:pPr>
                    <w:widowControl/>
                    <w:spacing w:line="240" w:lineRule="auto"/>
                    <w:rPr>
                      <w:b/>
                      <w:bCs/>
                      <w:color w:val="auto"/>
                      <w:sz w:val="21"/>
                      <w:szCs w:val="21"/>
                      <w:lang w:val="en-US"/>
                    </w:rPr>
                  </w:pPr>
                  <w:r>
                    <w:rPr>
                      <w:b/>
                      <w:bCs/>
                      <w:color w:val="auto"/>
                      <w:sz w:val="21"/>
                      <w:szCs w:val="21"/>
                      <w:lang w:val="en-US"/>
                    </w:rPr>
                    <w:t>事项编码</w:t>
                  </w:r>
                </w:p>
              </w:tc>
              <w:tc>
                <w:tcPr>
                  <w:tcW w:w="1001" w:type="pct"/>
                  <w:vAlign w:val="center"/>
                </w:tcPr>
                <w:p w14:paraId="39AFDAB3">
                  <w:pPr>
                    <w:widowControl/>
                    <w:spacing w:line="240" w:lineRule="auto"/>
                    <w:rPr>
                      <w:b/>
                      <w:bCs/>
                      <w:color w:val="auto"/>
                      <w:sz w:val="21"/>
                      <w:szCs w:val="21"/>
                      <w:lang w:val="en-US"/>
                    </w:rPr>
                  </w:pPr>
                  <w:r>
                    <w:rPr>
                      <w:b/>
                      <w:bCs/>
                      <w:color w:val="auto"/>
                      <w:sz w:val="21"/>
                      <w:szCs w:val="21"/>
                      <w:lang w:val="en-US"/>
                    </w:rPr>
                    <w:t>禁止或许可准入措施描述</w:t>
                  </w:r>
                </w:p>
              </w:tc>
              <w:tc>
                <w:tcPr>
                  <w:tcW w:w="1561" w:type="pct"/>
                  <w:vAlign w:val="center"/>
                </w:tcPr>
                <w:p w14:paraId="5EB8B65B">
                  <w:pPr>
                    <w:widowControl/>
                    <w:spacing w:line="240" w:lineRule="auto"/>
                    <w:rPr>
                      <w:b/>
                      <w:bCs/>
                      <w:color w:val="auto"/>
                      <w:sz w:val="21"/>
                      <w:szCs w:val="21"/>
                      <w:lang w:val="en-US"/>
                    </w:rPr>
                  </w:pPr>
                  <w:r>
                    <w:rPr>
                      <w:b/>
                      <w:bCs/>
                      <w:color w:val="auto"/>
                      <w:sz w:val="21"/>
                      <w:szCs w:val="21"/>
                      <w:lang w:val="en-US"/>
                    </w:rPr>
                    <w:t>符合性分析</w:t>
                  </w:r>
                </w:p>
              </w:tc>
            </w:tr>
            <w:tr w14:paraId="2554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6F5EF171">
                  <w:pPr>
                    <w:widowControl/>
                    <w:spacing w:line="240" w:lineRule="auto"/>
                    <w:jc w:val="left"/>
                    <w:rPr>
                      <w:color w:val="auto"/>
                      <w:sz w:val="21"/>
                      <w:szCs w:val="21"/>
                      <w:lang w:val="en-US"/>
                    </w:rPr>
                  </w:pPr>
                  <w:r>
                    <w:rPr>
                      <w:color w:val="auto"/>
                      <w:sz w:val="21"/>
                      <w:szCs w:val="21"/>
                      <w:lang w:val="en-US"/>
                    </w:rPr>
                    <w:t>一、禁止准入类</w:t>
                  </w:r>
                </w:p>
              </w:tc>
            </w:tr>
            <w:tr w14:paraId="7E12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14:paraId="6BCD8998">
                  <w:pPr>
                    <w:widowControl/>
                    <w:spacing w:line="240" w:lineRule="auto"/>
                    <w:rPr>
                      <w:color w:val="auto"/>
                      <w:sz w:val="21"/>
                      <w:szCs w:val="21"/>
                      <w:lang w:val="en-US"/>
                    </w:rPr>
                  </w:pPr>
                  <w:r>
                    <w:rPr>
                      <w:color w:val="auto"/>
                      <w:sz w:val="21"/>
                      <w:szCs w:val="21"/>
                      <w:lang w:val="en-US"/>
                    </w:rPr>
                    <w:t>1</w:t>
                  </w:r>
                </w:p>
              </w:tc>
              <w:tc>
                <w:tcPr>
                  <w:tcW w:w="992" w:type="pct"/>
                  <w:vAlign w:val="center"/>
                </w:tcPr>
                <w:p w14:paraId="02087A7C">
                  <w:pPr>
                    <w:widowControl/>
                    <w:spacing w:line="240" w:lineRule="auto"/>
                    <w:rPr>
                      <w:color w:val="auto"/>
                      <w:sz w:val="21"/>
                      <w:szCs w:val="21"/>
                      <w:lang w:val="en-US"/>
                    </w:rPr>
                  </w:pPr>
                  <w:r>
                    <w:rPr>
                      <w:rFonts w:hint="eastAsia"/>
                      <w:color w:val="auto"/>
                      <w:sz w:val="21"/>
                      <w:szCs w:val="21"/>
                      <w:lang w:val="en-US" w:eastAsia="zh-CN"/>
                    </w:rPr>
                    <w:t>法律法规</w:t>
                  </w:r>
                  <w:r>
                    <w:rPr>
                      <w:color w:val="auto"/>
                      <w:sz w:val="21"/>
                      <w:szCs w:val="21"/>
                      <w:lang w:val="en-US"/>
                    </w:rPr>
                    <w:t>、国务院决定等明确设立且与市场准入相关的禁止性规定</w:t>
                  </w:r>
                </w:p>
              </w:tc>
              <w:tc>
                <w:tcPr>
                  <w:tcW w:w="881" w:type="pct"/>
                  <w:vAlign w:val="center"/>
                </w:tcPr>
                <w:p w14:paraId="02BF99F6">
                  <w:pPr>
                    <w:widowControl/>
                    <w:spacing w:line="240" w:lineRule="auto"/>
                    <w:rPr>
                      <w:color w:val="auto"/>
                      <w:sz w:val="21"/>
                      <w:szCs w:val="21"/>
                      <w:lang w:val="en-US"/>
                    </w:rPr>
                  </w:pPr>
                  <w:r>
                    <w:rPr>
                      <w:color w:val="auto"/>
                      <w:sz w:val="21"/>
                      <w:szCs w:val="21"/>
                      <w:lang w:val="en-US"/>
                    </w:rPr>
                    <w:t>100001</w:t>
                  </w:r>
                </w:p>
              </w:tc>
              <w:tc>
                <w:tcPr>
                  <w:tcW w:w="1001" w:type="pct"/>
                  <w:vAlign w:val="center"/>
                </w:tcPr>
                <w:p w14:paraId="213D4EAB">
                  <w:pPr>
                    <w:widowControl/>
                    <w:spacing w:line="240" w:lineRule="auto"/>
                    <w:rPr>
                      <w:color w:val="auto"/>
                      <w:sz w:val="21"/>
                      <w:szCs w:val="21"/>
                      <w:lang w:val="en-US"/>
                    </w:rPr>
                  </w:pPr>
                  <w:r>
                    <w:rPr>
                      <w:rFonts w:hint="eastAsia"/>
                      <w:color w:val="auto"/>
                      <w:sz w:val="21"/>
                      <w:szCs w:val="21"/>
                      <w:lang w:val="en-US" w:eastAsia="zh-CN"/>
                    </w:rPr>
                    <w:t>法律法规</w:t>
                  </w:r>
                  <w:r>
                    <w:rPr>
                      <w:color w:val="auto"/>
                      <w:sz w:val="21"/>
                      <w:szCs w:val="21"/>
                      <w:lang w:val="en-US"/>
                    </w:rPr>
                    <w:t>、国务院决定等明确设立，且与市场准入相关的禁止性规定</w:t>
                  </w:r>
                </w:p>
              </w:tc>
              <w:tc>
                <w:tcPr>
                  <w:tcW w:w="1561" w:type="pct"/>
                  <w:vAlign w:val="center"/>
                </w:tcPr>
                <w:p w14:paraId="320F7E33">
                  <w:pPr>
                    <w:widowControl/>
                    <w:spacing w:line="240" w:lineRule="auto"/>
                    <w:rPr>
                      <w:color w:val="auto"/>
                      <w:sz w:val="21"/>
                      <w:szCs w:val="21"/>
                      <w:lang w:val="en-US"/>
                    </w:rPr>
                  </w:pPr>
                  <w:r>
                    <w:rPr>
                      <w:color w:val="auto"/>
                      <w:sz w:val="21"/>
                      <w:szCs w:val="21"/>
                      <w:lang w:val="en-US"/>
                    </w:rPr>
                    <w:t>根据《国民经济行业分类》（GB/T4754-2017），本项目行业属于</w:t>
                  </w:r>
                  <w:r>
                    <w:rPr>
                      <w:rFonts w:hint="eastAsia"/>
                      <w:color w:val="auto"/>
                      <w:sz w:val="21"/>
                      <w:szCs w:val="21"/>
                      <w:lang w:val="en-US" w:eastAsia="zh-CN"/>
                    </w:rPr>
                    <w:t>4210金属废料和碎屑加工处理</w:t>
                  </w:r>
                  <w:r>
                    <w:rPr>
                      <w:color w:val="auto"/>
                      <w:sz w:val="21"/>
                      <w:szCs w:val="21"/>
                      <w:lang w:val="en-US"/>
                    </w:rPr>
                    <w:t>，经查阅与市场准入相关的禁止性规定，本项目不属于制造业中的禁止类。</w:t>
                  </w:r>
                </w:p>
              </w:tc>
            </w:tr>
            <w:tr w14:paraId="12E4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14:paraId="0ABEA8E2">
                  <w:pPr>
                    <w:widowControl/>
                    <w:spacing w:line="240" w:lineRule="auto"/>
                    <w:rPr>
                      <w:color w:val="auto"/>
                      <w:sz w:val="21"/>
                      <w:szCs w:val="21"/>
                      <w:lang w:val="en-US"/>
                    </w:rPr>
                  </w:pPr>
                  <w:r>
                    <w:rPr>
                      <w:color w:val="auto"/>
                      <w:sz w:val="21"/>
                      <w:szCs w:val="21"/>
                      <w:lang w:val="en-US"/>
                    </w:rPr>
                    <w:t>2</w:t>
                  </w:r>
                </w:p>
              </w:tc>
              <w:tc>
                <w:tcPr>
                  <w:tcW w:w="992" w:type="pct"/>
                  <w:vAlign w:val="center"/>
                </w:tcPr>
                <w:p w14:paraId="47C2781A">
                  <w:pPr>
                    <w:widowControl/>
                    <w:spacing w:line="240" w:lineRule="auto"/>
                    <w:rPr>
                      <w:color w:val="auto"/>
                      <w:sz w:val="21"/>
                      <w:szCs w:val="21"/>
                      <w:lang w:val="en-US"/>
                    </w:rPr>
                  </w:pPr>
                  <w:r>
                    <w:rPr>
                      <w:color w:val="auto"/>
                      <w:sz w:val="21"/>
                      <w:szCs w:val="21"/>
                      <w:lang w:val="en-US"/>
                    </w:rPr>
                    <w:t>国家产业政策明令淘汰和限制的产品、技术、工艺、设备及行为</w:t>
                  </w:r>
                </w:p>
              </w:tc>
              <w:tc>
                <w:tcPr>
                  <w:tcW w:w="881" w:type="pct"/>
                  <w:vAlign w:val="center"/>
                </w:tcPr>
                <w:p w14:paraId="405AD49A">
                  <w:pPr>
                    <w:widowControl/>
                    <w:spacing w:line="240" w:lineRule="auto"/>
                    <w:rPr>
                      <w:color w:val="auto"/>
                      <w:sz w:val="21"/>
                      <w:szCs w:val="21"/>
                      <w:lang w:val="en-US"/>
                    </w:rPr>
                  </w:pPr>
                  <w:r>
                    <w:rPr>
                      <w:color w:val="auto"/>
                      <w:sz w:val="21"/>
                      <w:szCs w:val="21"/>
                      <w:lang w:val="en-US"/>
                    </w:rPr>
                    <w:t>100002</w:t>
                  </w:r>
                </w:p>
              </w:tc>
              <w:tc>
                <w:tcPr>
                  <w:tcW w:w="1001" w:type="pct"/>
                  <w:vAlign w:val="center"/>
                </w:tcPr>
                <w:p w14:paraId="2943648E">
                  <w:pPr>
                    <w:widowControl/>
                    <w:spacing w:line="240" w:lineRule="auto"/>
                    <w:rPr>
                      <w:color w:val="auto"/>
                      <w:sz w:val="21"/>
                      <w:szCs w:val="21"/>
                      <w:lang w:val="en-US"/>
                    </w:rPr>
                  </w:pPr>
                  <w:r>
                    <w:rPr>
                      <w:color w:val="auto"/>
                      <w:sz w:val="21"/>
                      <w:szCs w:val="21"/>
                      <w:lang w:val="en-US"/>
                    </w:rPr>
                    <w:t>《产业结构调整指导目录》中的淘汰类项目，禁止投资；限制类项目，禁止新建禁止投资建设《汽车产业投资管理规定》所列的汽车投资禁止类事项</w:t>
                  </w:r>
                </w:p>
              </w:tc>
              <w:tc>
                <w:tcPr>
                  <w:tcW w:w="1561" w:type="pct"/>
                  <w:vAlign w:val="center"/>
                </w:tcPr>
                <w:p w14:paraId="55F3D0C7">
                  <w:pPr>
                    <w:keepNext w:val="0"/>
                    <w:keepLines w:val="0"/>
                    <w:pageBreakBefore w:val="0"/>
                    <w:widowControl w:val="0"/>
                    <w:kinsoku/>
                    <w:wordWrap/>
                    <w:overflowPunct/>
                    <w:topLinePunct w:val="0"/>
                    <w:autoSpaceDE w:val="0"/>
                    <w:autoSpaceDN w:val="0"/>
                    <w:bidi w:val="0"/>
                    <w:adjustRightInd w:val="0"/>
                    <w:snapToGrid w:val="0"/>
                    <w:spacing w:line="320" w:lineRule="exact"/>
                    <w:ind w:firstLine="0" w:firstLineChars="0"/>
                    <w:jc w:val="center"/>
                    <w:textAlignment w:val="auto"/>
                    <w:rPr>
                      <w:color w:val="auto"/>
                      <w:sz w:val="21"/>
                      <w:szCs w:val="21"/>
                      <w:lang w:val="en-US"/>
                    </w:rPr>
                  </w:pPr>
                  <w:r>
                    <w:rPr>
                      <w:rFonts w:hint="default" w:ascii="Times New Roman" w:hAnsi="Times New Roman" w:eastAsia="宋体" w:cs="Times New Roman"/>
                      <w:color w:val="auto"/>
                      <w:sz w:val="21"/>
                      <w:szCs w:val="21"/>
                      <w:lang w:val="en-US" w:eastAsia="zh-CN"/>
                    </w:rPr>
                    <w:t>经查阅《</w:t>
                  </w:r>
                  <w:r>
                    <w:rPr>
                      <w:rFonts w:hint="eastAsia" w:cs="Times New Roman"/>
                      <w:color w:val="auto"/>
                      <w:sz w:val="21"/>
                      <w:szCs w:val="21"/>
                      <w:lang w:val="en-US" w:eastAsia="zh-CN"/>
                    </w:rPr>
                    <w:t>产业结构调整指导目录（2024年本）</w:t>
                  </w:r>
                  <w:r>
                    <w:rPr>
                      <w:rFonts w:hint="default" w:ascii="Times New Roman" w:hAnsi="Times New Roman" w:eastAsia="宋体" w:cs="Times New Roman"/>
                      <w:color w:val="auto"/>
                      <w:sz w:val="21"/>
                      <w:szCs w:val="21"/>
                      <w:lang w:val="en-US" w:eastAsia="zh-CN"/>
                    </w:rPr>
                    <w:t>》，本项目不属于限制类、淘汰类；项目不涉及汽车投资</w:t>
                  </w:r>
                  <w:r>
                    <w:rPr>
                      <w:rFonts w:hint="eastAsia"/>
                      <w:color w:val="auto"/>
                      <w:sz w:val="21"/>
                      <w:szCs w:val="21"/>
                      <w:lang w:val="en-US"/>
                    </w:rPr>
                    <w:t>。</w:t>
                  </w:r>
                </w:p>
                <w:p w14:paraId="155C5703">
                  <w:pPr>
                    <w:widowControl/>
                    <w:spacing w:line="240" w:lineRule="auto"/>
                    <w:rPr>
                      <w:color w:val="auto"/>
                      <w:sz w:val="21"/>
                      <w:szCs w:val="21"/>
                      <w:lang w:val="en-US"/>
                    </w:rPr>
                  </w:pPr>
                </w:p>
              </w:tc>
            </w:tr>
            <w:tr w14:paraId="2B13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14:paraId="28D4BEBF">
                  <w:pPr>
                    <w:widowControl/>
                    <w:spacing w:line="240" w:lineRule="auto"/>
                    <w:rPr>
                      <w:color w:val="auto"/>
                      <w:sz w:val="21"/>
                      <w:szCs w:val="21"/>
                      <w:lang w:val="en-US"/>
                    </w:rPr>
                  </w:pPr>
                  <w:r>
                    <w:rPr>
                      <w:color w:val="auto"/>
                      <w:sz w:val="21"/>
                      <w:szCs w:val="21"/>
                      <w:lang w:val="en-US"/>
                    </w:rPr>
                    <w:t>3</w:t>
                  </w:r>
                </w:p>
              </w:tc>
              <w:tc>
                <w:tcPr>
                  <w:tcW w:w="992" w:type="pct"/>
                  <w:vAlign w:val="center"/>
                </w:tcPr>
                <w:p w14:paraId="3754195C">
                  <w:pPr>
                    <w:widowControl/>
                    <w:spacing w:line="240" w:lineRule="auto"/>
                    <w:rPr>
                      <w:color w:val="auto"/>
                      <w:sz w:val="21"/>
                      <w:szCs w:val="21"/>
                      <w:lang w:val="en-US"/>
                    </w:rPr>
                  </w:pPr>
                  <w:r>
                    <w:rPr>
                      <w:color w:val="auto"/>
                      <w:sz w:val="21"/>
                      <w:szCs w:val="21"/>
                      <w:lang w:val="en-US"/>
                    </w:rPr>
                    <w:t>不符合主体</w:t>
                  </w:r>
                </w:p>
                <w:p w14:paraId="6BB13F1A">
                  <w:pPr>
                    <w:widowControl/>
                    <w:spacing w:line="240" w:lineRule="auto"/>
                    <w:rPr>
                      <w:color w:val="auto"/>
                      <w:sz w:val="21"/>
                      <w:szCs w:val="21"/>
                      <w:lang w:val="en-US"/>
                    </w:rPr>
                  </w:pPr>
                  <w:r>
                    <w:rPr>
                      <w:color w:val="auto"/>
                      <w:sz w:val="21"/>
                      <w:szCs w:val="21"/>
                      <w:lang w:val="en-US"/>
                    </w:rPr>
                    <w:t>功能区建设</w:t>
                  </w:r>
                </w:p>
                <w:p w14:paraId="77474295">
                  <w:pPr>
                    <w:widowControl/>
                    <w:spacing w:line="240" w:lineRule="auto"/>
                    <w:rPr>
                      <w:color w:val="auto"/>
                      <w:sz w:val="21"/>
                      <w:szCs w:val="21"/>
                      <w:lang w:val="en-US"/>
                    </w:rPr>
                  </w:pPr>
                  <w:r>
                    <w:rPr>
                      <w:color w:val="auto"/>
                      <w:sz w:val="21"/>
                      <w:szCs w:val="21"/>
                      <w:lang w:val="en-US"/>
                    </w:rPr>
                    <w:t>要求的各类</w:t>
                  </w:r>
                </w:p>
                <w:p w14:paraId="297807A7">
                  <w:pPr>
                    <w:widowControl/>
                    <w:spacing w:line="240" w:lineRule="auto"/>
                    <w:rPr>
                      <w:color w:val="auto"/>
                      <w:sz w:val="21"/>
                      <w:szCs w:val="21"/>
                      <w:lang w:val="en-US"/>
                    </w:rPr>
                  </w:pPr>
                  <w:r>
                    <w:rPr>
                      <w:color w:val="auto"/>
                      <w:sz w:val="21"/>
                      <w:szCs w:val="21"/>
                      <w:lang w:val="en-US"/>
                    </w:rPr>
                    <w:t>开发活动</w:t>
                  </w:r>
                </w:p>
              </w:tc>
              <w:tc>
                <w:tcPr>
                  <w:tcW w:w="881" w:type="pct"/>
                  <w:vAlign w:val="center"/>
                </w:tcPr>
                <w:p w14:paraId="6699185A">
                  <w:pPr>
                    <w:widowControl/>
                    <w:spacing w:line="240" w:lineRule="auto"/>
                    <w:rPr>
                      <w:color w:val="auto"/>
                      <w:sz w:val="21"/>
                      <w:szCs w:val="21"/>
                      <w:lang w:val="en-US"/>
                    </w:rPr>
                  </w:pPr>
                  <w:r>
                    <w:rPr>
                      <w:color w:val="auto"/>
                      <w:sz w:val="21"/>
                      <w:szCs w:val="21"/>
                      <w:lang w:val="en-US"/>
                    </w:rPr>
                    <w:t>100003</w:t>
                  </w:r>
                </w:p>
              </w:tc>
              <w:tc>
                <w:tcPr>
                  <w:tcW w:w="1001" w:type="pct"/>
                  <w:vAlign w:val="center"/>
                </w:tcPr>
                <w:p w14:paraId="22469EE8">
                  <w:pPr>
                    <w:widowControl/>
                    <w:spacing w:line="240" w:lineRule="auto"/>
                    <w:rPr>
                      <w:color w:val="auto"/>
                      <w:sz w:val="21"/>
                      <w:szCs w:val="21"/>
                      <w:lang w:val="en-US"/>
                    </w:rPr>
                  </w:pPr>
                  <w:r>
                    <w:rPr>
                      <w:color w:val="auto"/>
                      <w:sz w:val="21"/>
                      <w:szCs w:val="21"/>
                      <w:lang w:val="en-US"/>
                    </w:rPr>
                    <w:t>地方国家重点生态功能区产业准入负面清单（或禁止限制目录）、农产品主产区产业准入负面清单（或</w:t>
                  </w:r>
                </w:p>
                <w:p w14:paraId="6E055545">
                  <w:pPr>
                    <w:widowControl/>
                    <w:spacing w:line="240" w:lineRule="auto"/>
                    <w:rPr>
                      <w:color w:val="auto"/>
                      <w:sz w:val="21"/>
                      <w:szCs w:val="21"/>
                      <w:lang w:val="en-US"/>
                    </w:rPr>
                  </w:pPr>
                  <w:r>
                    <w:rPr>
                      <w:color w:val="auto"/>
                      <w:sz w:val="21"/>
                      <w:szCs w:val="21"/>
                      <w:lang w:val="en-US"/>
                    </w:rPr>
                    <w:t>禁止限制目录）所列有关事项</w:t>
                  </w:r>
                </w:p>
              </w:tc>
              <w:tc>
                <w:tcPr>
                  <w:tcW w:w="1561" w:type="pct"/>
                  <w:vAlign w:val="center"/>
                </w:tcPr>
                <w:p w14:paraId="1F1F7667">
                  <w:pPr>
                    <w:widowControl/>
                    <w:spacing w:line="240" w:lineRule="auto"/>
                    <w:rPr>
                      <w:color w:val="auto"/>
                      <w:sz w:val="21"/>
                      <w:szCs w:val="21"/>
                      <w:lang w:val="en-US"/>
                    </w:rPr>
                  </w:pPr>
                  <w:r>
                    <w:rPr>
                      <w:rFonts w:hint="eastAsia"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不属于</w:t>
                  </w:r>
                  <w:r>
                    <w:rPr>
                      <w:rFonts w:hint="eastAsia" w:cs="Times New Roman"/>
                      <w:color w:val="auto"/>
                      <w:sz w:val="21"/>
                      <w:szCs w:val="21"/>
                      <w:highlight w:val="none"/>
                      <w:lang w:eastAsia="zh-CN"/>
                    </w:rPr>
                    <w:t>河北省发展和改革委员会关于印发《灵寿县等22县（区）国家重点生态功能区产业准入负面清单（试行）》的通知（冀发改规[2018]920号）</w:t>
                  </w:r>
                  <w:r>
                    <w:rPr>
                      <w:rFonts w:hint="default" w:ascii="Times New Roman" w:hAnsi="Times New Roman" w:eastAsia="宋体" w:cs="Times New Roman"/>
                      <w:color w:val="auto"/>
                      <w:sz w:val="21"/>
                      <w:szCs w:val="21"/>
                    </w:rPr>
                    <w:t>中</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限制类和禁止类</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产业项目。</w:t>
                  </w:r>
                </w:p>
              </w:tc>
            </w:tr>
          </w:tbl>
          <w:p w14:paraId="3320733A">
            <w:pPr>
              <w:keepNext w:val="0"/>
              <w:keepLines w:val="0"/>
              <w:pageBreakBefore w:val="0"/>
              <w:widowControl w:val="0"/>
              <w:numPr>
                <w:ilvl w:val="0"/>
                <w:numId w:val="0"/>
              </w:numPr>
              <w:kinsoku/>
              <w:wordWrap/>
              <w:overflowPunct/>
              <w:topLinePunct w:val="0"/>
              <w:autoSpaceDE w:val="0"/>
              <w:autoSpaceDN w:val="0"/>
              <w:bidi w:val="0"/>
              <w:adjustRightInd/>
              <w:snapToGrid/>
              <w:spacing w:line="46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下面分别对上述三项禁止准入类事项进行分析判定。</w:t>
            </w:r>
          </w:p>
          <w:p w14:paraId="37A5BAD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w:t>
            </w:r>
            <w:r>
              <w:rPr>
                <w:rFonts w:hint="eastAsia" w:cs="Times New Roman"/>
                <w:b/>
                <w:bCs/>
                <w:color w:val="auto"/>
                <w:sz w:val="24"/>
                <w:szCs w:val="24"/>
                <w:lang w:val="en-US" w:eastAsia="zh-CN"/>
              </w:rPr>
              <w:t>法律法规</w:t>
            </w:r>
            <w:r>
              <w:rPr>
                <w:rFonts w:hint="default" w:ascii="Times New Roman" w:hAnsi="Times New Roman" w:cs="Times New Roman"/>
                <w:b/>
                <w:bCs/>
                <w:color w:val="auto"/>
                <w:sz w:val="24"/>
                <w:szCs w:val="24"/>
                <w:lang w:val="en-US" w:eastAsia="zh-CN"/>
              </w:rPr>
              <w:t>、国务院决定等明确设立且与市场准入相关的禁止性规定的分析</w:t>
            </w:r>
          </w:p>
          <w:p w14:paraId="486CEB4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color w:val="auto"/>
                <w:sz w:val="24"/>
                <w:szCs w:val="24"/>
                <w:lang w:val="en-US"/>
              </w:rPr>
              <w:t>本项目</w:t>
            </w:r>
            <w:r>
              <w:rPr>
                <w:color w:val="auto"/>
                <w:sz w:val="24"/>
                <w:szCs w:val="24"/>
              </w:rPr>
              <w:t>为《国民经济行业分类》（GB/T4754-2017）中</w:t>
            </w:r>
            <w:r>
              <w:rPr>
                <w:rFonts w:hint="eastAsia"/>
                <w:color w:val="auto"/>
                <w:sz w:val="24"/>
                <w:szCs w:val="24"/>
                <w:highlight w:val="none"/>
                <w:lang w:val="en-US" w:eastAsia="zh-CN"/>
              </w:rPr>
              <w:t>4210金属废料和碎屑加工处理</w:t>
            </w:r>
            <w:r>
              <w:rPr>
                <w:rFonts w:hint="default" w:ascii="Times New Roman" w:hAnsi="Times New Roman" w:cs="Times New Roman"/>
                <w:color w:val="auto"/>
                <w:sz w:val="24"/>
                <w:szCs w:val="24"/>
                <w:lang w:val="en-US" w:eastAsia="zh-CN"/>
              </w:rPr>
              <w:t>，根据《市场准入负面清单（2022年版）》与市场准入相关的禁止性规定，无</w:t>
            </w:r>
            <w:r>
              <w:rPr>
                <w:rFonts w:hint="eastAsia" w:ascii="Times New Roman" w:hAnsi="Times New Roman" w:eastAsia="宋体" w:cs="Times New Roman"/>
                <w:color w:val="auto"/>
                <w:spacing w:val="0"/>
                <w:sz w:val="24"/>
                <w:szCs w:val="24"/>
                <w:lang w:val="en-US" w:eastAsia="zh-CN"/>
              </w:rPr>
              <w:t>固体废物治理及</w:t>
            </w:r>
            <w:r>
              <w:rPr>
                <w:rFonts w:hint="default" w:ascii="Times New Roman" w:hAnsi="Times New Roman" w:cs="Times New Roman"/>
                <w:color w:val="auto"/>
                <w:sz w:val="24"/>
                <w:szCs w:val="24"/>
                <w:lang w:val="en-US" w:eastAsia="zh-CN"/>
              </w:rPr>
              <w:t>相关的禁止措施。</w:t>
            </w:r>
          </w:p>
          <w:p w14:paraId="313A6DE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故本项目不属于《市场准入负面清单（2022年版）》禁止准入类中</w:t>
            </w:r>
            <w:r>
              <w:rPr>
                <w:rFonts w:hint="eastAsia" w:cs="Times New Roman"/>
                <w:color w:val="auto"/>
                <w:sz w:val="24"/>
                <w:szCs w:val="24"/>
                <w:lang w:val="en-US" w:eastAsia="zh-CN"/>
              </w:rPr>
              <w:t>法律法规</w:t>
            </w:r>
            <w:r>
              <w:rPr>
                <w:rFonts w:hint="default" w:ascii="Times New Roman" w:hAnsi="Times New Roman" w:cs="Times New Roman"/>
                <w:color w:val="auto"/>
                <w:sz w:val="24"/>
                <w:szCs w:val="24"/>
                <w:lang w:val="en-US" w:eastAsia="zh-CN"/>
              </w:rPr>
              <w:t>、国务院决定等明确设立且与市场准入相关的禁止性事项。</w:t>
            </w:r>
          </w:p>
          <w:p w14:paraId="3D16FE4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（2）国家产业政策明令淘汰和限制的产品、技术、工艺、设备及行为的分析</w:t>
            </w:r>
          </w:p>
          <w:p w14:paraId="4A50EDF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根据《产业结构调整指导目录（20</w:t>
            </w:r>
            <w:r>
              <w:rPr>
                <w:rFonts w:hint="eastAsia" w:cs="Times New Roman"/>
                <w:color w:val="auto"/>
                <w:sz w:val="24"/>
                <w:szCs w:val="24"/>
                <w:lang w:val="en-US" w:eastAsia="zh-CN"/>
              </w:rPr>
              <w:t>24</w:t>
            </w:r>
            <w:r>
              <w:rPr>
                <w:rFonts w:hint="default" w:ascii="Times New Roman" w:hAnsi="Times New Roman" w:cs="Times New Roman"/>
                <w:color w:val="auto"/>
                <w:sz w:val="24"/>
                <w:szCs w:val="24"/>
                <w:lang w:val="en-US" w:eastAsia="zh-CN"/>
              </w:rPr>
              <w:t>年本）》，</w:t>
            </w:r>
            <w:r>
              <w:rPr>
                <w:rFonts w:hint="eastAsia"/>
                <w:color w:val="auto"/>
              </w:rPr>
              <w:t>项目属于</w:t>
            </w:r>
            <w:r>
              <w:rPr>
                <w:rFonts w:hint="eastAsia"/>
                <w:b/>
                <w:bCs/>
                <w:color w:val="auto"/>
                <w:u w:val="none"/>
              </w:rPr>
              <w:t>鼓励类</w:t>
            </w:r>
            <w:r>
              <w:rPr>
                <w:rFonts w:hint="eastAsia"/>
                <w:color w:val="auto"/>
              </w:rPr>
              <w:t>第四十</w:t>
            </w:r>
            <w:r>
              <w:rPr>
                <w:rFonts w:hint="eastAsia"/>
                <w:color w:val="auto"/>
                <w:lang w:eastAsia="zh-CN"/>
              </w:rPr>
              <w:t>二</w:t>
            </w:r>
            <w:r>
              <w:rPr>
                <w:rFonts w:hint="eastAsia"/>
                <w:color w:val="auto"/>
              </w:rPr>
              <w:t>项</w:t>
            </w:r>
            <w:r>
              <w:rPr>
                <w:rFonts w:hint="eastAsia"/>
                <w:color w:val="auto"/>
                <w:lang w:eastAsia="zh-CN"/>
              </w:rPr>
              <w:t>“</w:t>
            </w:r>
            <w:r>
              <w:rPr>
                <w:rFonts w:hint="eastAsia"/>
                <w:color w:val="auto"/>
              </w:rPr>
              <w:t>环境保护与资源节约综合利用</w:t>
            </w:r>
            <w:r>
              <w:rPr>
                <w:rFonts w:hint="eastAsia"/>
                <w:color w:val="auto"/>
                <w:lang w:eastAsia="zh-CN"/>
              </w:rPr>
              <w:t>”</w:t>
            </w:r>
            <w:r>
              <w:rPr>
                <w:rFonts w:hint="eastAsia"/>
                <w:color w:val="auto"/>
              </w:rPr>
              <w:t>中第</w:t>
            </w:r>
            <w:r>
              <w:rPr>
                <w:rFonts w:hint="eastAsia"/>
                <w:color w:val="auto"/>
                <w:lang w:val="en-US" w:eastAsia="zh-CN"/>
              </w:rPr>
              <w:t>8</w:t>
            </w:r>
            <w:r>
              <w:rPr>
                <w:rFonts w:hint="eastAsia"/>
                <w:color w:val="auto"/>
              </w:rPr>
              <w:t>条</w:t>
            </w:r>
            <w:r>
              <w:rPr>
                <w:rFonts w:hint="eastAsia"/>
                <w:color w:val="auto"/>
                <w:lang w:eastAsia="zh-CN"/>
              </w:rPr>
              <w:t>“</w:t>
            </w:r>
            <w:r>
              <w:rPr>
                <w:rFonts w:hint="eastAsia"/>
                <w:color w:val="auto"/>
                <w:lang w:val="en-US" w:eastAsia="zh-CN"/>
              </w:rPr>
              <w:t>8</w:t>
            </w:r>
            <w:r>
              <w:rPr>
                <w:rFonts w:hint="eastAsia"/>
                <w:color w:val="auto"/>
              </w:rPr>
              <w:t>、</w:t>
            </w:r>
            <w:r>
              <w:rPr>
                <w:rFonts w:hint="eastAsia"/>
                <w:color w:val="auto"/>
                <w:lang w:eastAsia="zh-CN"/>
              </w:rPr>
              <w:t>废弃物循环利用”</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因此</w:t>
            </w:r>
            <w:r>
              <w:rPr>
                <w:rFonts w:hint="default" w:ascii="Times New Roman" w:hAnsi="Times New Roman" w:cs="Times New Roman"/>
                <w:color w:val="auto"/>
                <w:sz w:val="24"/>
                <w:szCs w:val="24"/>
                <w:lang w:val="en-US" w:eastAsia="zh-CN"/>
              </w:rPr>
              <w:t>符合国家产业政策。</w:t>
            </w:r>
          </w:p>
          <w:p w14:paraId="6E3575F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项目不属于《关于河北省区域禁（限）批建设项目的实施意见（试行）》（河北省人民政府冀政〔2009〕89号）中规定的区域禁止和限制建设范围。</w:t>
            </w:r>
          </w:p>
          <w:p w14:paraId="60DC955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经查阅《高耗能落后机电设备（产品）淘汰目录》（第一批至第四批），项目所用设备和产品不在上述目录内。</w:t>
            </w:r>
          </w:p>
          <w:p w14:paraId="745EFD2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rPr>
              <w:t>项目已于</w:t>
            </w:r>
            <w:r>
              <w:rPr>
                <w:rFonts w:hint="default" w:ascii="Times New Roman" w:hAnsi="Times New Roman" w:eastAsia="宋体" w:cs="Times New Roman"/>
                <w:color w:val="auto"/>
                <w:sz w:val="24"/>
                <w:lang w:val="en-US" w:eastAsia="zh-CN"/>
              </w:rPr>
              <w:t>202</w:t>
            </w:r>
            <w:r>
              <w:rPr>
                <w:rFonts w:hint="eastAsia" w:cs="Times New Roman"/>
                <w:color w:val="auto"/>
                <w:sz w:val="24"/>
                <w:lang w:val="en-US" w:eastAsia="zh-CN"/>
              </w:rPr>
              <w:t>4</w:t>
            </w:r>
            <w:r>
              <w:rPr>
                <w:rFonts w:hint="default" w:ascii="Times New Roman" w:hAnsi="Times New Roman" w:eastAsia="宋体" w:cs="Times New Roman"/>
                <w:color w:val="auto"/>
                <w:sz w:val="24"/>
              </w:rPr>
              <w:t>年</w:t>
            </w:r>
            <w:r>
              <w:rPr>
                <w:rFonts w:hint="eastAsia" w:cs="Times New Roman"/>
                <w:color w:val="auto"/>
                <w:sz w:val="24"/>
                <w:lang w:val="en-US" w:eastAsia="zh-CN"/>
              </w:rPr>
              <w:t>4</w:t>
            </w:r>
            <w:r>
              <w:rPr>
                <w:rFonts w:hint="default" w:ascii="Times New Roman" w:hAnsi="Times New Roman" w:eastAsia="宋体" w:cs="Times New Roman"/>
                <w:color w:val="auto"/>
                <w:sz w:val="24"/>
              </w:rPr>
              <w:t>月</w:t>
            </w:r>
            <w:r>
              <w:rPr>
                <w:rFonts w:hint="eastAsia" w:cs="Times New Roman"/>
                <w:color w:val="auto"/>
                <w:sz w:val="24"/>
                <w:lang w:val="en-US" w:eastAsia="zh-CN"/>
              </w:rPr>
              <w:t>2</w:t>
            </w:r>
            <w:r>
              <w:rPr>
                <w:rFonts w:hint="default" w:ascii="Times New Roman" w:hAnsi="Times New Roman" w:eastAsia="宋体" w:cs="Times New Roman"/>
                <w:color w:val="auto"/>
                <w:sz w:val="24"/>
              </w:rPr>
              <w:t>日</w:t>
            </w:r>
            <w:r>
              <w:rPr>
                <w:rFonts w:hint="default" w:ascii="Times New Roman" w:hAnsi="Times New Roman" w:eastAsia="宋体" w:cs="Times New Roman"/>
                <w:color w:val="auto"/>
                <w:sz w:val="24"/>
                <w:lang w:eastAsia="zh-CN"/>
              </w:rPr>
              <w:t>取得</w:t>
            </w:r>
            <w:r>
              <w:rPr>
                <w:rFonts w:hint="default" w:ascii="Times New Roman" w:hAnsi="Times New Roman" w:eastAsia="宋体" w:cs="Times New Roman"/>
                <w:color w:val="auto"/>
                <w:sz w:val="24"/>
                <w:lang w:val="en-US" w:eastAsia="zh-CN"/>
              </w:rPr>
              <w:t>兴隆县行政审批局出具的关于本项目的备案，备案编号：</w:t>
            </w:r>
            <w:r>
              <w:rPr>
                <w:rFonts w:hint="eastAsia" w:cs="Times New Roman"/>
                <w:color w:val="auto"/>
                <w:sz w:val="24"/>
                <w:lang w:val="en-US" w:eastAsia="zh-CN"/>
              </w:rPr>
              <w:t>兴审批投字〔2024〕92号</w:t>
            </w:r>
            <w:r>
              <w:rPr>
                <w:rFonts w:hint="default" w:ascii="Times New Roman" w:hAnsi="Times New Roman" w:eastAsia="宋体" w:cs="Times New Roman"/>
                <w:color w:val="auto"/>
                <w:sz w:val="24"/>
                <w:lang w:val="en-US" w:eastAsia="zh-CN"/>
              </w:rPr>
              <w:t>（详情见附件2）</w:t>
            </w:r>
            <w:r>
              <w:rPr>
                <w:rFonts w:hint="default" w:ascii="Times New Roman" w:hAnsi="Times New Roman" w:cs="Times New Roman"/>
                <w:color w:val="auto"/>
                <w:sz w:val="24"/>
                <w:szCs w:val="24"/>
                <w:lang w:val="en-US" w:eastAsia="zh-CN"/>
              </w:rPr>
              <w:t>。</w:t>
            </w:r>
          </w:p>
          <w:p w14:paraId="7F45B55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由以上分析可知，本项目不属于《市场准入负面清单（2022年版）》禁止准入类中国家产业政策明令淘汰和限制的产品、技术、工艺、设备及行为。</w:t>
            </w:r>
          </w:p>
          <w:p w14:paraId="60158F8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（3）禁止不符合主体功能区建设要求的各类开发活动要求的分析</w:t>
            </w:r>
          </w:p>
          <w:p w14:paraId="27FA527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不属于</w:t>
            </w:r>
            <w:r>
              <w:rPr>
                <w:rFonts w:hint="eastAsia" w:cs="Times New Roman"/>
                <w:color w:val="auto"/>
                <w:sz w:val="24"/>
                <w:szCs w:val="24"/>
                <w:highlight w:val="none"/>
                <w:lang w:eastAsia="zh-CN"/>
              </w:rPr>
              <w:t>河北省发展和改革委员会关于印发《灵寿县等22县（区）国家重点生态功能区产业准入负面清单（试行）》的通知（冀发改规[2018]920号）</w:t>
            </w:r>
            <w:r>
              <w:rPr>
                <w:rFonts w:hint="default" w:ascii="Times New Roman" w:hAnsi="Times New Roman" w:eastAsia="宋体" w:cs="Times New Roman"/>
                <w:color w:val="auto"/>
                <w:sz w:val="24"/>
                <w:szCs w:val="24"/>
              </w:rPr>
              <w:t>中</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限制类和禁止类</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产业项目。</w:t>
            </w:r>
          </w:p>
          <w:p w14:paraId="54050DF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《市场准入负面清单（2022年版）》</w:t>
            </w:r>
            <w:r>
              <w:rPr>
                <w:rFonts w:hint="eastAsia" w:ascii="Times New Roman" w:hAnsi="Times New Roman" w:eastAsia="宋体" w:cs="Times New Roman"/>
                <w:b/>
                <w:bCs/>
                <w:color w:val="auto"/>
                <w:sz w:val="24"/>
                <w:szCs w:val="24"/>
                <w:lang w:val="en-US" w:eastAsia="zh-CN"/>
              </w:rPr>
              <w:t>中许可准入负面清单符合性分析</w:t>
            </w:r>
          </w:p>
          <w:p w14:paraId="55396B41">
            <w:pPr>
              <w:keepNext w:val="0"/>
              <w:keepLines w:val="0"/>
              <w:pageBreakBefore w:val="0"/>
              <w:widowControl w:val="0"/>
              <w:kinsoku/>
              <w:wordWrap/>
              <w:overflowPunct/>
              <w:topLinePunct w:val="0"/>
              <w:autoSpaceDE w:val="0"/>
              <w:autoSpaceDN w:val="0"/>
              <w:bidi w:val="0"/>
              <w:adjustRightInd/>
              <w:snapToGrid/>
              <w:spacing w:line="500" w:lineRule="exact"/>
              <w:ind w:left="0" w:right="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经查阅《市场准入负面清单（2022年版）》</w:t>
            </w:r>
            <w:r>
              <w:rPr>
                <w:rFonts w:hint="eastAsia" w:ascii="Times New Roman" w:hAnsi="Times New Roman" w:cs="Times New Roman"/>
                <w:color w:val="auto"/>
                <w:sz w:val="24"/>
                <w:szCs w:val="24"/>
                <w:lang w:val="en-US" w:eastAsia="zh-CN"/>
              </w:rPr>
              <w:t>中</w:t>
            </w:r>
            <w:r>
              <w:rPr>
                <w:rFonts w:hint="default" w:ascii="Times New Roman" w:hAnsi="Times New Roman" w:cs="Times New Roman"/>
                <w:color w:val="auto"/>
                <w:sz w:val="24"/>
                <w:szCs w:val="24"/>
                <w:lang w:val="en-US" w:eastAsia="zh-CN"/>
              </w:rPr>
              <w:t>许可准入负面清单</w:t>
            </w:r>
            <w:r>
              <w:rPr>
                <w:rFonts w:hint="eastAsia" w:ascii="Times New Roman" w:hAnsi="Times New Roman" w:cs="Times New Roman"/>
                <w:color w:val="auto"/>
                <w:sz w:val="24"/>
                <w:szCs w:val="24"/>
                <w:lang w:val="en-US" w:eastAsia="zh-CN"/>
              </w:rPr>
              <w:t>可知，本项目不属于《市场准入负面清单（2022年版）》禁止准入类项目。因此，项目符合相关政策要求</w:t>
            </w:r>
            <w:r>
              <w:rPr>
                <w:rFonts w:hint="default" w:ascii="Times New Roman" w:hAnsi="Times New Roman" w:cs="Times New Roman"/>
                <w:color w:val="auto"/>
                <w:sz w:val="24"/>
                <w:szCs w:val="24"/>
                <w:lang w:val="en-US" w:eastAsia="zh-CN"/>
              </w:rPr>
              <w:t>。</w:t>
            </w:r>
          </w:p>
          <w:p w14:paraId="26AA1539">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right="0" w:rightChars="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eastAsia="zh-CN"/>
              </w:rPr>
              <w:t>选址及规划合理</w:t>
            </w:r>
            <w:r>
              <w:rPr>
                <w:rFonts w:hint="default" w:ascii="Times New Roman" w:hAnsi="Times New Roman" w:eastAsia="宋体" w:cs="Times New Roman"/>
                <w:b/>
                <w:bCs/>
                <w:color w:val="auto"/>
              </w:rPr>
              <w:t>性分析</w:t>
            </w:r>
            <w:r>
              <w:rPr>
                <w:rFonts w:hint="default" w:ascii="Times New Roman" w:hAnsi="Times New Roman" w:eastAsia="宋体" w:cs="Times New Roman"/>
                <w:b/>
                <w:bCs/>
                <w:color w:val="auto"/>
                <w:lang w:eastAsia="zh-CN"/>
              </w:rPr>
              <w:t>：</w:t>
            </w:r>
          </w:p>
          <w:p w14:paraId="3CEA16C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firstLine="480" w:firstLineChars="200"/>
              <w:jc w:val="left"/>
              <w:textAlignment w:val="auto"/>
              <w:rPr>
                <w:rFonts w:hint="eastAsia"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）选址合理性分析</w:t>
            </w:r>
          </w:p>
          <w:p w14:paraId="7BA46D1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firstLine="480" w:firstLineChars="200"/>
              <w:jc w:val="left"/>
              <w:textAlignment w:val="auto"/>
              <w:rPr>
                <w:rFonts w:hint="eastAsia" w:cs="Times New Roman"/>
                <w:color w:val="auto"/>
                <w:highlight w:val="none"/>
                <w:lang w:val="en-US" w:eastAsia="zh-CN"/>
              </w:rPr>
            </w:pPr>
            <w:r>
              <w:rPr>
                <w:rFonts w:hint="default" w:ascii="Times New Roman" w:hAnsi="Times New Roman" w:eastAsia="宋体" w:cs="Times New Roman"/>
                <w:color w:val="auto"/>
                <w:highlight w:val="none"/>
                <w:lang w:eastAsia="zh-CN"/>
              </w:rPr>
              <w:t>项</w:t>
            </w:r>
            <w:r>
              <w:rPr>
                <w:rFonts w:hint="default" w:ascii="Times New Roman" w:hAnsi="Times New Roman" w:eastAsia="宋体" w:cs="Times New Roman"/>
                <w:color w:val="auto"/>
                <w:highlight w:val="none"/>
              </w:rPr>
              <w:t>目位于</w:t>
            </w:r>
            <w:r>
              <w:rPr>
                <w:rFonts w:hint="default" w:ascii="Times New Roman" w:hAnsi="Times New Roman" w:eastAsia="宋体" w:cs="Times New Roman"/>
                <w:color w:val="auto"/>
                <w:highlight w:val="none"/>
                <w:lang w:eastAsia="zh-CN"/>
              </w:rPr>
              <w:t>河北省承德市兴隆县平安堡镇经济开发区</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w w:val="100"/>
                <w:kern w:val="2"/>
                <w:sz w:val="24"/>
                <w:szCs w:val="24"/>
                <w:lang w:val="en-US" w:eastAsia="zh-CN" w:bidi="ar-SA"/>
              </w:rPr>
              <w:t>本项目用地租赁</w:t>
            </w:r>
            <w:r>
              <w:rPr>
                <w:rFonts w:hint="eastAsia" w:cs="Times New Roman"/>
                <w:color w:val="auto"/>
                <w:w w:val="100"/>
                <w:kern w:val="2"/>
                <w:sz w:val="24"/>
                <w:szCs w:val="24"/>
                <w:lang w:val="en-US" w:eastAsia="zh-CN" w:bidi="ar-SA"/>
              </w:rPr>
              <w:t>平安堡村村民张进存</w:t>
            </w:r>
            <w:r>
              <w:rPr>
                <w:rFonts w:hint="default" w:ascii="Times New Roman" w:hAnsi="Times New Roman" w:eastAsia="宋体" w:cs="Times New Roman"/>
                <w:color w:val="auto"/>
                <w:w w:val="100"/>
                <w:kern w:val="2"/>
                <w:sz w:val="24"/>
                <w:szCs w:val="24"/>
                <w:lang w:val="en-US" w:eastAsia="zh-CN" w:bidi="ar-SA"/>
              </w:rPr>
              <w:t>的土地，</w:t>
            </w:r>
            <w:r>
              <w:rPr>
                <w:rFonts w:hint="eastAsia" w:cs="Times New Roman"/>
                <w:color w:val="auto"/>
                <w:w w:val="100"/>
                <w:kern w:val="2"/>
                <w:sz w:val="24"/>
                <w:szCs w:val="24"/>
                <w:lang w:val="en-US" w:eastAsia="zh-CN" w:bidi="ar-SA"/>
              </w:rPr>
              <w:t>属于工业用地，</w:t>
            </w:r>
            <w:r>
              <w:rPr>
                <w:rFonts w:hint="default" w:ascii="Times New Roman" w:hAnsi="Times New Roman" w:eastAsia="宋体" w:cs="Times New Roman"/>
                <w:color w:val="auto"/>
                <w:w w:val="100"/>
                <w:kern w:val="2"/>
                <w:sz w:val="24"/>
                <w:szCs w:val="24"/>
                <w:lang w:val="en-US" w:eastAsia="zh-CN" w:bidi="ar-SA"/>
              </w:rPr>
              <w:t>（详情见附件3）。</w:t>
            </w: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于</w:t>
            </w:r>
            <w:r>
              <w:rPr>
                <w:rFonts w:hint="default" w:ascii="Times New Roman" w:hAnsi="Times New Roman" w:eastAsia="宋体" w:cs="Times New Roman"/>
                <w:color w:val="auto"/>
                <w:lang w:val="en-US" w:eastAsia="zh-CN"/>
              </w:rPr>
              <w:t>20</w:t>
            </w:r>
            <w:r>
              <w:rPr>
                <w:rFonts w:hint="eastAsia" w:cs="Times New Roman"/>
                <w:color w:val="auto"/>
                <w:lang w:val="en-US" w:eastAsia="zh-CN"/>
              </w:rPr>
              <w:t>24</w:t>
            </w:r>
            <w:r>
              <w:rPr>
                <w:rFonts w:hint="default" w:ascii="Times New Roman" w:hAnsi="Times New Roman" w:eastAsia="宋体" w:cs="Times New Roman"/>
                <w:color w:val="auto"/>
                <w:lang w:val="en-US" w:eastAsia="zh-CN"/>
              </w:rPr>
              <w:t>年</w:t>
            </w:r>
            <w:r>
              <w:rPr>
                <w:rFonts w:hint="eastAsia" w:cs="Times New Roman"/>
                <w:color w:val="auto"/>
                <w:lang w:val="en-US" w:eastAsia="zh-CN"/>
              </w:rPr>
              <w:t>3</w:t>
            </w:r>
            <w:r>
              <w:rPr>
                <w:rFonts w:hint="default" w:ascii="Times New Roman" w:hAnsi="Times New Roman" w:eastAsia="宋体" w:cs="Times New Roman"/>
                <w:color w:val="auto"/>
                <w:lang w:val="en-US" w:eastAsia="zh-CN"/>
              </w:rPr>
              <w:t>月</w:t>
            </w:r>
            <w:r>
              <w:rPr>
                <w:rFonts w:hint="eastAsia" w:cs="Times New Roman"/>
                <w:color w:val="auto"/>
                <w:lang w:val="en-US" w:eastAsia="zh-CN"/>
              </w:rPr>
              <w:t>20</w:t>
            </w:r>
            <w:r>
              <w:rPr>
                <w:rFonts w:hint="default" w:ascii="Times New Roman" w:hAnsi="Times New Roman" w:eastAsia="宋体" w:cs="Times New Roman"/>
                <w:color w:val="auto"/>
                <w:lang w:val="en-US" w:eastAsia="zh-CN"/>
              </w:rPr>
              <w:t>日</w:t>
            </w:r>
            <w:r>
              <w:rPr>
                <w:rFonts w:hint="default" w:ascii="Times New Roman" w:hAnsi="Times New Roman" w:eastAsia="宋体" w:cs="Times New Roman"/>
                <w:color w:val="auto"/>
              </w:rPr>
              <w:t>取得</w:t>
            </w:r>
            <w:r>
              <w:rPr>
                <w:rFonts w:hint="default" w:ascii="Times New Roman" w:hAnsi="Times New Roman" w:eastAsia="宋体" w:cs="Times New Roman"/>
                <w:color w:val="auto"/>
                <w:lang w:val="en-US" w:eastAsia="zh-CN"/>
              </w:rPr>
              <w:t>兴隆县平安堡镇人民政府《关于</w:t>
            </w:r>
            <w:r>
              <w:rPr>
                <w:rFonts w:hint="eastAsia" w:cs="Times New Roman"/>
                <w:color w:val="auto"/>
                <w:highlight w:val="none"/>
                <w:lang w:val="en-US" w:eastAsia="zh-CN"/>
              </w:rPr>
              <w:t>兴隆县宜佳贸易有限公司钢渣废料综合利用项目</w:t>
            </w:r>
            <w:r>
              <w:rPr>
                <w:rFonts w:hint="default" w:ascii="Times New Roman" w:hAnsi="Times New Roman" w:eastAsia="宋体" w:cs="Times New Roman"/>
                <w:color w:val="auto"/>
                <w:lang w:val="en-US" w:eastAsia="zh-CN"/>
              </w:rPr>
              <w:t>》建设意见</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详</w:t>
            </w:r>
            <w:r>
              <w:rPr>
                <w:rFonts w:hint="default" w:ascii="Times New Roman" w:hAnsi="Times New Roman" w:eastAsia="宋体" w:cs="Times New Roman"/>
                <w:color w:val="auto"/>
              </w:rPr>
              <w:t>见附件</w:t>
            </w:r>
            <w:r>
              <w:rPr>
                <w:rFonts w:hint="eastAsia"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highlight w:val="none"/>
                <w:lang w:eastAsia="zh-CN"/>
              </w:rPr>
              <w:t>同时本项目用地不在</w:t>
            </w:r>
            <w:r>
              <w:rPr>
                <w:rFonts w:hint="default" w:ascii="Times New Roman" w:hAnsi="Times New Roman" w:eastAsia="宋体" w:cs="Times New Roman"/>
                <w:color w:val="auto"/>
                <w:highlight w:val="none"/>
                <w:lang w:val="en-US" w:eastAsia="zh-CN"/>
              </w:rPr>
              <w:t>生态保护红线范围内，符合生态保护红线要求。因此，项目选址合理。</w:t>
            </w:r>
          </w:p>
          <w:p w14:paraId="50B753E3">
            <w:pPr>
              <w:pStyle w:val="10"/>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lang w:val="en-US" w:eastAsia="zh-CN"/>
              </w:rPr>
              <w:t>（2）规划符合性分析</w:t>
            </w:r>
          </w:p>
          <w:p w14:paraId="7DD1CC93">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rPr>
              <w:t>项目与《承德市生态环境保护“十四五”规划》的符合性分析</w:t>
            </w:r>
          </w:p>
          <w:p w14:paraId="6F68C91C">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承德市生态环境保护“十四五”规划中三、重点任务（六）建立健全固体废物监管体系，强化源头减量及废物利用明确指出：强化工业固体废物污染防治，持续开展非法和不规范堆存渣场排查整治，建立排污单位工业固体废物管理台账。推行生产企业“逆向回收”等模式，推动大宗工业固体废物贮存处置总量趋零增长。探索钢铁行业大宗固体废弃物综合利用示范模式，推进综合利用产业集聚发展，提升综合利用水平。”</w:t>
            </w:r>
          </w:p>
          <w:p w14:paraId="020A7D86">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拟建项目主要以外购</w:t>
            </w:r>
            <w:r>
              <w:rPr>
                <w:rFonts w:hint="default" w:ascii="Times New Roman" w:hAnsi="Times New Roman" w:eastAsia="宋体" w:cs="Times New Roman"/>
                <w:color w:val="auto"/>
                <w:sz w:val="24"/>
                <w:szCs w:val="24"/>
              </w:rPr>
              <w:t>的</w:t>
            </w:r>
            <w:r>
              <w:rPr>
                <w:rFonts w:hint="eastAsia" w:ascii="Times New Roman" w:hAnsi="Times New Roman" w:eastAsia="宋体" w:cs="Times New Roman"/>
                <w:color w:val="auto"/>
                <w:sz w:val="24"/>
                <w:szCs w:val="24"/>
                <w:lang w:eastAsia="zh-CN"/>
              </w:rPr>
              <w:t>废钢渣</w:t>
            </w:r>
            <w:r>
              <w:rPr>
                <w:rFonts w:hint="default" w:ascii="Times New Roman" w:hAnsi="Times New Roman" w:eastAsia="宋体" w:cs="Times New Roman"/>
                <w:color w:val="auto"/>
                <w:sz w:val="24"/>
                <w:szCs w:val="24"/>
              </w:rPr>
              <w:t>为原料，通过</w:t>
            </w:r>
            <w:r>
              <w:rPr>
                <w:rFonts w:hint="eastAsia" w:ascii="Times New Roman" w:hAnsi="Times New Roman" w:eastAsia="宋体" w:cs="Times New Roman"/>
                <w:color w:val="auto"/>
                <w:sz w:val="24"/>
                <w:szCs w:val="24"/>
                <w:lang w:eastAsia="zh-CN"/>
              </w:rPr>
              <w:t>筛选、除杂、粉磨</w:t>
            </w:r>
            <w:r>
              <w:rPr>
                <w:rFonts w:hint="default" w:ascii="Times New Roman" w:hAnsi="Times New Roman" w:eastAsia="宋体" w:cs="Times New Roman"/>
                <w:color w:val="auto"/>
                <w:sz w:val="24"/>
                <w:szCs w:val="24"/>
              </w:rPr>
              <w:t>等工序</w:t>
            </w:r>
            <w:r>
              <w:rPr>
                <w:rFonts w:hint="eastAsia" w:ascii="Times New Roman" w:hAnsi="Times New Roman" w:eastAsia="宋体" w:cs="Times New Roman"/>
                <w:color w:val="auto"/>
                <w:sz w:val="24"/>
                <w:szCs w:val="24"/>
                <w:lang w:eastAsia="zh-CN"/>
              </w:rPr>
              <w:t>对废钢渣加工处理</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更好的</w:t>
            </w:r>
            <w:r>
              <w:rPr>
                <w:rFonts w:hint="default" w:ascii="Times New Roman" w:hAnsi="Times New Roman" w:eastAsia="宋体" w:cs="Times New Roman"/>
                <w:b w:val="0"/>
                <w:bCs w:val="0"/>
                <w:color w:val="auto"/>
                <w:sz w:val="24"/>
                <w:szCs w:val="24"/>
                <w:lang w:eastAsia="zh-CN"/>
              </w:rPr>
              <w:t>提高废旧资源再生利用水平</w:t>
            </w:r>
            <w:r>
              <w:rPr>
                <w:rFonts w:hint="default" w:ascii="Times New Roman" w:hAnsi="Times New Roman" w:eastAsia="宋体" w:cs="Times New Roman"/>
                <w:color w:val="auto"/>
                <w:sz w:val="24"/>
                <w:szCs w:val="24"/>
              </w:rPr>
              <w:t>，因此本项目的建设与《承德市生态环境保护“十四五”规划》相符。</w:t>
            </w:r>
          </w:p>
          <w:p w14:paraId="41ACF3E0">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jc w:val="left"/>
              <w:textAlignment w:val="auto"/>
              <w:rPr>
                <w:rFonts w:hint="default" w:ascii="Times New Roman" w:hAnsi="Times New Roman" w:eastAsia="宋体" w:cs="Times New Roman"/>
                <w:b w:val="0"/>
                <w:bCs w:val="0"/>
                <w:color w:val="auto"/>
                <w:sz w:val="24"/>
                <w:szCs w:val="24"/>
              </w:rPr>
            </w:pPr>
            <w:r>
              <w:rPr>
                <w:rFonts w:hint="eastAsia" w:ascii="Times New Roman" w:hAnsi="Times New Roman" w:eastAsia="宋体" w:cs="Times New Roman"/>
                <w:color w:val="auto"/>
                <w:sz w:val="24"/>
                <w:szCs w:val="24"/>
                <w:lang w:eastAsia="zh-CN"/>
              </w:rPr>
              <w:t>②</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b w:val="0"/>
                <w:bCs w:val="0"/>
                <w:color w:val="auto"/>
                <w:sz w:val="24"/>
                <w:szCs w:val="24"/>
              </w:rPr>
              <w:t>与《</w:t>
            </w:r>
            <w:r>
              <w:rPr>
                <w:rFonts w:hint="default" w:ascii="Times New Roman" w:hAnsi="Times New Roman" w:eastAsia="宋体" w:cs="Times New Roman"/>
                <w:b w:val="0"/>
                <w:bCs w:val="0"/>
                <w:color w:val="auto"/>
                <w:sz w:val="24"/>
                <w:szCs w:val="24"/>
                <w:lang w:val="en-US" w:eastAsia="zh-CN"/>
              </w:rPr>
              <w:t>兴隆县国民经济和社会发展第十四个五年规划和二〇三五年远景目标纲要</w:t>
            </w:r>
            <w:r>
              <w:rPr>
                <w:rFonts w:hint="default" w:ascii="Times New Roman" w:hAnsi="Times New Roman" w:eastAsia="宋体" w:cs="Times New Roman"/>
                <w:b w:val="0"/>
                <w:bCs w:val="0"/>
                <w:color w:val="auto"/>
                <w:sz w:val="24"/>
                <w:szCs w:val="24"/>
              </w:rPr>
              <w:t>》的符合性分析</w:t>
            </w:r>
          </w:p>
          <w:p w14:paraId="3DEFD3E6">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lang w:eastAsia="zh-CN"/>
              </w:rPr>
              <w:t>根据</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兴隆县国民经济和社会发展第十四个五年规划和二〇三五年远景目标纲要</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三）完善生态文明体制机制，推动绿色低碳发展中大力推进生产绿色化。建立资源环境承载能力监管和监测预警机制，在产业发展、项目布局上优先考虑生态环境承载能力。积极发展循环经济，建立线上线下融合的废旧资源回收和循环利用体系，提高废旧资源再生利用水平。大力推进农药化肥减量增效、农业废弃物资源化利用。推广先进污水深度处理技术，提高工业用水重复利用率。深入开展习近平生态文明思想“六进”活动，开展节约型机关、绿色学校、绿色商场创建行动，建立绿色产品政府采购制度，推动全社会逐步形成绿色低碳生活方式。</w:t>
            </w:r>
          </w:p>
          <w:p w14:paraId="4ECC4D86">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0" w:right="0" w:rightChars="0"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拟建项目主要以外购</w:t>
            </w:r>
            <w:r>
              <w:rPr>
                <w:rFonts w:hint="default" w:ascii="Times New Roman" w:hAnsi="Times New Roman" w:eastAsia="宋体" w:cs="Times New Roman"/>
                <w:color w:val="auto"/>
                <w:sz w:val="24"/>
                <w:szCs w:val="24"/>
              </w:rPr>
              <w:t>的</w:t>
            </w:r>
            <w:r>
              <w:rPr>
                <w:rFonts w:hint="eastAsia" w:ascii="Times New Roman" w:hAnsi="Times New Roman" w:eastAsia="宋体" w:cs="Times New Roman"/>
                <w:color w:val="auto"/>
                <w:sz w:val="24"/>
                <w:szCs w:val="24"/>
                <w:lang w:eastAsia="zh-CN"/>
              </w:rPr>
              <w:t>废钢渣</w:t>
            </w:r>
            <w:r>
              <w:rPr>
                <w:rFonts w:hint="default" w:ascii="Times New Roman" w:hAnsi="Times New Roman" w:eastAsia="宋体" w:cs="Times New Roman"/>
                <w:color w:val="auto"/>
                <w:sz w:val="24"/>
                <w:szCs w:val="24"/>
              </w:rPr>
              <w:t>为原料，通过</w:t>
            </w:r>
            <w:r>
              <w:rPr>
                <w:rFonts w:hint="eastAsia" w:ascii="Times New Roman" w:hAnsi="Times New Roman" w:eastAsia="宋体" w:cs="Times New Roman"/>
                <w:color w:val="auto"/>
                <w:sz w:val="24"/>
                <w:szCs w:val="24"/>
                <w:lang w:eastAsia="zh-CN"/>
              </w:rPr>
              <w:t>筛选、除杂、粉磨</w:t>
            </w:r>
            <w:r>
              <w:rPr>
                <w:rFonts w:hint="default" w:ascii="Times New Roman" w:hAnsi="Times New Roman" w:eastAsia="宋体" w:cs="Times New Roman"/>
                <w:color w:val="auto"/>
                <w:sz w:val="24"/>
                <w:szCs w:val="24"/>
              </w:rPr>
              <w:t>等工序</w:t>
            </w:r>
            <w:r>
              <w:rPr>
                <w:rFonts w:hint="eastAsia" w:ascii="Times New Roman" w:hAnsi="Times New Roman" w:eastAsia="宋体" w:cs="Times New Roman"/>
                <w:color w:val="auto"/>
                <w:sz w:val="24"/>
                <w:szCs w:val="24"/>
                <w:lang w:eastAsia="zh-CN"/>
              </w:rPr>
              <w:t>对废钢渣加工处理</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更好的</w:t>
            </w:r>
            <w:r>
              <w:rPr>
                <w:rFonts w:hint="default" w:ascii="Times New Roman" w:hAnsi="Times New Roman" w:eastAsia="宋体" w:cs="Times New Roman"/>
                <w:b w:val="0"/>
                <w:bCs w:val="0"/>
                <w:color w:val="auto"/>
                <w:sz w:val="24"/>
                <w:szCs w:val="24"/>
                <w:lang w:eastAsia="zh-CN"/>
              </w:rPr>
              <w:t>提高废旧资源再生利用水平</w:t>
            </w:r>
            <w:r>
              <w:rPr>
                <w:rFonts w:hint="default" w:ascii="Times New Roman" w:hAnsi="Times New Roman" w:eastAsia="宋体" w:cs="Times New Roman"/>
                <w:color w:val="auto"/>
                <w:sz w:val="24"/>
                <w:szCs w:val="24"/>
              </w:rPr>
              <w:t>，本项目的建设与《</w:t>
            </w:r>
            <w:r>
              <w:rPr>
                <w:rFonts w:hint="default" w:ascii="Times New Roman" w:hAnsi="Times New Roman" w:eastAsia="宋体" w:cs="Times New Roman"/>
                <w:b w:val="0"/>
                <w:bCs w:val="0"/>
                <w:color w:val="auto"/>
                <w:sz w:val="24"/>
                <w:szCs w:val="24"/>
                <w:lang w:val="en-US" w:eastAsia="zh-CN"/>
              </w:rPr>
              <w:t>兴隆县国民经济和社会发展第十四个五年规划和二〇三五年远景目标纲要</w:t>
            </w:r>
            <w:r>
              <w:rPr>
                <w:rFonts w:hint="default" w:ascii="Times New Roman" w:hAnsi="Times New Roman" w:eastAsia="宋体" w:cs="Times New Roman"/>
                <w:color w:val="auto"/>
                <w:sz w:val="24"/>
                <w:szCs w:val="24"/>
              </w:rPr>
              <w:t>》相符</w:t>
            </w:r>
            <w:r>
              <w:rPr>
                <w:rFonts w:hint="eastAsia" w:ascii="Times New Roman" w:hAnsi="Times New Roman" w:eastAsia="宋体" w:cs="Times New Roman"/>
                <w:color w:val="auto"/>
                <w:sz w:val="24"/>
                <w:szCs w:val="24"/>
                <w:lang w:eastAsia="zh-CN"/>
              </w:rPr>
              <w:t>。</w:t>
            </w:r>
          </w:p>
          <w:p w14:paraId="1F593983">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200" w:right="0" w:rightChars="0"/>
              <w:jc w:val="left"/>
              <w:textAlignment w:val="auto"/>
              <w:rPr>
                <w:color w:val="auto"/>
              </w:rPr>
            </w:pPr>
            <w:r>
              <w:rPr>
                <w:rFonts w:hint="eastAsia"/>
                <w:b/>
                <w:bCs/>
                <w:color w:val="auto"/>
                <w:lang w:val="en-US" w:eastAsia="zh-CN"/>
              </w:rPr>
              <w:t>3、</w:t>
            </w:r>
            <w:r>
              <w:rPr>
                <w:b/>
                <w:bCs/>
                <w:color w:val="auto"/>
              </w:rPr>
              <w:t>三线一单符合性分析：</w:t>
            </w:r>
          </w:p>
          <w:p w14:paraId="1FCAF98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bCs/>
                <w:color w:val="auto"/>
                <w:spacing w:val="0"/>
                <w:position w:val="0"/>
                <w:sz w:val="24"/>
                <w:szCs w:val="24"/>
                <w:lang w:val="en-US" w:eastAsia="zh-CN"/>
              </w:rPr>
            </w:pPr>
            <w:r>
              <w:rPr>
                <w:rFonts w:hint="default" w:ascii="Times New Roman" w:hAnsi="Times New Roman" w:cs="Times New Roman"/>
                <w:b w:val="0"/>
                <w:bCs w:val="0"/>
                <w:color w:val="auto"/>
                <w:spacing w:val="0"/>
                <w:position w:val="0"/>
                <w:sz w:val="24"/>
                <w:szCs w:val="24"/>
                <w:lang w:val="en-US" w:eastAsia="zh-CN"/>
              </w:rPr>
              <w:t>根据《关于以改善环境质量为核心加强环境影响评价管理的通知》（环境保护部文件：环评[2016]150 号）</w:t>
            </w:r>
            <w:r>
              <w:rPr>
                <w:rFonts w:hint="eastAsia" w:ascii="Times New Roman" w:hAnsi="Times New Roman" w:cs="Times New Roman"/>
                <w:b w:val="0"/>
                <w:bCs w:val="0"/>
                <w:color w:val="auto"/>
                <w:spacing w:val="0"/>
                <w:position w:val="0"/>
                <w:sz w:val="24"/>
                <w:szCs w:val="24"/>
                <w:lang w:val="en-US" w:eastAsia="zh-CN"/>
              </w:rPr>
              <w:t>、《承德市人民政府关于加快实施</w:t>
            </w:r>
            <w:r>
              <w:rPr>
                <w:rFonts w:hint="eastAsia" w:cs="Times New Roman"/>
                <w:b w:val="0"/>
                <w:bCs w:val="0"/>
                <w:color w:val="auto"/>
                <w:spacing w:val="0"/>
                <w:position w:val="0"/>
                <w:sz w:val="24"/>
                <w:szCs w:val="24"/>
                <w:lang w:val="en-US" w:eastAsia="zh-CN"/>
              </w:rPr>
              <w:t>“</w:t>
            </w:r>
            <w:r>
              <w:rPr>
                <w:rFonts w:hint="eastAsia" w:ascii="Times New Roman" w:hAnsi="Times New Roman" w:cs="Times New Roman"/>
                <w:b w:val="0"/>
                <w:bCs w:val="0"/>
                <w:color w:val="auto"/>
                <w:spacing w:val="0"/>
                <w:position w:val="0"/>
                <w:sz w:val="24"/>
                <w:szCs w:val="24"/>
                <w:lang w:val="en-US" w:eastAsia="zh-CN"/>
              </w:rPr>
              <w:t>三线一单</w:t>
            </w:r>
            <w:r>
              <w:rPr>
                <w:rFonts w:hint="eastAsia" w:cs="Times New Roman"/>
                <w:b w:val="0"/>
                <w:bCs w:val="0"/>
                <w:color w:val="auto"/>
                <w:spacing w:val="0"/>
                <w:position w:val="0"/>
                <w:sz w:val="24"/>
                <w:szCs w:val="24"/>
                <w:lang w:val="en-US" w:eastAsia="zh-CN"/>
              </w:rPr>
              <w:t>”</w:t>
            </w:r>
            <w:r>
              <w:rPr>
                <w:rFonts w:hint="eastAsia" w:ascii="Times New Roman" w:hAnsi="Times New Roman" w:cs="Times New Roman"/>
                <w:b w:val="0"/>
                <w:bCs w:val="0"/>
                <w:color w:val="auto"/>
                <w:spacing w:val="0"/>
                <w:position w:val="0"/>
                <w:sz w:val="24"/>
                <w:szCs w:val="24"/>
                <w:lang w:val="en-US" w:eastAsia="zh-CN"/>
              </w:rPr>
              <w:t>生态环境分区管控的意见》（</w:t>
            </w:r>
            <w:r>
              <w:rPr>
                <w:rFonts w:hint="eastAsia"/>
                <w:color w:val="auto"/>
                <w:sz w:val="24"/>
                <w:szCs w:val="24"/>
                <w:lang w:val="en-US" w:eastAsia="zh-CN"/>
              </w:rPr>
              <w:t>承德市人民政府2021年6月18日发布</w:t>
            </w:r>
            <w:r>
              <w:rPr>
                <w:rFonts w:hint="eastAsia" w:ascii="Times New Roman" w:hAnsi="Times New Roman" w:cs="Times New Roman"/>
                <w:b w:val="0"/>
                <w:bCs w:val="0"/>
                <w:color w:val="auto"/>
                <w:spacing w:val="0"/>
                <w:position w:val="0"/>
                <w:sz w:val="24"/>
                <w:szCs w:val="24"/>
                <w:lang w:val="en-US" w:eastAsia="zh-CN"/>
              </w:rPr>
              <w:t>）</w:t>
            </w:r>
            <w:r>
              <w:rPr>
                <w:rFonts w:hint="eastAsia" w:ascii="宋体" w:hAnsi="宋体" w:eastAsia="宋体" w:cs="宋体"/>
                <w:b w:val="0"/>
                <w:bCs w:val="0"/>
                <w:color w:val="auto"/>
                <w:spacing w:val="0"/>
                <w:position w:val="0"/>
                <w:sz w:val="24"/>
                <w:szCs w:val="24"/>
                <w:lang w:val="en-US" w:eastAsia="zh-CN"/>
              </w:rPr>
              <w:t>对</w:t>
            </w:r>
            <w:r>
              <w:rPr>
                <w:rFonts w:hint="eastAsia" w:ascii="宋体" w:hAnsi="宋体" w:cs="宋体"/>
                <w:b w:val="0"/>
                <w:bCs w:val="0"/>
                <w:color w:val="auto"/>
                <w:spacing w:val="0"/>
                <w:position w:val="0"/>
                <w:sz w:val="24"/>
                <w:szCs w:val="24"/>
                <w:lang w:val="en-US" w:eastAsia="zh-CN"/>
              </w:rPr>
              <w:t>“</w:t>
            </w:r>
            <w:r>
              <w:rPr>
                <w:rFonts w:hint="eastAsia" w:ascii="宋体" w:hAnsi="宋体" w:eastAsia="宋体" w:cs="宋体"/>
                <w:b w:val="0"/>
                <w:bCs w:val="0"/>
                <w:color w:val="auto"/>
                <w:spacing w:val="0"/>
                <w:position w:val="0"/>
                <w:sz w:val="24"/>
                <w:szCs w:val="24"/>
                <w:lang w:val="en-US" w:eastAsia="zh-CN"/>
              </w:rPr>
              <w:t>三线一单</w:t>
            </w:r>
            <w:r>
              <w:rPr>
                <w:rFonts w:hint="eastAsia" w:ascii="宋体" w:hAnsi="宋体" w:cs="宋体"/>
                <w:b w:val="0"/>
                <w:bCs w:val="0"/>
                <w:color w:val="auto"/>
                <w:spacing w:val="0"/>
                <w:position w:val="0"/>
                <w:sz w:val="24"/>
                <w:szCs w:val="24"/>
                <w:lang w:val="en-US" w:eastAsia="zh-CN"/>
              </w:rPr>
              <w:t>”</w:t>
            </w:r>
            <w:r>
              <w:rPr>
                <w:rFonts w:hint="eastAsia" w:ascii="宋体" w:hAnsi="宋体" w:eastAsia="宋体" w:cs="宋体"/>
                <w:b w:val="0"/>
                <w:bCs w:val="0"/>
                <w:color w:val="auto"/>
                <w:spacing w:val="0"/>
                <w:position w:val="0"/>
                <w:sz w:val="24"/>
                <w:szCs w:val="24"/>
                <w:lang w:val="en-US" w:eastAsia="zh-CN"/>
              </w:rPr>
              <w:t>的要求，进行项目</w:t>
            </w:r>
            <w:r>
              <w:rPr>
                <w:rFonts w:hint="eastAsia" w:ascii="宋体" w:hAnsi="宋体" w:cs="宋体"/>
                <w:b w:val="0"/>
                <w:bCs w:val="0"/>
                <w:color w:val="auto"/>
                <w:spacing w:val="0"/>
                <w:position w:val="0"/>
                <w:sz w:val="24"/>
                <w:szCs w:val="24"/>
                <w:lang w:val="en-US" w:eastAsia="zh-CN"/>
              </w:rPr>
              <w:t>“</w:t>
            </w:r>
            <w:r>
              <w:rPr>
                <w:rFonts w:hint="eastAsia" w:ascii="宋体" w:hAnsi="宋体" w:eastAsia="宋体" w:cs="宋体"/>
                <w:b w:val="0"/>
                <w:bCs w:val="0"/>
                <w:color w:val="auto"/>
                <w:spacing w:val="0"/>
                <w:position w:val="0"/>
                <w:sz w:val="24"/>
                <w:szCs w:val="24"/>
                <w:lang w:val="en-US" w:eastAsia="zh-CN"/>
              </w:rPr>
              <w:t>三线一单</w:t>
            </w:r>
            <w:r>
              <w:rPr>
                <w:rFonts w:hint="eastAsia" w:ascii="宋体" w:hAnsi="宋体" w:cs="宋体"/>
                <w:b w:val="0"/>
                <w:bCs w:val="0"/>
                <w:color w:val="auto"/>
                <w:spacing w:val="0"/>
                <w:position w:val="0"/>
                <w:sz w:val="24"/>
                <w:szCs w:val="24"/>
                <w:lang w:val="en-US" w:eastAsia="zh-CN"/>
              </w:rPr>
              <w:t>”</w:t>
            </w:r>
            <w:r>
              <w:rPr>
                <w:rFonts w:hint="eastAsia" w:ascii="宋体" w:hAnsi="宋体" w:eastAsia="宋体" w:cs="宋体"/>
                <w:b w:val="0"/>
                <w:bCs w:val="0"/>
                <w:color w:val="auto"/>
                <w:spacing w:val="0"/>
                <w:position w:val="0"/>
                <w:sz w:val="24"/>
                <w:szCs w:val="24"/>
                <w:lang w:val="en-US" w:eastAsia="zh-CN"/>
              </w:rPr>
              <w:t>符</w:t>
            </w:r>
            <w:r>
              <w:rPr>
                <w:rFonts w:hint="default" w:ascii="Times New Roman" w:hAnsi="Times New Roman" w:cs="Times New Roman"/>
                <w:b w:val="0"/>
                <w:bCs w:val="0"/>
                <w:color w:val="auto"/>
                <w:spacing w:val="0"/>
                <w:position w:val="0"/>
                <w:sz w:val="24"/>
                <w:szCs w:val="24"/>
                <w:lang w:val="en-US" w:eastAsia="zh-CN"/>
              </w:rPr>
              <w:t>合性分析，判定内容</w:t>
            </w:r>
            <w:r>
              <w:rPr>
                <w:rFonts w:hint="eastAsia" w:ascii="Times New Roman" w:hAnsi="Times New Roman" w:cs="Times New Roman"/>
                <w:b w:val="0"/>
                <w:bCs w:val="0"/>
                <w:color w:val="auto"/>
                <w:spacing w:val="0"/>
                <w:position w:val="0"/>
                <w:sz w:val="24"/>
                <w:szCs w:val="24"/>
                <w:lang w:val="en-US" w:eastAsia="zh-CN"/>
              </w:rPr>
              <w:t>如表1-2所示</w:t>
            </w:r>
            <w:r>
              <w:rPr>
                <w:rFonts w:hint="default" w:ascii="Times New Roman" w:hAnsi="Times New Roman" w:cs="Times New Roman"/>
                <w:b w:val="0"/>
                <w:bCs w:val="0"/>
                <w:color w:val="auto"/>
                <w:spacing w:val="0"/>
                <w:position w:val="0"/>
                <w:sz w:val="24"/>
                <w:szCs w:val="24"/>
                <w:lang w:val="en-US" w:eastAsia="zh-CN"/>
              </w:rPr>
              <w:t>：</w:t>
            </w:r>
          </w:p>
          <w:p w14:paraId="41AF78ED">
            <w:pPr>
              <w:pStyle w:val="57"/>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w:t>
            </w:r>
            <w:r>
              <w:rPr>
                <w:rFonts w:hint="eastAsia"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三线一单</w:t>
            </w:r>
            <w:r>
              <w:rPr>
                <w:rFonts w:hint="eastAsia"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符合性分析表</w:t>
            </w:r>
          </w:p>
          <w:tbl>
            <w:tblPr>
              <w:tblStyle w:val="2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3334"/>
              <w:gridCol w:w="3215"/>
              <w:gridCol w:w="611"/>
            </w:tblGrid>
            <w:tr w14:paraId="7F73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noWrap w:val="0"/>
                  <w:vAlign w:val="center"/>
                </w:tcPr>
                <w:p w14:paraId="6EED4CD1">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77" w:type="pct"/>
                  <w:noWrap w:val="0"/>
                  <w:vAlign w:val="center"/>
                </w:tcPr>
                <w:p w14:paraId="669FD414">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分析内容</w:t>
                  </w:r>
                </w:p>
              </w:tc>
              <w:tc>
                <w:tcPr>
                  <w:tcW w:w="2099" w:type="pct"/>
                  <w:noWrap w:val="0"/>
                  <w:vAlign w:val="center"/>
                </w:tcPr>
                <w:p w14:paraId="57C1A61D">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企业情况</w:t>
                  </w:r>
                </w:p>
              </w:tc>
              <w:tc>
                <w:tcPr>
                  <w:tcW w:w="398" w:type="pct"/>
                  <w:noWrap w:val="0"/>
                  <w:vAlign w:val="center"/>
                </w:tcPr>
                <w:p w14:paraId="54293D95">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76E8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noWrap w:val="0"/>
                  <w:vAlign w:val="center"/>
                </w:tcPr>
                <w:p w14:paraId="49FD87BA">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w:t>
                  </w:r>
                </w:p>
              </w:tc>
              <w:tc>
                <w:tcPr>
                  <w:tcW w:w="2177" w:type="pct"/>
                  <w:noWrap w:val="0"/>
                  <w:vAlign w:val="center"/>
                </w:tcPr>
                <w:p w14:paraId="22A738B4">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生态保护红线是生态空间范围内具有特殊重要</w:t>
                  </w:r>
                  <w:r>
                    <w:rPr>
                      <w:rFonts w:hint="eastAsia" w:ascii="Times New Roman" w:hAnsi="Times New Roman" w:eastAsia="宋体" w:cs="Times New Roman"/>
                      <w:color w:val="auto"/>
                      <w:sz w:val="21"/>
                      <w:szCs w:val="21"/>
                      <w:lang w:eastAsia="zh-CN"/>
                    </w:rPr>
                    <w:t>生态</w:t>
                  </w:r>
                  <w:r>
                    <w:rPr>
                      <w:rFonts w:hint="default" w:ascii="Times New Roman" w:hAnsi="Times New Roman" w:eastAsia="宋体" w:cs="Times New Roman"/>
                      <w:color w:val="auto"/>
                      <w:sz w:val="21"/>
                      <w:szCs w:val="21"/>
                    </w:rPr>
                    <w:t>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2099" w:type="pct"/>
                  <w:noWrap w:val="0"/>
                  <w:vAlign w:val="center"/>
                </w:tcPr>
                <w:p w14:paraId="7598584C">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本项目位于河北省承德市兴隆县平安堡镇经济开发区，项目选址不占用生态</w:t>
                  </w:r>
                  <w:r>
                    <w:rPr>
                      <w:rFonts w:hint="eastAsia" w:cs="Times New Roman"/>
                      <w:color w:val="auto"/>
                      <w:sz w:val="21"/>
                      <w:szCs w:val="21"/>
                      <w:lang w:eastAsia="zh-CN"/>
                    </w:rPr>
                    <w:t>保护</w:t>
                  </w:r>
                  <w:r>
                    <w:rPr>
                      <w:rFonts w:hint="default" w:ascii="Times New Roman" w:hAnsi="Times New Roman" w:eastAsia="宋体" w:cs="Times New Roman"/>
                      <w:color w:val="auto"/>
                      <w:sz w:val="21"/>
                      <w:szCs w:val="21"/>
                    </w:rPr>
                    <w:t>红线，评价范围内无自然保护区和其他特别需要保护的敏感目标，本项目不在生态保护红线范围内，符合生态保护红线要求，见附图</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w:t>
                  </w:r>
                </w:p>
              </w:tc>
              <w:tc>
                <w:tcPr>
                  <w:tcW w:w="398" w:type="pct"/>
                  <w:noWrap w:val="0"/>
                  <w:vAlign w:val="center"/>
                </w:tcPr>
                <w:p w14:paraId="221D2FC0">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099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noWrap w:val="0"/>
                  <w:vAlign w:val="center"/>
                </w:tcPr>
                <w:p w14:paraId="768A15CC">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w:t>
                  </w:r>
                </w:p>
              </w:tc>
              <w:tc>
                <w:tcPr>
                  <w:tcW w:w="2177" w:type="pct"/>
                  <w:noWrap w:val="0"/>
                  <w:vAlign w:val="center"/>
                </w:tcPr>
                <w:p w14:paraId="682A861F">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099" w:type="pct"/>
                  <w:noWrap w:val="0"/>
                  <w:vAlign w:val="center"/>
                </w:tcPr>
                <w:p w14:paraId="5FF7BF8C">
                  <w:pPr>
                    <w:keepNext w:val="0"/>
                    <w:keepLines w:val="0"/>
                    <w:pageBreakBefore w:val="0"/>
                    <w:widowControl w:val="0"/>
                    <w:shd w:val="clear" w:color="auto" w:fill="FFFFFF"/>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根据</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rPr>
                    <w:t>2</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rPr>
                    <w:t>5</w:t>
                  </w:r>
                  <w:r>
                    <w:rPr>
                      <w:rFonts w:hint="default" w:ascii="Times New Roman" w:hAnsi="Times New Roman" w:eastAsia="宋体" w:cs="Times New Roman"/>
                      <w:color w:val="auto"/>
                      <w:sz w:val="21"/>
                      <w:szCs w:val="21"/>
                    </w:rPr>
                    <w:t>月承德市生态环境局发布的《20</w:t>
                  </w:r>
                  <w:r>
                    <w:rPr>
                      <w:rFonts w:hint="default" w:ascii="Times New Roman" w:hAnsi="Times New Roman" w:eastAsia="宋体" w:cs="Times New Roman"/>
                      <w:color w:val="auto"/>
                      <w:sz w:val="21"/>
                      <w:szCs w:val="21"/>
                      <w:lang w:val="en-US"/>
                    </w:rPr>
                    <w:t>2</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年承德市环境状况公报》常规数据，</w:t>
                  </w:r>
                  <w:r>
                    <w:rPr>
                      <w:rFonts w:hint="default" w:ascii="Times New Roman" w:hAnsi="Times New Roman" w:eastAsia="宋体" w:cs="Times New Roman"/>
                      <w:color w:val="auto"/>
                      <w:sz w:val="21"/>
                      <w:szCs w:val="21"/>
                      <w:lang w:val="en-US" w:eastAsia="zh-CN"/>
                    </w:rPr>
                    <w:t>2023年12个县（市、区）首要污染物</w:t>
                  </w:r>
                  <w:r>
                    <w:rPr>
                      <w:rFonts w:hint="default" w:ascii="Times New Roman" w:hAnsi="Times New Roman" w:eastAsia="宋体" w:cs="Times New Roman"/>
                      <w:color w:val="auto"/>
                      <w:sz w:val="21"/>
                      <w:szCs w:val="21"/>
                      <w:lang w:val="en-US"/>
                    </w:rPr>
                    <w:t>O</w:t>
                  </w:r>
                  <w:r>
                    <w:rPr>
                      <w:rFonts w:hint="default" w:ascii="Times New Roman" w:hAnsi="Times New Roman" w:eastAsia="宋体" w:cs="Times New Roman"/>
                      <w:color w:val="auto"/>
                      <w:sz w:val="21"/>
                      <w:szCs w:val="21"/>
                      <w:vertAlign w:val="subscript"/>
                      <w:lang w:val="en-US"/>
                    </w:rPr>
                    <w:t>3</w:t>
                  </w:r>
                  <w:r>
                    <w:rPr>
                      <w:rFonts w:hint="default" w:ascii="Times New Roman" w:hAnsi="Times New Roman" w:eastAsia="宋体" w:cs="Times New Roman"/>
                      <w:color w:val="auto"/>
                      <w:sz w:val="21"/>
                      <w:szCs w:val="21"/>
                      <w:lang w:val="en-US"/>
                    </w:rPr>
                    <w:t>，</w:t>
                  </w:r>
                  <w:r>
                    <w:rPr>
                      <w:rFonts w:hint="default" w:ascii="Times New Roman" w:hAnsi="Times New Roman" w:eastAsia="宋体" w:cs="Times New Roman"/>
                      <w:color w:val="auto"/>
                      <w:sz w:val="21"/>
                      <w:szCs w:val="21"/>
                      <w:lang w:eastAsia="zh-CN"/>
                    </w:rPr>
                    <w:t>综合指标指数范围为</w:t>
                  </w:r>
                  <w:r>
                    <w:rPr>
                      <w:rFonts w:hint="default" w:ascii="Times New Roman" w:hAnsi="Times New Roman" w:eastAsia="宋体" w:cs="Times New Roman"/>
                      <w:color w:val="auto"/>
                      <w:sz w:val="21"/>
                      <w:szCs w:val="21"/>
                      <w:lang w:val="en-US" w:eastAsia="zh-CN"/>
                    </w:rPr>
                    <w:t>2.82~3.91，其中4个县（市、区）综合指数下降，8个上升，变化幅度范围为-2.8%~6.9%，优良天数范围为285~323天之间。</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lang w:eastAsia="zh-CN"/>
                    </w:rPr>
                    <w:t>浓度范围为</w:t>
                  </w:r>
                  <w:r>
                    <w:rPr>
                      <w:rFonts w:hint="default" w:ascii="Times New Roman" w:hAnsi="Times New Roman" w:eastAsia="宋体" w:cs="Times New Roman"/>
                      <w:color w:val="auto"/>
                      <w:sz w:val="21"/>
                      <w:szCs w:val="21"/>
                      <w:lang w:val="en-US" w:eastAsia="zh-CN"/>
                    </w:rPr>
                    <w:t>18~36ug/m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，其中5个县（市、区）综合指数下降3个持平，4个上升，变化幅度范围为-8.7%~10.5%。12个县（市、区）</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lang w:eastAsia="zh-CN"/>
                    </w:rPr>
                    <w:t>年平均浓度均达到国家二级标准，</w:t>
                  </w:r>
                  <w:r>
                    <w:rPr>
                      <w:rFonts w:hint="default" w:ascii="Times New Roman" w:hAnsi="Times New Roman" w:eastAsia="宋体" w:cs="Times New Roman"/>
                      <w:color w:val="auto"/>
                      <w:sz w:val="21"/>
                      <w:szCs w:val="21"/>
                      <w:lang w:val="en-US" w:eastAsia="zh-CN"/>
                    </w:rPr>
                    <w:t>6个县（市、区）</w:t>
                  </w:r>
                  <w:r>
                    <w:rPr>
                      <w:rFonts w:hint="default" w:ascii="Times New Roman" w:hAnsi="Times New Roman" w:eastAsia="宋体" w:cs="Times New Roman"/>
                      <w:color w:val="auto"/>
                      <w:sz w:val="21"/>
                      <w:szCs w:val="21"/>
                      <w:lang w:val="en-US"/>
                    </w:rPr>
                    <w:t>O</w:t>
                  </w:r>
                  <w:r>
                    <w:rPr>
                      <w:rFonts w:hint="default" w:ascii="Times New Roman" w:hAnsi="Times New Roman" w:eastAsia="宋体" w:cs="Times New Roman"/>
                      <w:color w:val="auto"/>
                      <w:sz w:val="21"/>
                      <w:szCs w:val="21"/>
                      <w:vertAlign w:val="subscript"/>
                      <w:lang w:val="en-US"/>
                    </w:rPr>
                    <w:t>3</w:t>
                  </w:r>
                  <w:r>
                    <w:rPr>
                      <w:rFonts w:hint="default" w:ascii="Times New Roman" w:hAnsi="Times New Roman" w:eastAsia="宋体" w:cs="Times New Roman"/>
                      <w:color w:val="auto"/>
                      <w:sz w:val="21"/>
                      <w:szCs w:val="21"/>
                      <w:lang w:eastAsia="zh-CN"/>
                    </w:rPr>
                    <w:t>年平均浓度达到国家二级标准。</w:t>
                  </w:r>
                  <w:r>
                    <w:rPr>
                      <w:rFonts w:hint="eastAsia" w:ascii="Times New Roman" w:hAnsi="Times New Roman" w:eastAsia="宋体" w:cs="Times New Roman"/>
                      <w:color w:val="auto"/>
                      <w:sz w:val="21"/>
                      <w:szCs w:val="21"/>
                      <w:lang w:val="en-US" w:eastAsia="zh-CN"/>
                    </w:rPr>
                    <w:t>2023年共有6个未</w:t>
                  </w:r>
                  <w:r>
                    <w:rPr>
                      <w:rFonts w:hint="default" w:ascii="Times New Roman" w:hAnsi="Times New Roman" w:eastAsia="宋体" w:cs="Times New Roman"/>
                      <w:color w:val="auto"/>
                      <w:sz w:val="21"/>
                      <w:szCs w:val="21"/>
                      <w:lang w:eastAsia="zh-CN"/>
                    </w:rPr>
                    <w:t>达到国家二级标</w:t>
                  </w:r>
                  <w:r>
                    <w:rPr>
                      <w:rFonts w:hint="eastAsia" w:cs="Times New Roman"/>
                      <w:color w:val="auto"/>
                      <w:sz w:val="21"/>
                      <w:szCs w:val="21"/>
                      <w:lang w:eastAsia="zh-CN"/>
                    </w:rPr>
                    <w:t>的</w:t>
                  </w:r>
                  <w:r>
                    <w:rPr>
                      <w:rFonts w:hint="default" w:ascii="Times New Roman" w:hAnsi="Times New Roman" w:eastAsia="宋体" w:cs="Times New Roman"/>
                      <w:color w:val="auto"/>
                      <w:sz w:val="21"/>
                      <w:szCs w:val="21"/>
                      <w:lang w:val="en-US" w:eastAsia="zh-CN"/>
                    </w:rPr>
                    <w:t>县（市、区）</w:t>
                  </w:r>
                  <w:r>
                    <w:rPr>
                      <w:rFonts w:hint="eastAsia" w:cs="Times New Roman"/>
                      <w:color w:val="auto"/>
                      <w:sz w:val="21"/>
                      <w:szCs w:val="21"/>
                      <w:lang w:val="en-US" w:eastAsia="zh-CN"/>
                    </w:rPr>
                    <w:t>，均由臭氧超标导致，为中部及南部县（市、区）污染物浓度高于北部。</w:t>
                  </w:r>
                </w:p>
                <w:p w14:paraId="46D66DB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以打造京津冀领先的空气质量为目标，从扬尘源、移动源、燃烧源、餐饮源和工业企业</w:t>
                  </w:r>
                  <w:r>
                    <w:rPr>
                      <w:rFonts w:hint="eastAsia" w:cs="Times New Roman"/>
                      <w:color w:val="auto"/>
                      <w:sz w:val="21"/>
                      <w:szCs w:val="21"/>
                      <w:lang w:val="en-US" w:eastAsia="zh-CN"/>
                    </w:rPr>
                    <w:t>5方面实施中心城区精细化管控。针对季节变换和每月污染特征，逐月下达月度控制目标，制定治理措施。分时段动态设定重点企业主要污染物基准排放量、排放浓度和每日减排目标。</w:t>
                  </w:r>
                </w:p>
                <w:p w14:paraId="2EB38EA0">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本项目主要污染物为生产过程中产生的废气、废水及设备噪声，</w:t>
                  </w:r>
                  <w:r>
                    <w:rPr>
                      <w:rFonts w:hint="eastAsia" w:ascii="Times New Roman" w:hAnsi="Times New Roman" w:eastAsia="宋体" w:cs="Times New Roman"/>
                      <w:b w:val="0"/>
                      <w:bCs w:val="0"/>
                      <w:color w:val="auto"/>
                      <w:sz w:val="21"/>
                      <w:szCs w:val="21"/>
                      <w:highlight w:val="none"/>
                      <w:shd w:val="clear" w:color="auto" w:fill="auto"/>
                      <w:lang w:eastAsia="zh-CN"/>
                    </w:rPr>
                    <w:t>钢渣预选、除杂</w:t>
                  </w:r>
                  <w:r>
                    <w:rPr>
                      <w:rFonts w:hint="default" w:ascii="Times New Roman" w:hAnsi="Times New Roman" w:eastAsia="宋体" w:cs="Times New Roman"/>
                      <w:color w:val="auto"/>
                      <w:sz w:val="21"/>
                      <w:szCs w:val="21"/>
                    </w:rPr>
                    <w:t>产生的</w:t>
                  </w:r>
                  <w:r>
                    <w:rPr>
                      <w:rFonts w:hint="eastAsia" w:cs="Times New Roman"/>
                      <w:color w:val="auto"/>
                      <w:sz w:val="21"/>
                      <w:szCs w:val="21"/>
                      <w:lang w:eastAsia="zh-CN"/>
                    </w:rPr>
                    <w:t>废气</w:t>
                  </w:r>
                  <w:r>
                    <w:rPr>
                      <w:rFonts w:hint="default" w:ascii="Times New Roman" w:hAnsi="Times New Roman" w:eastAsia="宋体" w:cs="Times New Roman"/>
                      <w:color w:val="auto"/>
                      <w:sz w:val="21"/>
                      <w:szCs w:val="21"/>
                    </w:rPr>
                    <w:t>经过布袋除尘器处理后通过排气筒排放</w:t>
                  </w:r>
                  <w:r>
                    <w:rPr>
                      <w:rFonts w:hint="eastAsia" w:cs="Times New Roman"/>
                      <w:color w:val="auto"/>
                      <w:sz w:val="21"/>
                      <w:szCs w:val="21"/>
                      <w:lang w:eastAsia="zh-CN"/>
                    </w:rPr>
                    <w:t>；</w:t>
                  </w:r>
                  <w:r>
                    <w:rPr>
                      <w:rFonts w:hint="default" w:ascii="Times New Roman" w:hAnsi="Times New Roman" w:eastAsia="宋体" w:cs="Times New Roman"/>
                      <w:color w:val="auto"/>
                      <w:kern w:val="24"/>
                      <w:sz w:val="21"/>
                      <w:szCs w:val="21"/>
                      <w:highlight w:val="none"/>
                    </w:rPr>
                    <w:t>本项目投入使用后，</w:t>
                  </w:r>
                  <w:r>
                    <w:rPr>
                      <w:rFonts w:hint="default" w:ascii="Times New Roman" w:hAnsi="Times New Roman" w:eastAsia="宋体" w:cs="Times New Roman"/>
                      <w:color w:val="auto"/>
                      <w:sz w:val="21"/>
                      <w:szCs w:val="21"/>
                      <w:lang w:val="en-US" w:eastAsia="zh-CN"/>
                    </w:rPr>
                    <w:t>用水</w:t>
                  </w:r>
                  <w:r>
                    <w:rPr>
                      <w:rFonts w:hint="eastAsia" w:cs="Times New Roman"/>
                      <w:color w:val="auto"/>
                      <w:sz w:val="21"/>
                      <w:szCs w:val="21"/>
                      <w:lang w:val="en-US" w:eastAsia="zh-CN"/>
                    </w:rPr>
                    <w:t>仅</w:t>
                  </w:r>
                  <w:r>
                    <w:rPr>
                      <w:rFonts w:hint="default" w:ascii="Times New Roman" w:hAnsi="Times New Roman" w:eastAsia="宋体" w:cs="Times New Roman"/>
                      <w:color w:val="auto"/>
                      <w:sz w:val="21"/>
                      <w:szCs w:val="21"/>
                      <w:lang w:val="en-US" w:eastAsia="zh-CN"/>
                    </w:rPr>
                    <w:t>生产用水，生产</w:t>
                  </w:r>
                  <w:r>
                    <w:rPr>
                      <w:rFonts w:hint="default" w:ascii="Times New Roman" w:hAnsi="Times New Roman" w:eastAsia="宋体" w:cs="Times New Roman"/>
                      <w:color w:val="auto"/>
                      <w:kern w:val="24"/>
                      <w:sz w:val="21"/>
                      <w:szCs w:val="21"/>
                      <w:highlight w:val="none"/>
                    </w:rPr>
                    <w:t>用水主要来源于</w:t>
                  </w:r>
                  <w:r>
                    <w:rPr>
                      <w:rFonts w:hint="eastAsia"/>
                      <w:color w:val="auto"/>
                      <w:kern w:val="24"/>
                      <w:sz w:val="21"/>
                      <w:szCs w:val="21"/>
                      <w:highlight w:val="none"/>
                    </w:rPr>
                    <w:t>上料仓喷淋用水</w:t>
                  </w:r>
                  <w:r>
                    <w:rPr>
                      <w:rFonts w:hint="default" w:ascii="Times New Roman" w:hAnsi="Times New Roman" w:eastAsia="宋体" w:cs="Times New Roman"/>
                      <w:color w:val="auto"/>
                      <w:kern w:val="24"/>
                      <w:sz w:val="21"/>
                      <w:szCs w:val="21"/>
                      <w:highlight w:val="none"/>
                    </w:rPr>
                    <w:t>、</w:t>
                  </w:r>
                  <w:r>
                    <w:rPr>
                      <w:rFonts w:hint="eastAsia" w:cs="Times New Roman"/>
                      <w:color w:val="auto"/>
                      <w:kern w:val="24"/>
                      <w:sz w:val="21"/>
                      <w:szCs w:val="21"/>
                      <w:highlight w:val="none"/>
                      <w:lang w:eastAsia="zh-CN"/>
                    </w:rPr>
                    <w:t>车间及厂区内抑尘用水</w:t>
                  </w:r>
                  <w:r>
                    <w:rPr>
                      <w:rFonts w:hint="default" w:ascii="Times New Roman" w:hAnsi="Times New Roman" w:eastAsia="宋体" w:cs="Times New Roman"/>
                      <w:color w:val="auto"/>
                      <w:kern w:val="24"/>
                      <w:sz w:val="21"/>
                      <w:szCs w:val="21"/>
                      <w:highlight w:val="none"/>
                    </w:rPr>
                    <w:t>、</w:t>
                  </w:r>
                  <w:r>
                    <w:rPr>
                      <w:rFonts w:hint="eastAsia" w:cs="Times New Roman"/>
                      <w:color w:val="auto"/>
                      <w:kern w:val="24"/>
                      <w:sz w:val="21"/>
                      <w:szCs w:val="21"/>
                      <w:highlight w:val="none"/>
                      <w:lang w:eastAsia="zh-CN"/>
                    </w:rPr>
                    <w:t>钢渣除杂用水</w:t>
                  </w:r>
                  <w:r>
                    <w:rPr>
                      <w:rFonts w:hint="default" w:ascii="Times New Roman" w:hAnsi="Times New Roman" w:eastAsia="宋体" w:cs="Times New Roman"/>
                      <w:color w:val="auto"/>
                      <w:kern w:val="24"/>
                      <w:sz w:val="21"/>
                      <w:szCs w:val="21"/>
                      <w:highlight w:val="none"/>
                    </w:rPr>
                    <w:t>等</w:t>
                  </w:r>
                  <w:r>
                    <w:rPr>
                      <w:rFonts w:hint="eastAsia" w:ascii="Times New Roman" w:hAnsi="Times New Roman" w:eastAsia="宋体" w:cs="Times New Roman"/>
                      <w:color w:val="auto"/>
                      <w:kern w:val="24"/>
                      <w:sz w:val="21"/>
                      <w:szCs w:val="21"/>
                      <w:highlight w:val="none"/>
                      <w:lang w:eastAsia="zh-CN"/>
                    </w:rPr>
                    <w:t>；</w:t>
                  </w:r>
                  <w:r>
                    <w:rPr>
                      <w:rFonts w:hint="eastAsia"/>
                      <w:color w:val="auto"/>
                      <w:sz w:val="21"/>
                      <w:szCs w:val="21"/>
                      <w:highlight w:val="none"/>
                      <w:lang w:eastAsia="zh-CN"/>
                    </w:rPr>
                    <w:t>废水随粉磨后的物料一起进入盘式过滤机过滤后，废水</w:t>
                  </w:r>
                  <w:r>
                    <w:rPr>
                      <w:rFonts w:hint="default" w:ascii="Times New Roman" w:hAnsi="Times New Roman" w:eastAsia="宋体" w:cs="Times New Roman"/>
                      <w:color w:val="auto"/>
                      <w:sz w:val="21"/>
                      <w:szCs w:val="21"/>
                      <w:highlight w:val="none"/>
                      <w:lang w:eastAsia="zh-CN"/>
                    </w:rPr>
                    <w:t>排入</w:t>
                  </w:r>
                  <w:r>
                    <w:rPr>
                      <w:rFonts w:hint="eastAsia" w:cs="Times New Roman"/>
                      <w:color w:val="auto"/>
                      <w:sz w:val="21"/>
                      <w:szCs w:val="21"/>
                      <w:highlight w:val="none"/>
                      <w:lang w:eastAsia="zh-CN"/>
                    </w:rPr>
                    <w:t>沉淀池</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沉淀，经沉淀后回用生产</w:t>
                  </w:r>
                  <w:r>
                    <w:rPr>
                      <w:rFonts w:hint="eastAsia" w:ascii="Times New Roman" w:hAnsi="Times New Roman" w:eastAsia="宋体" w:cs="Times New Roman"/>
                      <w:color w:val="auto"/>
                      <w:sz w:val="21"/>
                      <w:szCs w:val="21"/>
                      <w:highlight w:val="none"/>
                      <w:lang w:eastAsia="zh-CN"/>
                    </w:rPr>
                    <w:t>；</w:t>
                  </w:r>
                  <w:r>
                    <w:rPr>
                      <w:rFonts w:hint="eastAsia"/>
                      <w:color w:val="auto"/>
                      <w:kern w:val="24"/>
                      <w:sz w:val="21"/>
                      <w:szCs w:val="21"/>
                      <w:highlight w:val="none"/>
                      <w:lang w:eastAsia="zh-CN"/>
                    </w:rPr>
                    <w:t>上料仓喷淋用水，全部进入物料；厂区及车间内抑尘用水，全部蒸发。</w:t>
                  </w:r>
                  <w:r>
                    <w:rPr>
                      <w:rFonts w:hint="default" w:ascii="Times New Roman" w:hAnsi="Times New Roman" w:eastAsia="宋体" w:cs="Times New Roman"/>
                      <w:color w:val="auto"/>
                      <w:sz w:val="21"/>
                      <w:szCs w:val="21"/>
                    </w:rPr>
                    <w:t>噪声选用低噪声设备，厂房密闭进行隔声处理，固体废物全部妥善处理。项目建成后</w:t>
                  </w:r>
                  <w:r>
                    <w:rPr>
                      <w:rFonts w:hint="eastAsia" w:ascii="Times New Roman" w:hAnsi="Times New Roman" w:eastAsia="宋体" w:cs="Times New Roman"/>
                      <w:color w:val="auto"/>
                      <w:sz w:val="21"/>
                      <w:szCs w:val="21"/>
                      <w:lang w:eastAsia="zh-CN"/>
                    </w:rPr>
                    <w:t>应</w:t>
                  </w:r>
                  <w:r>
                    <w:rPr>
                      <w:rFonts w:hint="default" w:ascii="Times New Roman" w:hAnsi="Times New Roman" w:eastAsia="宋体" w:cs="Times New Roman"/>
                      <w:color w:val="auto"/>
                      <w:sz w:val="21"/>
                      <w:szCs w:val="21"/>
                    </w:rPr>
                    <w:t>严格按照本次环评要求的措施合理处置各项污染物。</w:t>
                  </w:r>
                  <w:r>
                    <w:rPr>
                      <w:rFonts w:hint="eastAsia" w:ascii="Times New Roman" w:hAnsi="Times New Roman" w:eastAsia="宋体" w:cs="Times New Roman"/>
                      <w:color w:val="auto"/>
                      <w:sz w:val="21"/>
                      <w:szCs w:val="21"/>
                      <w:lang w:eastAsia="zh-CN"/>
                    </w:rPr>
                    <w:t>项目建成仅产生少量颗粒物，对大气环境影响较小，不会</w:t>
                  </w:r>
                  <w:r>
                    <w:rPr>
                      <w:rFonts w:hint="default" w:ascii="Times New Roman" w:hAnsi="Times New Roman" w:eastAsia="宋体" w:cs="Times New Roman"/>
                      <w:color w:val="auto"/>
                      <w:sz w:val="21"/>
                      <w:szCs w:val="21"/>
                    </w:rPr>
                    <w:t>触及环境质量底线</w:t>
                  </w:r>
                  <w:r>
                    <w:rPr>
                      <w:rFonts w:hint="eastAsia" w:ascii="Times New Roman" w:hAnsi="Times New Roman" w:eastAsia="宋体" w:cs="Times New Roman"/>
                      <w:color w:val="auto"/>
                      <w:sz w:val="21"/>
                      <w:szCs w:val="21"/>
                      <w:lang w:eastAsia="zh-CN"/>
                    </w:rPr>
                    <w:t>项目。</w:t>
                  </w:r>
                </w:p>
              </w:tc>
              <w:tc>
                <w:tcPr>
                  <w:tcW w:w="398" w:type="pct"/>
                  <w:noWrap w:val="0"/>
                  <w:vAlign w:val="center"/>
                </w:tcPr>
                <w:p w14:paraId="5B909FA7">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693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noWrap w:val="0"/>
                  <w:vAlign w:val="center"/>
                </w:tcPr>
                <w:p w14:paraId="0C118C61">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资源利用上线</w:t>
                  </w:r>
                </w:p>
              </w:tc>
              <w:tc>
                <w:tcPr>
                  <w:tcW w:w="2177" w:type="pct"/>
                  <w:noWrap w:val="0"/>
                  <w:vAlign w:val="center"/>
                </w:tcPr>
                <w:p w14:paraId="496CEFA1">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资源是环境的载体，资源利用上线是各地区能源、水、土地等资源消耗不得突破的</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天花板</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099" w:type="pct"/>
                  <w:noWrap w:val="0"/>
                  <w:vAlign w:val="center"/>
                </w:tcPr>
                <w:p w14:paraId="042EA08B">
                  <w:pPr>
                    <w:keepNext w:val="0"/>
                    <w:keepLines w:val="0"/>
                    <w:pageBreakBefore w:val="0"/>
                    <w:widowControl/>
                    <w:kinsoku/>
                    <w:wordWrap/>
                    <w:overflowPunct/>
                    <w:topLinePunct w:val="0"/>
                    <w:autoSpaceDE/>
                    <w:autoSpaceDN/>
                    <w:bidi w:val="0"/>
                    <w:adjustRightIn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项目不属于资源开发类项目，以</w:t>
                  </w:r>
                  <w:r>
                    <w:rPr>
                      <w:rFonts w:hint="eastAsia" w:cs="Times New Roman"/>
                      <w:color w:val="auto"/>
                      <w:sz w:val="21"/>
                      <w:szCs w:val="21"/>
                      <w:lang w:eastAsia="zh-CN"/>
                    </w:rPr>
                    <w:t>外购兴隆县怡洋废料加工处理有限公司</w:t>
                  </w:r>
                  <w:r>
                    <w:rPr>
                      <w:rFonts w:hint="default" w:ascii="Times New Roman" w:hAnsi="Times New Roman" w:eastAsia="宋体" w:cs="Times New Roman"/>
                      <w:color w:val="auto"/>
                      <w:sz w:val="21"/>
                      <w:szCs w:val="21"/>
                    </w:rPr>
                    <w:t>的废钢渣为原料，不存在开采矿产资源情况；用电自备变压器，接入当地电网；用水循环利用，不外排，合理利用资源，不会突破资源利用上线。</w:t>
                  </w:r>
                </w:p>
              </w:tc>
              <w:tc>
                <w:tcPr>
                  <w:tcW w:w="398" w:type="pct"/>
                  <w:noWrap w:val="0"/>
                  <w:vAlign w:val="center"/>
                </w:tcPr>
                <w:p w14:paraId="44CF1CAE">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77C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324" w:type="pct"/>
                  <w:noWrap w:val="0"/>
                  <w:vAlign w:val="center"/>
                </w:tcPr>
                <w:p w14:paraId="216ACB21">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负面</w:t>
                  </w:r>
                </w:p>
                <w:p w14:paraId="46D50826">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清单</w:t>
                  </w:r>
                </w:p>
              </w:tc>
              <w:tc>
                <w:tcPr>
                  <w:tcW w:w="2177" w:type="pct"/>
                  <w:noWrap w:val="0"/>
                  <w:vAlign w:val="center"/>
                </w:tcPr>
                <w:p w14:paraId="72319652">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环境准入负面清单是基于生态保护红线、环境质量底线和资源利用上线，以清单方式列出的禁止、限制等差别化环境准入条件和要求。</w:t>
                  </w:r>
                </w:p>
              </w:tc>
              <w:tc>
                <w:tcPr>
                  <w:tcW w:w="2099" w:type="pct"/>
                  <w:noWrap w:val="0"/>
                  <w:vAlign w:val="center"/>
                </w:tcPr>
                <w:p w14:paraId="3BB55DFF">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本项目不属于《市场准入负面清单（2022年版）》中包含的禁止</w:t>
                  </w:r>
                  <w:r>
                    <w:rPr>
                      <w:rFonts w:hint="default" w:ascii="Times New Roman" w:hAnsi="Times New Roman" w:eastAsia="宋体" w:cs="Times New Roman"/>
                      <w:color w:val="auto"/>
                      <w:sz w:val="21"/>
                      <w:szCs w:val="21"/>
                      <w:lang w:val="en-US" w:eastAsia="zh-CN"/>
                    </w:rPr>
                    <w:t>准入</w:t>
                  </w:r>
                  <w:r>
                    <w:rPr>
                      <w:rFonts w:hint="default" w:ascii="Times New Roman" w:hAnsi="Times New Roman" w:eastAsia="宋体" w:cs="Times New Roman"/>
                      <w:color w:val="auto"/>
                      <w:sz w:val="21"/>
                      <w:szCs w:val="21"/>
                    </w:rPr>
                    <w:t>类事项，项目符合国家和地方产业政策，不属于</w:t>
                  </w:r>
                  <w:r>
                    <w:rPr>
                      <w:rFonts w:hint="eastAsia" w:cs="Times New Roman"/>
                      <w:color w:val="auto"/>
                      <w:sz w:val="21"/>
                      <w:szCs w:val="21"/>
                      <w:highlight w:val="none"/>
                      <w:lang w:eastAsia="zh-CN"/>
                    </w:rPr>
                    <w:t>河北省发展和改革委员会关于印发《灵寿县等22县（区）国家重点生态功能区产业准入负面清单（试行）》的通知（冀发改规[2018]920号）</w:t>
                  </w:r>
                  <w:r>
                    <w:rPr>
                      <w:rFonts w:hint="default" w:ascii="Times New Roman" w:hAnsi="Times New Roman" w:eastAsia="宋体" w:cs="Times New Roman"/>
                      <w:color w:val="auto"/>
                      <w:sz w:val="21"/>
                      <w:szCs w:val="21"/>
                    </w:rPr>
                    <w:t>中</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限制类和禁止类</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产业项目。</w:t>
                  </w:r>
                </w:p>
              </w:tc>
              <w:tc>
                <w:tcPr>
                  <w:tcW w:w="398" w:type="pct"/>
                  <w:noWrap w:val="0"/>
                  <w:vAlign w:val="center"/>
                </w:tcPr>
                <w:p w14:paraId="58BB667F">
                  <w:pPr>
                    <w:keepNext w:val="0"/>
                    <w:keepLines w:val="0"/>
                    <w:pageBreakBefore w:val="0"/>
                    <w:kinsoku/>
                    <w:wordWrap/>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54D769A">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lang w:val="en-US" w:eastAsia="zh-CN"/>
              </w:rPr>
            </w:pPr>
            <w:r>
              <w:rPr>
                <w:rFonts w:hint="default" w:ascii="Times New Roman" w:hAnsi="Times New Roman" w:eastAsia="宋体" w:cs="Times New Roman"/>
                <w:color w:val="auto"/>
                <w:sz w:val="24"/>
                <w:szCs w:val="24"/>
              </w:rPr>
              <w:t>由上表</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可知，项目符合《关于以改善环境质量为核心加强环境影响评价管理的通知》（环评【2016】150号）中要求</w:t>
            </w:r>
            <w:r>
              <w:rPr>
                <w:rFonts w:hint="eastAsia" w:cs="Times New Roman"/>
                <w:color w:val="auto"/>
                <w:sz w:val="24"/>
                <w:szCs w:val="24"/>
                <w:lang w:eastAsia="zh-CN"/>
              </w:rPr>
              <w:t>。</w:t>
            </w:r>
          </w:p>
          <w:p w14:paraId="46461241">
            <w:pPr>
              <w:keepNext w:val="0"/>
              <w:keepLines w:val="0"/>
              <w:pageBreakBefore w:val="0"/>
              <w:widowControl w:val="0"/>
              <w:kinsoku/>
              <w:wordWrap/>
              <w:overflowPunct/>
              <w:topLinePunct w:val="0"/>
              <w:autoSpaceDE/>
              <w:autoSpaceDN/>
              <w:bidi w:val="0"/>
              <w:adjustRightInd/>
              <w:snapToGrid/>
              <w:spacing w:line="500" w:lineRule="exact"/>
              <w:ind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根据《承德市人民政府关于加快实施</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生态环境分区管控的意见》的附件《承德市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生态环境准入清单》可知，本项目位于承德市</w:t>
            </w:r>
            <w:r>
              <w:rPr>
                <w:rFonts w:hint="eastAsia" w:cs="Times New Roman"/>
                <w:color w:val="auto"/>
                <w:sz w:val="24"/>
                <w:szCs w:val="24"/>
                <w:lang w:val="en-US" w:eastAsia="zh-CN"/>
              </w:rPr>
              <w:t>兴隆县</w:t>
            </w:r>
            <w:r>
              <w:rPr>
                <w:rFonts w:hint="default" w:ascii="Times New Roman" w:hAnsi="Times New Roman" w:eastAsia="宋体" w:cs="Times New Roman"/>
                <w:color w:val="auto"/>
                <w:highlight w:val="none"/>
                <w:lang w:eastAsia="zh-CN"/>
              </w:rPr>
              <w:t>平安堡镇经济开发区</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属于一般管控单位，</w:t>
            </w:r>
            <w:r>
              <w:rPr>
                <w:rFonts w:hint="default" w:ascii="Times New Roman" w:hAnsi="Times New Roman" w:eastAsia="宋体" w:cs="Times New Roman"/>
                <w:color w:val="auto"/>
                <w:sz w:val="24"/>
                <w:szCs w:val="24"/>
              </w:rPr>
              <w:t>环境管控单元编码为ZH1308</w:t>
            </w:r>
            <w:r>
              <w:rPr>
                <w:rFonts w:hint="eastAsia" w:ascii="Times New Roman" w:hAnsi="Times New Roman" w:eastAsia="宋体" w:cs="Times New Roman"/>
                <w:color w:val="auto"/>
                <w:sz w:val="24"/>
                <w:szCs w:val="24"/>
                <w:lang w:val="en-US" w:eastAsia="zh-CN"/>
              </w:rPr>
              <w:t>22</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000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，其环境准入清单符合性分析如下。</w:t>
            </w:r>
          </w:p>
          <w:p w14:paraId="6497DDD6">
            <w:pPr>
              <w:pStyle w:val="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承德市“三线一单”生态环境准入清单符合性分析</w:t>
            </w:r>
          </w:p>
          <w:tbl>
            <w:tblPr>
              <w:tblStyle w:val="21"/>
              <w:tblW w:w="49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289"/>
              <w:gridCol w:w="311"/>
              <w:gridCol w:w="233"/>
              <w:gridCol w:w="1178"/>
              <w:gridCol w:w="434"/>
              <w:gridCol w:w="656"/>
              <w:gridCol w:w="666"/>
              <w:gridCol w:w="1357"/>
              <w:gridCol w:w="1885"/>
            </w:tblGrid>
            <w:tr w14:paraId="21577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466" w:type="pct"/>
                  <w:noWrap w:val="0"/>
                  <w:vAlign w:val="center"/>
                </w:tcPr>
                <w:p w14:paraId="16D94C5B">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编号</w:t>
                  </w:r>
                </w:p>
              </w:tc>
              <w:tc>
                <w:tcPr>
                  <w:tcW w:w="186" w:type="pct"/>
                  <w:noWrap w:val="0"/>
                  <w:vAlign w:val="center"/>
                </w:tcPr>
                <w:p w14:paraId="1390D7A2">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省</w:t>
                  </w:r>
                </w:p>
              </w:tc>
              <w:tc>
                <w:tcPr>
                  <w:tcW w:w="201" w:type="pct"/>
                  <w:noWrap w:val="0"/>
                  <w:vAlign w:val="center"/>
                </w:tcPr>
                <w:p w14:paraId="0FDC76A7">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市</w:t>
                  </w:r>
                </w:p>
              </w:tc>
              <w:tc>
                <w:tcPr>
                  <w:tcW w:w="150" w:type="pct"/>
                  <w:noWrap w:val="0"/>
                  <w:vAlign w:val="center"/>
                </w:tcPr>
                <w:p w14:paraId="0A68E949">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县</w:t>
                  </w:r>
                </w:p>
              </w:tc>
              <w:tc>
                <w:tcPr>
                  <w:tcW w:w="761" w:type="pct"/>
                  <w:noWrap w:val="0"/>
                  <w:vAlign w:val="center"/>
                </w:tcPr>
                <w:p w14:paraId="0DDC7D31">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涉及乡镇</w:t>
                  </w:r>
                </w:p>
              </w:tc>
              <w:tc>
                <w:tcPr>
                  <w:tcW w:w="280" w:type="pct"/>
                  <w:noWrap w:val="0"/>
                  <w:vAlign w:val="center"/>
                </w:tcPr>
                <w:p w14:paraId="1AA12FE2">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管控类别</w:t>
                  </w:r>
                </w:p>
              </w:tc>
              <w:tc>
                <w:tcPr>
                  <w:tcW w:w="424" w:type="pct"/>
                  <w:noWrap w:val="0"/>
                  <w:vAlign w:val="center"/>
                </w:tcPr>
                <w:p w14:paraId="51619477">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环境要素类别</w:t>
                  </w:r>
                </w:p>
              </w:tc>
              <w:tc>
                <w:tcPr>
                  <w:tcW w:w="430" w:type="pct"/>
                  <w:noWrap w:val="0"/>
                  <w:vAlign w:val="center"/>
                </w:tcPr>
                <w:p w14:paraId="314A4C52">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维度</w:t>
                  </w:r>
                </w:p>
              </w:tc>
              <w:tc>
                <w:tcPr>
                  <w:tcW w:w="877" w:type="pct"/>
                  <w:noWrap w:val="0"/>
                  <w:vAlign w:val="center"/>
                </w:tcPr>
                <w:p w14:paraId="64C9D11B">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管控措施</w:t>
                  </w:r>
                </w:p>
              </w:tc>
              <w:tc>
                <w:tcPr>
                  <w:tcW w:w="1219" w:type="pct"/>
                  <w:noWrap w:val="0"/>
                  <w:vAlign w:val="center"/>
                </w:tcPr>
                <w:p w14:paraId="6D426121">
                  <w:pPr>
                    <w:autoSpaceDE w:val="0"/>
                    <w:autoSpaceDN w:val="0"/>
                    <w:adjustRightInd w:val="0"/>
                    <w:snapToGrid w:val="0"/>
                    <w:spacing w:line="240" w:lineRule="auto"/>
                    <w:jc w:val="center"/>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符合性分析</w:t>
                  </w:r>
                </w:p>
              </w:tc>
            </w:tr>
            <w:tr w14:paraId="0C901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jc w:val="center"/>
              </w:trPr>
              <w:tc>
                <w:tcPr>
                  <w:tcW w:w="466" w:type="pct"/>
                  <w:vMerge w:val="restart"/>
                  <w:noWrap w:val="0"/>
                  <w:vAlign w:val="center"/>
                </w:tcPr>
                <w:p w14:paraId="3B7F5B9C">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p w14:paraId="738DBEAC">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z w:val="21"/>
                      <w:szCs w:val="21"/>
                    </w:rPr>
                    <w:t>ZH130</w:t>
                  </w:r>
                  <w:r>
                    <w:rPr>
                      <w:rFonts w:hint="eastAsia" w:ascii="Times New Roman" w:hAnsi="Times New Roman" w:cs="Times New Roman"/>
                      <w:color w:val="auto"/>
                      <w:sz w:val="21"/>
                      <w:szCs w:val="21"/>
                      <w:lang w:val="en-US" w:eastAsia="zh-CN"/>
                    </w:rPr>
                    <w:t>822</w:t>
                  </w:r>
                  <w:r>
                    <w:rPr>
                      <w:rFonts w:hint="eastAsia" w:cs="Times New Roman"/>
                      <w:color w:val="auto"/>
                      <w:sz w:val="21"/>
                      <w:szCs w:val="21"/>
                      <w:lang w:val="en-US" w:eastAsia="zh-CN"/>
                    </w:rPr>
                    <w:t>3</w:t>
                  </w:r>
                  <w:r>
                    <w:rPr>
                      <w:rFonts w:hint="default" w:ascii="Times New Roman" w:hAnsi="Times New Roman" w:cs="Times New Roman"/>
                      <w:color w:val="auto"/>
                      <w:sz w:val="21"/>
                      <w:szCs w:val="21"/>
                    </w:rPr>
                    <w:t>0001</w:t>
                  </w:r>
                </w:p>
              </w:tc>
              <w:tc>
                <w:tcPr>
                  <w:tcW w:w="186" w:type="pct"/>
                  <w:vMerge w:val="restart"/>
                  <w:noWrap w:val="0"/>
                  <w:vAlign w:val="center"/>
                </w:tcPr>
                <w:p w14:paraId="1A3C1719">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p w14:paraId="2ACFF3A2">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p w14:paraId="0CEFE675">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河北省</w:t>
                  </w:r>
                </w:p>
              </w:tc>
              <w:tc>
                <w:tcPr>
                  <w:tcW w:w="201" w:type="pct"/>
                  <w:vMerge w:val="restart"/>
                  <w:noWrap w:val="0"/>
                  <w:vAlign w:val="center"/>
                </w:tcPr>
                <w:p w14:paraId="7ABFF8AE">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p w14:paraId="6350B504">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p w14:paraId="0F8B3AF6">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承德市</w:t>
                  </w:r>
                </w:p>
              </w:tc>
              <w:tc>
                <w:tcPr>
                  <w:tcW w:w="150" w:type="pct"/>
                  <w:vMerge w:val="restart"/>
                  <w:noWrap w:val="0"/>
                  <w:vAlign w:val="center"/>
                </w:tcPr>
                <w:p w14:paraId="024A8991">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兴隆县</w:t>
                  </w:r>
                </w:p>
              </w:tc>
              <w:tc>
                <w:tcPr>
                  <w:tcW w:w="761" w:type="pct"/>
                  <w:vMerge w:val="restart"/>
                  <w:noWrap w:val="0"/>
                  <w:vAlign w:val="center"/>
                </w:tcPr>
                <w:p w14:paraId="014C35CA">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平安堡镇</w:t>
                  </w:r>
                </w:p>
              </w:tc>
              <w:tc>
                <w:tcPr>
                  <w:tcW w:w="280" w:type="pct"/>
                  <w:vMerge w:val="restart"/>
                  <w:noWrap w:val="0"/>
                  <w:vAlign w:val="center"/>
                </w:tcPr>
                <w:p w14:paraId="72F953D1">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一般管控单元</w:t>
                  </w:r>
                </w:p>
              </w:tc>
              <w:tc>
                <w:tcPr>
                  <w:tcW w:w="424" w:type="pct"/>
                  <w:vMerge w:val="restart"/>
                  <w:noWrap w:val="0"/>
                  <w:vAlign w:val="center"/>
                </w:tcPr>
                <w:p w14:paraId="6050928D">
                  <w:pPr>
                    <w:keepNext w:val="0"/>
                    <w:keepLines w:val="0"/>
                    <w:pageBreakBefore w:val="0"/>
                    <w:widowControl/>
                    <w:suppressLineNumbers w:val="0"/>
                    <w:kinsoku/>
                    <w:wordWrap/>
                    <w:overflowPunct/>
                    <w:topLinePunct w:val="0"/>
                    <w:autoSpaceDE w:val="0"/>
                    <w:autoSpaceDN w:val="0"/>
                    <w:bidi w:val="0"/>
                    <w:spacing w:line="240" w:lineRule="auto"/>
                    <w:jc w:val="center"/>
                    <w:textAlignment w:val="auto"/>
                    <w:rPr>
                      <w:color w:val="auto"/>
                    </w:rPr>
                  </w:pPr>
                  <w:r>
                    <w:rPr>
                      <w:rFonts w:hint="eastAsia" w:ascii="宋体" w:hAnsi="宋体" w:eastAsia="宋体" w:cs="宋体"/>
                      <w:color w:val="auto"/>
                      <w:kern w:val="0"/>
                      <w:sz w:val="21"/>
                      <w:szCs w:val="21"/>
                      <w:lang w:val="en-US" w:eastAsia="zh-CN" w:bidi="ar"/>
                    </w:rPr>
                    <w:t>一般管控区涉及零星农用地优先保护区、部分水环优先保护区</w:t>
                  </w:r>
                </w:p>
                <w:p w14:paraId="167EFD5E">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430" w:type="pct"/>
                  <w:tcBorders>
                    <w:bottom w:val="single" w:color="auto" w:sz="4" w:space="0"/>
                  </w:tcBorders>
                  <w:noWrap w:val="0"/>
                  <w:vAlign w:val="center"/>
                </w:tcPr>
                <w:p w14:paraId="5AE99E40">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空间布局</w:t>
                  </w:r>
                </w:p>
                <w:p w14:paraId="7719C69D">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约束</w:t>
                  </w:r>
                </w:p>
              </w:tc>
              <w:tc>
                <w:tcPr>
                  <w:tcW w:w="877" w:type="pct"/>
                  <w:vMerge w:val="restart"/>
                  <w:noWrap w:val="0"/>
                  <w:vAlign w:val="center"/>
                </w:tcPr>
                <w:p w14:paraId="2E580BD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严格执行国家和省关于产业准入、总量控制和污染物排放标准等管控要求。</w:t>
                  </w:r>
                </w:p>
                <w:p w14:paraId="30A78A1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eastAsia" w:cs="Times New Roman"/>
                      <w:color w:val="auto"/>
                      <w:sz w:val="21"/>
                      <w:szCs w:val="21"/>
                      <w:lang w:eastAsia="zh-CN"/>
                    </w:rPr>
                    <w:t>、</w:t>
                  </w:r>
                  <w:r>
                    <w:rPr>
                      <w:rFonts w:hint="default" w:ascii="Times New Roman" w:hAnsi="Times New Roman" w:cs="Times New Roman"/>
                      <w:color w:val="auto"/>
                      <w:sz w:val="21"/>
                      <w:szCs w:val="21"/>
                    </w:rPr>
                    <w:t>水环境优先保护区应优化区域种植结构，完善水污染设施体系，严格执行流域水排放控制标准，加强湖滨岸带建设，保障水环境安全，现有涉水污染排放及风险项目，限期搬迁。</w:t>
                  </w:r>
                </w:p>
                <w:p w14:paraId="0A566ED3">
                  <w:pPr>
                    <w:numPr>
                      <w:ilvl w:val="0"/>
                      <w:numId w:val="0"/>
                    </w:numPr>
                    <w:autoSpaceDE w:val="0"/>
                    <w:autoSpaceDN w:val="0"/>
                    <w:adjustRightInd w:val="0"/>
                    <w:snapToGrid w:val="0"/>
                    <w:spacing w:line="240" w:lineRule="auto"/>
                    <w:ind w:right="0" w:right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3、农用地优先保护区执行承德市总体准入清单要求。</w:t>
                  </w:r>
                </w:p>
                <w:p w14:paraId="047B5DE0">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219" w:type="pct"/>
                  <w:vMerge w:val="restart"/>
                  <w:noWrap w:val="0"/>
                  <w:vAlign w:val="center"/>
                </w:tcPr>
                <w:p w14:paraId="659C5BE4">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color w:val="auto"/>
                      <w:sz w:val="21"/>
                      <w:szCs w:val="21"/>
                      <w:lang w:eastAsia="zh-CN"/>
                    </w:rPr>
                  </w:pPr>
                  <w:r>
                    <w:rPr>
                      <w:rFonts w:hint="eastAsia"/>
                      <w:color w:val="auto"/>
                      <w:sz w:val="21"/>
                      <w:szCs w:val="21"/>
                      <w:lang w:eastAsia="zh-CN"/>
                    </w:rPr>
                    <w:t>本项目</w:t>
                  </w:r>
                  <w:r>
                    <w:rPr>
                      <w:color w:val="auto"/>
                      <w:sz w:val="21"/>
                      <w:szCs w:val="21"/>
                    </w:rPr>
                    <w:t>经</w:t>
                  </w:r>
                  <w:r>
                    <w:rPr>
                      <w:rFonts w:hint="eastAsia"/>
                      <w:color w:val="auto"/>
                      <w:sz w:val="21"/>
                      <w:szCs w:val="21"/>
                      <w:lang w:eastAsia="zh-CN"/>
                    </w:rPr>
                    <w:t>对照</w:t>
                  </w:r>
                  <w:r>
                    <w:rPr>
                      <w:color w:val="auto"/>
                      <w:sz w:val="21"/>
                      <w:szCs w:val="21"/>
                    </w:rPr>
                    <w:t>《产业结构调整指导目录（20</w:t>
                  </w:r>
                  <w:r>
                    <w:rPr>
                      <w:rFonts w:hint="eastAsia"/>
                      <w:color w:val="auto"/>
                      <w:sz w:val="21"/>
                      <w:szCs w:val="21"/>
                      <w:lang w:val="en-US" w:eastAsia="zh-CN"/>
                    </w:rPr>
                    <w:t>24</w:t>
                  </w:r>
                  <w:r>
                    <w:rPr>
                      <w:color w:val="auto"/>
                      <w:sz w:val="21"/>
                      <w:szCs w:val="21"/>
                    </w:rPr>
                    <w:t>年本）》，</w:t>
                  </w:r>
                  <w:r>
                    <w:rPr>
                      <w:rFonts w:hint="eastAsia"/>
                      <w:color w:val="auto"/>
                      <w:sz w:val="21"/>
                      <w:szCs w:val="21"/>
                    </w:rPr>
                    <w:t>本项目</w:t>
                  </w:r>
                  <w:r>
                    <w:rPr>
                      <w:color w:val="auto"/>
                      <w:sz w:val="21"/>
                      <w:szCs w:val="21"/>
                    </w:rPr>
                    <w:t>不</w:t>
                  </w:r>
                  <w:r>
                    <w:rPr>
                      <w:rFonts w:hint="eastAsia"/>
                      <w:color w:val="auto"/>
                      <w:sz w:val="21"/>
                      <w:szCs w:val="21"/>
                    </w:rPr>
                    <w:t>属于</w:t>
                  </w:r>
                  <w:r>
                    <w:rPr>
                      <w:color w:val="auto"/>
                      <w:sz w:val="21"/>
                      <w:szCs w:val="21"/>
                    </w:rPr>
                    <w:t>限制类、淘汰类项目，同时该项目不在《河北省新增限制和淘汰类产业目录（2015年版）》范围内。</w:t>
                  </w:r>
                  <w:r>
                    <w:rPr>
                      <w:rFonts w:hint="eastAsia"/>
                      <w:color w:val="auto"/>
                      <w:sz w:val="21"/>
                      <w:szCs w:val="21"/>
                    </w:rPr>
                    <w:t>建设单位于</w:t>
                  </w:r>
                  <w:r>
                    <w:rPr>
                      <w:rFonts w:hint="eastAsia"/>
                      <w:color w:val="auto"/>
                      <w:sz w:val="21"/>
                      <w:szCs w:val="21"/>
                      <w:lang w:val="en-US"/>
                    </w:rPr>
                    <w:t>202</w:t>
                  </w:r>
                  <w:r>
                    <w:rPr>
                      <w:rFonts w:hint="eastAsia"/>
                      <w:color w:val="auto"/>
                      <w:sz w:val="21"/>
                      <w:szCs w:val="21"/>
                      <w:lang w:val="en-US" w:eastAsia="zh-CN"/>
                    </w:rPr>
                    <w:t>4</w:t>
                  </w:r>
                  <w:r>
                    <w:rPr>
                      <w:rFonts w:hint="eastAsia"/>
                      <w:color w:val="auto"/>
                      <w:sz w:val="21"/>
                      <w:szCs w:val="21"/>
                      <w:lang w:val="en-US"/>
                    </w:rPr>
                    <w:t>年</w:t>
                  </w:r>
                  <w:r>
                    <w:rPr>
                      <w:rFonts w:hint="eastAsia"/>
                      <w:color w:val="auto"/>
                      <w:sz w:val="21"/>
                      <w:szCs w:val="21"/>
                      <w:lang w:val="en-US" w:eastAsia="zh-CN"/>
                    </w:rPr>
                    <w:t>4</w:t>
                  </w:r>
                  <w:r>
                    <w:rPr>
                      <w:rFonts w:hint="eastAsia"/>
                      <w:color w:val="auto"/>
                      <w:sz w:val="21"/>
                      <w:szCs w:val="21"/>
                      <w:lang w:val="en-US"/>
                    </w:rPr>
                    <w:t>月</w:t>
                  </w:r>
                  <w:r>
                    <w:rPr>
                      <w:rFonts w:hint="eastAsia"/>
                      <w:color w:val="auto"/>
                      <w:sz w:val="21"/>
                      <w:szCs w:val="21"/>
                      <w:lang w:val="en-US" w:eastAsia="zh-CN"/>
                    </w:rPr>
                    <w:t>2</w:t>
                  </w:r>
                  <w:r>
                    <w:rPr>
                      <w:rFonts w:hint="eastAsia"/>
                      <w:color w:val="auto"/>
                      <w:sz w:val="21"/>
                      <w:szCs w:val="21"/>
                      <w:lang w:val="en-US"/>
                    </w:rPr>
                    <w:t>日取得兴隆县行政审批局出具的企业投资项目备案信息，备案文号为</w:t>
                  </w:r>
                  <w:r>
                    <w:rPr>
                      <w:rFonts w:hint="eastAsia"/>
                      <w:color w:val="auto"/>
                      <w:sz w:val="21"/>
                      <w:szCs w:val="21"/>
                    </w:rPr>
                    <w:t>兴审批投字</w:t>
                  </w:r>
                  <w:r>
                    <w:rPr>
                      <w:rFonts w:hint="eastAsia"/>
                      <w:color w:val="auto"/>
                      <w:sz w:val="21"/>
                      <w:szCs w:val="21"/>
                      <w:lang w:eastAsia="zh-CN"/>
                    </w:rPr>
                    <w:t>〔</w:t>
                  </w:r>
                  <w:r>
                    <w:rPr>
                      <w:rFonts w:hint="eastAsia"/>
                      <w:color w:val="auto"/>
                      <w:sz w:val="21"/>
                      <w:szCs w:val="21"/>
                      <w:lang w:val="en-US"/>
                    </w:rPr>
                    <w:t>202</w:t>
                  </w:r>
                  <w:r>
                    <w:rPr>
                      <w:rFonts w:hint="eastAsia"/>
                      <w:color w:val="auto"/>
                      <w:sz w:val="21"/>
                      <w:szCs w:val="21"/>
                      <w:lang w:val="en-US" w:eastAsia="zh-CN"/>
                    </w:rPr>
                    <w:t>4〕92</w:t>
                  </w:r>
                  <w:r>
                    <w:rPr>
                      <w:rFonts w:hint="eastAsia"/>
                      <w:color w:val="auto"/>
                      <w:sz w:val="21"/>
                      <w:szCs w:val="21"/>
                      <w:lang w:val="en-US"/>
                    </w:rPr>
                    <w:t>号。因此，项目符合产业政策</w:t>
                  </w:r>
                  <w:r>
                    <w:rPr>
                      <w:rFonts w:hint="eastAsia"/>
                      <w:color w:val="auto"/>
                      <w:sz w:val="21"/>
                      <w:szCs w:val="21"/>
                      <w:lang w:val="en-US" w:eastAsia="zh-CN"/>
                    </w:rPr>
                    <w:t>要求</w:t>
                  </w:r>
                  <w:r>
                    <w:rPr>
                      <w:rFonts w:hint="eastAsia"/>
                      <w:color w:val="auto"/>
                      <w:sz w:val="21"/>
                      <w:szCs w:val="21"/>
                      <w:lang w:val="en-US"/>
                    </w:rPr>
                    <w:t>。</w:t>
                  </w:r>
                </w:p>
                <w:p w14:paraId="0F2BECD5">
                  <w:pPr>
                    <w:autoSpaceDE w:val="0"/>
                    <w:autoSpaceDN w:val="0"/>
                    <w:adjustRightInd w:val="0"/>
                    <w:snapToGrid w:val="0"/>
                    <w:spacing w:line="240" w:lineRule="auto"/>
                    <w:jc w:val="left"/>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z w:val="21"/>
                      <w:szCs w:val="21"/>
                      <w:lang w:val="en-US" w:eastAsia="zh-CN"/>
                    </w:rPr>
                    <w:t>项目占地区域不属于水环境优先保护区，不属于农用地优先保护区</w:t>
                  </w:r>
                </w:p>
              </w:tc>
            </w:tr>
            <w:tr w14:paraId="7CA4B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jc w:val="center"/>
              </w:trPr>
              <w:tc>
                <w:tcPr>
                  <w:tcW w:w="466" w:type="pct"/>
                  <w:vMerge w:val="continue"/>
                  <w:noWrap w:val="0"/>
                  <w:vAlign w:val="center"/>
                </w:tcPr>
                <w:p w14:paraId="5B50DB9C">
                  <w:pPr>
                    <w:autoSpaceDE w:val="0"/>
                    <w:autoSpaceDN w:val="0"/>
                    <w:adjustRightInd w:val="0"/>
                    <w:snapToGrid w:val="0"/>
                    <w:spacing w:line="240" w:lineRule="auto"/>
                    <w:jc w:val="center"/>
                    <w:rPr>
                      <w:rFonts w:hint="default" w:ascii="Times New Roman" w:hAnsi="Times New Roman" w:cs="Times New Roman"/>
                      <w:color w:val="auto"/>
                      <w:sz w:val="21"/>
                      <w:szCs w:val="21"/>
                    </w:rPr>
                  </w:pPr>
                </w:p>
              </w:tc>
              <w:tc>
                <w:tcPr>
                  <w:tcW w:w="186" w:type="pct"/>
                  <w:vMerge w:val="continue"/>
                  <w:noWrap w:val="0"/>
                  <w:vAlign w:val="center"/>
                </w:tcPr>
                <w:p w14:paraId="26C95A70">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201" w:type="pct"/>
                  <w:vMerge w:val="continue"/>
                  <w:noWrap w:val="0"/>
                  <w:vAlign w:val="center"/>
                </w:tcPr>
                <w:p w14:paraId="60B777DC">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150" w:type="pct"/>
                  <w:vMerge w:val="continue"/>
                  <w:noWrap w:val="0"/>
                  <w:vAlign w:val="center"/>
                </w:tcPr>
                <w:p w14:paraId="58661236">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761" w:type="pct"/>
                  <w:vMerge w:val="continue"/>
                  <w:noWrap w:val="0"/>
                  <w:vAlign w:val="center"/>
                </w:tcPr>
                <w:p w14:paraId="31C16774">
                  <w:pPr>
                    <w:autoSpaceDE w:val="0"/>
                    <w:autoSpaceDN w:val="0"/>
                    <w:adjustRightInd w:val="0"/>
                    <w:snapToGrid w:val="0"/>
                    <w:spacing w:line="240" w:lineRule="auto"/>
                    <w:jc w:val="center"/>
                    <w:rPr>
                      <w:rFonts w:hint="eastAsia" w:eastAsia="宋体" w:cs="Times New Roman"/>
                      <w:color w:val="auto"/>
                      <w:spacing w:val="0"/>
                      <w:kern w:val="0"/>
                      <w:sz w:val="21"/>
                      <w:szCs w:val="21"/>
                      <w:lang w:val="en-US" w:eastAsia="zh-CN"/>
                    </w:rPr>
                  </w:pPr>
                </w:p>
              </w:tc>
              <w:tc>
                <w:tcPr>
                  <w:tcW w:w="280" w:type="pct"/>
                  <w:vMerge w:val="continue"/>
                  <w:noWrap w:val="0"/>
                  <w:vAlign w:val="center"/>
                </w:tcPr>
                <w:p w14:paraId="370BC09C">
                  <w:pPr>
                    <w:autoSpaceDE w:val="0"/>
                    <w:autoSpaceDN w:val="0"/>
                    <w:adjustRightInd w:val="0"/>
                    <w:snapToGrid w:val="0"/>
                    <w:spacing w:line="240" w:lineRule="auto"/>
                    <w:jc w:val="center"/>
                    <w:rPr>
                      <w:rFonts w:hint="eastAsia" w:eastAsia="宋体" w:cs="Times New Roman"/>
                      <w:color w:val="auto"/>
                      <w:spacing w:val="0"/>
                      <w:kern w:val="0"/>
                      <w:sz w:val="21"/>
                      <w:szCs w:val="21"/>
                      <w:lang w:val="en-US" w:eastAsia="zh-CN"/>
                    </w:rPr>
                  </w:pPr>
                </w:p>
              </w:tc>
              <w:tc>
                <w:tcPr>
                  <w:tcW w:w="424" w:type="pct"/>
                  <w:vMerge w:val="continue"/>
                  <w:noWrap w:val="0"/>
                  <w:vAlign w:val="center"/>
                </w:tcPr>
                <w:p w14:paraId="086CD8F7">
                  <w:pPr>
                    <w:autoSpaceDE w:val="0"/>
                    <w:autoSpaceDN w:val="0"/>
                    <w:adjustRightInd w:val="0"/>
                    <w:snapToGrid w:val="0"/>
                    <w:spacing w:line="240" w:lineRule="auto"/>
                    <w:jc w:val="center"/>
                    <w:rPr>
                      <w:rFonts w:hint="eastAsia" w:eastAsia="宋体" w:cs="Times New Roman"/>
                      <w:color w:val="auto"/>
                      <w:spacing w:val="0"/>
                      <w:kern w:val="0"/>
                      <w:sz w:val="21"/>
                      <w:szCs w:val="21"/>
                      <w:lang w:val="en-US" w:eastAsia="zh-CN"/>
                    </w:rPr>
                  </w:pPr>
                </w:p>
              </w:tc>
              <w:tc>
                <w:tcPr>
                  <w:tcW w:w="430" w:type="pct"/>
                  <w:tcBorders>
                    <w:top w:val="single" w:color="auto" w:sz="4" w:space="0"/>
                    <w:bottom w:val="single" w:color="auto" w:sz="4" w:space="0"/>
                  </w:tcBorders>
                  <w:noWrap w:val="0"/>
                  <w:vAlign w:val="center"/>
                </w:tcPr>
                <w:p w14:paraId="2EDC4B32">
                  <w:pPr>
                    <w:autoSpaceDE w:val="0"/>
                    <w:autoSpaceDN w:val="0"/>
                    <w:adjustRightInd w:val="0"/>
                    <w:snapToGrid w:val="0"/>
                    <w:spacing w:line="240" w:lineRule="auto"/>
                    <w:ind w:left="0" w:leftChars="0" w:right="0" w:rightChars="0"/>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污染物排放管控</w:t>
                  </w:r>
                </w:p>
              </w:tc>
              <w:tc>
                <w:tcPr>
                  <w:tcW w:w="877" w:type="pct"/>
                  <w:vMerge w:val="continue"/>
                  <w:noWrap w:val="0"/>
                  <w:vAlign w:val="center"/>
                </w:tcPr>
                <w:p w14:paraId="3EDBB42C">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219" w:type="pct"/>
                  <w:vMerge w:val="continue"/>
                  <w:noWrap w:val="0"/>
                  <w:vAlign w:val="center"/>
                </w:tcPr>
                <w:p w14:paraId="0E8D9128">
                  <w:pPr>
                    <w:autoSpaceDE w:val="0"/>
                    <w:autoSpaceDN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p>
              </w:tc>
            </w:tr>
            <w:tr w14:paraId="5ADB4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4" w:hRule="atLeast"/>
                <w:jc w:val="center"/>
              </w:trPr>
              <w:tc>
                <w:tcPr>
                  <w:tcW w:w="466" w:type="pct"/>
                  <w:vMerge w:val="continue"/>
                  <w:noWrap w:val="0"/>
                  <w:vAlign w:val="center"/>
                </w:tcPr>
                <w:p w14:paraId="41C6ED87">
                  <w:pPr>
                    <w:autoSpaceDE w:val="0"/>
                    <w:autoSpaceDN w:val="0"/>
                    <w:adjustRightInd w:val="0"/>
                    <w:snapToGrid w:val="0"/>
                    <w:spacing w:line="240" w:lineRule="auto"/>
                    <w:jc w:val="center"/>
                    <w:rPr>
                      <w:rFonts w:hint="default" w:ascii="Times New Roman" w:hAnsi="Times New Roman" w:cs="Times New Roman"/>
                      <w:color w:val="auto"/>
                      <w:sz w:val="21"/>
                      <w:szCs w:val="21"/>
                    </w:rPr>
                  </w:pPr>
                </w:p>
              </w:tc>
              <w:tc>
                <w:tcPr>
                  <w:tcW w:w="186" w:type="pct"/>
                  <w:vMerge w:val="continue"/>
                  <w:noWrap w:val="0"/>
                  <w:vAlign w:val="center"/>
                </w:tcPr>
                <w:p w14:paraId="7EF5C4BE">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201" w:type="pct"/>
                  <w:vMerge w:val="continue"/>
                  <w:noWrap w:val="0"/>
                  <w:vAlign w:val="center"/>
                </w:tcPr>
                <w:p w14:paraId="37D087DE">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150" w:type="pct"/>
                  <w:vMerge w:val="continue"/>
                  <w:noWrap w:val="0"/>
                  <w:vAlign w:val="center"/>
                </w:tcPr>
                <w:p w14:paraId="23F2504D">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761" w:type="pct"/>
                  <w:vMerge w:val="continue"/>
                  <w:noWrap w:val="0"/>
                  <w:vAlign w:val="center"/>
                </w:tcPr>
                <w:p w14:paraId="4B949F15">
                  <w:pPr>
                    <w:autoSpaceDE w:val="0"/>
                    <w:autoSpaceDN w:val="0"/>
                    <w:adjustRightInd w:val="0"/>
                    <w:snapToGrid w:val="0"/>
                    <w:spacing w:line="240" w:lineRule="auto"/>
                    <w:jc w:val="center"/>
                    <w:rPr>
                      <w:rFonts w:hint="eastAsia" w:eastAsia="宋体" w:cs="Times New Roman"/>
                      <w:color w:val="auto"/>
                      <w:spacing w:val="0"/>
                      <w:kern w:val="0"/>
                      <w:sz w:val="21"/>
                      <w:szCs w:val="21"/>
                      <w:lang w:val="en-US" w:eastAsia="zh-CN"/>
                    </w:rPr>
                  </w:pPr>
                </w:p>
              </w:tc>
              <w:tc>
                <w:tcPr>
                  <w:tcW w:w="280" w:type="pct"/>
                  <w:vMerge w:val="continue"/>
                  <w:noWrap w:val="0"/>
                  <w:vAlign w:val="center"/>
                </w:tcPr>
                <w:p w14:paraId="27D992AA">
                  <w:pPr>
                    <w:autoSpaceDE w:val="0"/>
                    <w:autoSpaceDN w:val="0"/>
                    <w:adjustRightInd w:val="0"/>
                    <w:snapToGrid w:val="0"/>
                    <w:spacing w:line="240" w:lineRule="auto"/>
                    <w:jc w:val="center"/>
                    <w:rPr>
                      <w:rFonts w:hint="eastAsia" w:eastAsia="宋体" w:cs="Times New Roman"/>
                      <w:color w:val="auto"/>
                      <w:spacing w:val="0"/>
                      <w:kern w:val="0"/>
                      <w:sz w:val="21"/>
                      <w:szCs w:val="21"/>
                      <w:lang w:val="en-US" w:eastAsia="zh-CN"/>
                    </w:rPr>
                  </w:pPr>
                </w:p>
              </w:tc>
              <w:tc>
                <w:tcPr>
                  <w:tcW w:w="424" w:type="pct"/>
                  <w:vMerge w:val="continue"/>
                  <w:noWrap w:val="0"/>
                  <w:vAlign w:val="center"/>
                </w:tcPr>
                <w:p w14:paraId="565AD5EF">
                  <w:pPr>
                    <w:autoSpaceDE w:val="0"/>
                    <w:autoSpaceDN w:val="0"/>
                    <w:adjustRightInd w:val="0"/>
                    <w:snapToGrid w:val="0"/>
                    <w:spacing w:line="240" w:lineRule="auto"/>
                    <w:jc w:val="center"/>
                    <w:rPr>
                      <w:rFonts w:hint="eastAsia" w:eastAsia="宋体" w:cs="Times New Roman"/>
                      <w:color w:val="auto"/>
                      <w:spacing w:val="0"/>
                      <w:kern w:val="0"/>
                      <w:sz w:val="21"/>
                      <w:szCs w:val="21"/>
                      <w:lang w:val="en-US" w:eastAsia="zh-CN"/>
                    </w:rPr>
                  </w:pPr>
                </w:p>
              </w:tc>
              <w:tc>
                <w:tcPr>
                  <w:tcW w:w="430" w:type="pct"/>
                  <w:tcBorders>
                    <w:top w:val="single" w:color="auto" w:sz="4" w:space="0"/>
                    <w:bottom w:val="single" w:color="auto" w:sz="4" w:space="0"/>
                  </w:tcBorders>
                  <w:noWrap w:val="0"/>
                  <w:vAlign w:val="center"/>
                </w:tcPr>
                <w:p w14:paraId="2B933C9D">
                  <w:pPr>
                    <w:autoSpaceDE w:val="0"/>
                    <w:autoSpaceDN w:val="0"/>
                    <w:adjustRightInd w:val="0"/>
                    <w:snapToGrid w:val="0"/>
                    <w:spacing w:line="240" w:lineRule="auto"/>
                    <w:ind w:left="0" w:leftChars="0" w:right="0" w:rightChars="0"/>
                    <w:jc w:val="center"/>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环境风险防控</w:t>
                  </w:r>
                </w:p>
              </w:tc>
              <w:tc>
                <w:tcPr>
                  <w:tcW w:w="877" w:type="pct"/>
                  <w:vMerge w:val="continue"/>
                  <w:noWrap w:val="0"/>
                  <w:vAlign w:val="center"/>
                </w:tcPr>
                <w:p w14:paraId="5E92ED0E">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219" w:type="pct"/>
                  <w:vMerge w:val="continue"/>
                  <w:noWrap w:val="0"/>
                  <w:vAlign w:val="center"/>
                </w:tcPr>
                <w:p w14:paraId="5EB8C829">
                  <w:pPr>
                    <w:autoSpaceDE w:val="0"/>
                    <w:autoSpaceDN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p>
              </w:tc>
            </w:tr>
            <w:tr w14:paraId="7440F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66" w:type="pct"/>
                  <w:vMerge w:val="continue"/>
                  <w:noWrap w:val="0"/>
                  <w:vAlign w:val="center"/>
                </w:tcPr>
                <w:p w14:paraId="3ECD5579">
                  <w:pPr>
                    <w:autoSpaceDE w:val="0"/>
                    <w:autoSpaceDN w:val="0"/>
                    <w:adjustRightInd w:val="0"/>
                    <w:snapToGrid w:val="0"/>
                    <w:spacing w:line="240" w:lineRule="auto"/>
                    <w:jc w:val="center"/>
                    <w:rPr>
                      <w:rFonts w:hint="default" w:ascii="Times New Roman" w:hAnsi="Times New Roman" w:cs="Times New Roman"/>
                      <w:color w:val="auto"/>
                      <w:sz w:val="21"/>
                      <w:szCs w:val="21"/>
                    </w:rPr>
                  </w:pPr>
                </w:p>
              </w:tc>
              <w:tc>
                <w:tcPr>
                  <w:tcW w:w="186" w:type="pct"/>
                  <w:vMerge w:val="continue"/>
                  <w:noWrap w:val="0"/>
                  <w:vAlign w:val="center"/>
                </w:tcPr>
                <w:p w14:paraId="41D697B4">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201" w:type="pct"/>
                  <w:vMerge w:val="continue"/>
                  <w:noWrap w:val="0"/>
                  <w:vAlign w:val="center"/>
                </w:tcPr>
                <w:p w14:paraId="5810D9FA">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150" w:type="pct"/>
                  <w:vMerge w:val="continue"/>
                  <w:noWrap w:val="0"/>
                  <w:vAlign w:val="center"/>
                </w:tcPr>
                <w:p w14:paraId="609D4CA2">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p>
              </w:tc>
              <w:tc>
                <w:tcPr>
                  <w:tcW w:w="761" w:type="pct"/>
                  <w:vMerge w:val="continue"/>
                  <w:noWrap w:val="0"/>
                  <w:vAlign w:val="center"/>
                </w:tcPr>
                <w:p w14:paraId="1CE7DC0E">
                  <w:pPr>
                    <w:autoSpaceDE w:val="0"/>
                    <w:autoSpaceDN w:val="0"/>
                    <w:adjustRightInd w:val="0"/>
                    <w:snapToGrid w:val="0"/>
                    <w:spacing w:line="240" w:lineRule="auto"/>
                    <w:jc w:val="center"/>
                    <w:rPr>
                      <w:rFonts w:hint="eastAsia" w:eastAsia="宋体" w:cs="Times New Roman"/>
                      <w:color w:val="auto"/>
                      <w:spacing w:val="0"/>
                      <w:kern w:val="0"/>
                      <w:sz w:val="21"/>
                      <w:szCs w:val="21"/>
                      <w:lang w:val="en-US" w:eastAsia="zh-CN"/>
                    </w:rPr>
                  </w:pPr>
                </w:p>
              </w:tc>
              <w:tc>
                <w:tcPr>
                  <w:tcW w:w="280" w:type="pct"/>
                  <w:vMerge w:val="continue"/>
                  <w:noWrap w:val="0"/>
                  <w:vAlign w:val="center"/>
                </w:tcPr>
                <w:p w14:paraId="1B02D1CE">
                  <w:pPr>
                    <w:autoSpaceDE w:val="0"/>
                    <w:autoSpaceDN w:val="0"/>
                    <w:adjustRightInd w:val="0"/>
                    <w:snapToGrid w:val="0"/>
                    <w:spacing w:line="240" w:lineRule="auto"/>
                    <w:jc w:val="center"/>
                    <w:rPr>
                      <w:rFonts w:hint="eastAsia" w:eastAsia="宋体" w:cs="Times New Roman"/>
                      <w:color w:val="auto"/>
                      <w:spacing w:val="0"/>
                      <w:kern w:val="0"/>
                      <w:sz w:val="21"/>
                      <w:szCs w:val="21"/>
                      <w:lang w:val="en-US" w:eastAsia="zh-CN"/>
                    </w:rPr>
                  </w:pPr>
                </w:p>
              </w:tc>
              <w:tc>
                <w:tcPr>
                  <w:tcW w:w="424" w:type="pct"/>
                  <w:vMerge w:val="continue"/>
                  <w:noWrap w:val="0"/>
                  <w:vAlign w:val="center"/>
                </w:tcPr>
                <w:p w14:paraId="3077A2DA">
                  <w:pPr>
                    <w:autoSpaceDE w:val="0"/>
                    <w:autoSpaceDN w:val="0"/>
                    <w:adjustRightInd w:val="0"/>
                    <w:snapToGrid w:val="0"/>
                    <w:spacing w:line="240" w:lineRule="auto"/>
                    <w:jc w:val="center"/>
                    <w:rPr>
                      <w:rFonts w:hint="eastAsia" w:eastAsia="宋体" w:cs="Times New Roman"/>
                      <w:color w:val="auto"/>
                      <w:spacing w:val="0"/>
                      <w:kern w:val="0"/>
                      <w:sz w:val="21"/>
                      <w:szCs w:val="21"/>
                      <w:lang w:val="en-US" w:eastAsia="zh-CN"/>
                    </w:rPr>
                  </w:pPr>
                </w:p>
              </w:tc>
              <w:tc>
                <w:tcPr>
                  <w:tcW w:w="430" w:type="pct"/>
                  <w:tcBorders>
                    <w:top w:val="single" w:color="auto" w:sz="4" w:space="0"/>
                    <w:bottom w:val="single" w:color="auto" w:sz="4" w:space="0"/>
                  </w:tcBorders>
                  <w:noWrap w:val="0"/>
                  <w:vAlign w:val="center"/>
                </w:tcPr>
                <w:p w14:paraId="50668CF0">
                  <w:pPr>
                    <w:autoSpaceDE w:val="0"/>
                    <w:autoSpaceDN w:val="0"/>
                    <w:adjustRightInd w:val="0"/>
                    <w:snapToGrid w:val="0"/>
                    <w:spacing w:line="240" w:lineRule="auto"/>
                    <w:jc w:val="center"/>
                    <w:rPr>
                      <w:rFonts w:hint="default" w:ascii="Times New Roman" w:hAnsi="Times New Roman" w:eastAsia="宋体" w:cs="Times New Roman"/>
                      <w:color w:val="auto"/>
                      <w:spacing w:val="0"/>
                      <w:kern w:val="0"/>
                      <w:sz w:val="21"/>
                      <w:szCs w:val="21"/>
                      <w:lang w:val="en-US" w:eastAsia="zh-CN"/>
                    </w:rPr>
                  </w:pPr>
                  <w:r>
                    <w:rPr>
                      <w:rFonts w:hint="eastAsia" w:cs="Times New Roman"/>
                      <w:color w:val="auto"/>
                      <w:spacing w:val="0"/>
                      <w:kern w:val="0"/>
                      <w:sz w:val="21"/>
                      <w:szCs w:val="21"/>
                      <w:lang w:val="en-US" w:eastAsia="zh-CN"/>
                    </w:rPr>
                    <w:t>资源利用率</w:t>
                  </w:r>
                </w:p>
              </w:tc>
              <w:tc>
                <w:tcPr>
                  <w:tcW w:w="877" w:type="pct"/>
                  <w:vMerge w:val="continue"/>
                  <w:noWrap w:val="0"/>
                  <w:vAlign w:val="center"/>
                </w:tcPr>
                <w:p w14:paraId="4FAADFBB">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219" w:type="pct"/>
                  <w:vMerge w:val="continue"/>
                  <w:noWrap w:val="0"/>
                  <w:vAlign w:val="center"/>
                </w:tcPr>
                <w:p w14:paraId="42918D44">
                  <w:pPr>
                    <w:autoSpaceDE w:val="0"/>
                    <w:autoSpaceDN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p>
              </w:tc>
            </w:tr>
          </w:tbl>
          <w:p w14:paraId="1CD3860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承德市环境管控单元图见下图：</w:t>
            </w:r>
          </w:p>
          <w:p w14:paraId="270A3FD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4"/>
                <w:szCs w:val="24"/>
                <w:lang w:val="en-US" w:eastAsia="zh-CN"/>
              </w:rPr>
              <w:pict>
                <v:shape id="Object 57" o:spid="_x0000_s1036" o:spt="75" type="#_x0000_t75" style="position:absolute;left:0pt;margin-left:22.5pt;margin-top:2.35pt;height:262.5pt;width:349.2pt;z-index:-251656192;mso-width-relative:page;mso-height-relative:page;" o:ole="t" filled="f" o:preferrelative="t" stroked="f" coordsize="21600,21600">
                  <v:path/>
                  <v:fill on="f" focussize="0,0"/>
                  <v:stroke on="f"/>
                  <v:imagedata r:id="rId12" o:title=""/>
                  <o:lock v:ext="edit" aspectratio="t"/>
                </v:shape>
                <o:OLEObject Type="Embed" ProgID="Visio.Drawing.11" ShapeID="Object 57" DrawAspect="Content" ObjectID="_1468075725" r:id="rId11">
                  <o:LockedField>false</o:LockedField>
                </o:OLEObject>
              </w:pict>
            </w:r>
          </w:p>
          <w:p w14:paraId="0CD8611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center"/>
              <w:textAlignment w:val="auto"/>
              <w:rPr>
                <w:rFonts w:hint="default" w:ascii="Times New Roman" w:hAnsi="Times New Roman" w:eastAsia="宋体" w:cs="Times New Roman"/>
                <w:b/>
                <w:bCs/>
                <w:color w:val="auto"/>
                <w:sz w:val="21"/>
                <w:szCs w:val="21"/>
                <w:lang w:val="en-US" w:eastAsia="zh-CN"/>
              </w:rPr>
            </w:pPr>
          </w:p>
          <w:p w14:paraId="60FFF5D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rPr>
              <mc:AlternateContent>
                <mc:Choice Requires="wps">
                  <w:drawing>
                    <wp:anchor distT="0" distB="0" distL="114300" distR="114300" simplePos="0" relativeHeight="251669504" behindDoc="1" locked="0" layoutInCell="1" allowOverlap="1">
                      <wp:simplePos x="0" y="0"/>
                      <wp:positionH relativeFrom="column">
                        <wp:posOffset>1515745</wp:posOffset>
                      </wp:positionH>
                      <wp:positionV relativeFrom="paragraph">
                        <wp:posOffset>189230</wp:posOffset>
                      </wp:positionV>
                      <wp:extent cx="1042670" cy="363220"/>
                      <wp:effectExtent l="5080" t="4445" r="19050" b="470535"/>
                      <wp:wrapThrough wrapText="bothSides">
                        <wp:wrapPolygon>
                          <wp:start x="-105" y="-264"/>
                          <wp:lineTo x="-105" y="22393"/>
                          <wp:lineTo x="10550" y="35987"/>
                          <wp:lineTo x="9761" y="47316"/>
                          <wp:lineTo x="12129" y="47316"/>
                          <wp:lineTo x="12523" y="47316"/>
                          <wp:lineTo x="14891" y="35987"/>
                          <wp:lineTo x="21205" y="22393"/>
                          <wp:lineTo x="21205" y="-264"/>
                          <wp:lineTo x="-105" y="-264"/>
                        </wp:wrapPolygon>
                      </wp:wrapThrough>
                      <wp:docPr id="11" name="矩形标注 11"/>
                      <wp:cNvGraphicFramePr/>
                      <a:graphic xmlns:a="http://schemas.openxmlformats.org/drawingml/2006/main">
                        <a:graphicData uri="http://schemas.microsoft.com/office/word/2010/wordprocessingShape">
                          <wps:wsp>
                            <wps:cNvSpPr/>
                            <wps:spPr>
                              <a:xfrm>
                                <a:off x="0" y="0"/>
                                <a:ext cx="1042670" cy="363220"/>
                              </a:xfrm>
                              <a:prstGeom prst="wedgeRectCallout">
                                <a:avLst>
                                  <a:gd name="adj1" fmla="val 1644"/>
                                  <a:gd name="adj2" fmla="val 169819"/>
                                </a:avLst>
                              </a:prstGeom>
                              <a:noFill/>
                              <a:ln w="9525" cap="flat" cmpd="sng">
                                <a:solidFill>
                                  <a:srgbClr val="FF0000"/>
                                </a:solidFill>
                                <a:prstDash val="solid"/>
                                <a:miter/>
                                <a:headEnd type="none" w="med" len="med"/>
                                <a:tailEnd type="none" w="med" len="med"/>
                              </a:ln>
                            </wps:spPr>
                            <wps:txbx>
                              <w:txbxContent>
                                <w:p w14:paraId="24A9A8FF">
                                  <w:pPr>
                                    <w:rPr>
                                      <w:rFonts w:hint="default" w:eastAsia="宋体"/>
                                      <w:color w:val="FF0000"/>
                                      <w:sz w:val="21"/>
                                      <w:szCs w:val="21"/>
                                      <w:lang w:val="en-US" w:eastAsia="zh-CN"/>
                                    </w:rPr>
                                  </w:pPr>
                                  <w:r>
                                    <w:rPr>
                                      <w:rFonts w:hint="eastAsia"/>
                                      <w:b/>
                                      <w:bCs/>
                                      <w:color w:val="FF0000"/>
                                      <w:sz w:val="21"/>
                                      <w:szCs w:val="21"/>
                                      <w:lang w:val="en-US" w:eastAsia="zh-CN"/>
                                    </w:rPr>
                                    <w:t>项目所在位置</w:t>
                                  </w:r>
                                </w:p>
                              </w:txbxContent>
                            </wps:txbx>
                            <wps:bodyPr upright="1"/>
                          </wps:wsp>
                        </a:graphicData>
                      </a:graphic>
                    </wp:anchor>
                  </w:drawing>
                </mc:Choice>
                <mc:Fallback>
                  <w:pict>
                    <v:shape id="_x0000_s1026" o:spid="_x0000_s1026" o:spt="61" type="#_x0000_t61" style="position:absolute;left:0pt;margin-left:119.35pt;margin-top:14.9pt;height:28.6pt;width:82.1pt;mso-wrap-distance-left:9pt;mso-wrap-distance-right:9pt;z-index:-251646976;mso-width-relative:page;mso-height-relative:page;" filled="f" stroked="t" coordsize="21600,21600" wrapcoords="-105 -264 -105 22393 10550 35987 9761 47316 12129 47316 12523 47316 14891 35987 21205 22393 21205 -264 -105 -264" o:gfxdata="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Lrsh3aAAAACQEAAA8AAAAAAAAAAQAgAAAAIgAAAGRycy9kb3ducmV2&#10;LnhtbFBLAQIUABQAAAAIAIdO4kAWv4pyMwIAAGUEAAAOAAAAAAAAAAEAIAAAACkBAABkcnMvZTJv&#10;RG9jLnhtbFBLBQYAAAAABgAGAFkBAADOBQAAAAA=&#10;" adj="11155,47481">
                      <v:fill on="f" focussize="0,0"/>
                      <v:stroke color="#FF0000" joinstyle="miter"/>
                      <v:imagedata o:title=""/>
                      <o:lock v:ext="edit" aspectratio="f"/>
                      <v:textbox>
                        <w:txbxContent>
                          <w:p w14:paraId="24A9A8FF">
                            <w:pPr>
                              <w:rPr>
                                <w:rFonts w:hint="default" w:eastAsia="宋体"/>
                                <w:color w:val="FF0000"/>
                                <w:sz w:val="21"/>
                                <w:szCs w:val="21"/>
                                <w:lang w:val="en-US" w:eastAsia="zh-CN"/>
                              </w:rPr>
                            </w:pPr>
                            <w:r>
                              <w:rPr>
                                <w:rFonts w:hint="eastAsia"/>
                                <w:b/>
                                <w:bCs/>
                                <w:color w:val="FF0000"/>
                                <w:sz w:val="21"/>
                                <w:szCs w:val="21"/>
                                <w:lang w:val="en-US" w:eastAsia="zh-CN"/>
                              </w:rPr>
                              <w:t>项目所在位置</w:t>
                            </w:r>
                          </w:p>
                        </w:txbxContent>
                      </v:textbox>
                      <w10:wrap type="through"/>
                    </v:shape>
                  </w:pict>
                </mc:Fallback>
              </mc:AlternateContent>
            </w:r>
          </w:p>
          <w:p w14:paraId="476C259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center"/>
              <w:textAlignment w:val="auto"/>
              <w:rPr>
                <w:rFonts w:hint="default" w:ascii="Times New Roman" w:hAnsi="Times New Roman" w:eastAsia="宋体" w:cs="Times New Roman"/>
                <w:b/>
                <w:bCs/>
                <w:color w:val="auto"/>
                <w:sz w:val="21"/>
                <w:szCs w:val="21"/>
                <w:lang w:val="en-US" w:eastAsia="zh-CN"/>
              </w:rPr>
            </w:pPr>
          </w:p>
          <w:p w14:paraId="12321E94">
            <w:pPr>
              <w:pStyle w:val="2"/>
              <w:rPr>
                <w:rFonts w:hint="default" w:ascii="Times New Roman" w:hAnsi="Times New Roman" w:eastAsia="宋体" w:cs="Times New Roman"/>
                <w:b/>
                <w:bCs/>
                <w:color w:val="auto"/>
                <w:sz w:val="21"/>
                <w:szCs w:val="21"/>
                <w:lang w:val="en-US" w:eastAsia="zh-CN"/>
              </w:rPr>
            </w:pPr>
          </w:p>
          <w:p w14:paraId="52FD27F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both"/>
              <w:textAlignment w:val="auto"/>
              <w:rPr>
                <w:rFonts w:hint="default" w:ascii="Times New Roman" w:hAnsi="Times New Roman" w:eastAsia="宋体" w:cs="Times New Roman"/>
                <w:b/>
                <w:bCs/>
                <w:color w:val="auto"/>
                <w:sz w:val="21"/>
                <w:szCs w:val="21"/>
                <w:lang w:val="en-US" w:eastAsia="zh-CN"/>
              </w:rPr>
            </w:pPr>
          </w:p>
          <w:p w14:paraId="2E301DF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center"/>
              <w:textAlignment w:val="auto"/>
              <w:rPr>
                <w:rFonts w:hint="default" w:ascii="Times New Roman" w:hAnsi="Times New Roman" w:eastAsia="宋体" w:cs="Times New Roman"/>
                <w:b/>
                <w:bCs/>
                <w:color w:val="auto"/>
                <w:sz w:val="21"/>
                <w:szCs w:val="21"/>
                <w:lang w:val="en-US" w:eastAsia="zh-CN"/>
              </w:rPr>
            </w:pPr>
          </w:p>
          <w:p w14:paraId="4B4E428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center"/>
              <w:textAlignment w:val="auto"/>
              <w:rPr>
                <w:rFonts w:hint="default" w:ascii="Times New Roman" w:hAnsi="Times New Roman" w:eastAsia="宋体" w:cs="Times New Roman"/>
                <w:b/>
                <w:bCs/>
                <w:color w:val="auto"/>
                <w:sz w:val="21"/>
                <w:szCs w:val="21"/>
                <w:lang w:val="en-US" w:eastAsia="zh-CN"/>
              </w:rPr>
            </w:pPr>
          </w:p>
          <w:p w14:paraId="57CE88AC">
            <w:pPr>
              <w:pStyle w:val="2"/>
              <w:rPr>
                <w:rFonts w:hint="default" w:ascii="Times New Roman" w:hAnsi="Times New Roman" w:eastAsia="宋体" w:cs="Times New Roman"/>
                <w:b/>
                <w:bCs/>
                <w:color w:val="auto"/>
                <w:sz w:val="21"/>
                <w:szCs w:val="21"/>
                <w:lang w:val="en-US" w:eastAsia="zh-CN"/>
              </w:rPr>
            </w:pPr>
          </w:p>
          <w:p w14:paraId="20578445">
            <w:pPr>
              <w:rPr>
                <w:rFonts w:hint="default" w:ascii="Times New Roman" w:hAnsi="Times New Roman" w:eastAsia="宋体" w:cs="Times New Roman"/>
                <w:b/>
                <w:bCs/>
                <w:color w:val="auto"/>
                <w:sz w:val="21"/>
                <w:szCs w:val="21"/>
                <w:lang w:val="en-US" w:eastAsia="zh-CN"/>
              </w:rPr>
            </w:pPr>
          </w:p>
          <w:p w14:paraId="72D21CB6">
            <w:pPr>
              <w:pStyle w:val="2"/>
              <w:rPr>
                <w:rFonts w:hint="default" w:ascii="Times New Roman" w:hAnsi="Times New Roman" w:eastAsia="宋体" w:cs="Times New Roman"/>
                <w:b/>
                <w:bCs/>
                <w:color w:val="auto"/>
                <w:sz w:val="21"/>
                <w:szCs w:val="21"/>
                <w:lang w:val="en-US" w:eastAsia="zh-CN"/>
              </w:rPr>
            </w:pPr>
          </w:p>
          <w:p w14:paraId="699D3FD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承德市环境管控单元图</w:t>
            </w:r>
          </w:p>
          <w:p w14:paraId="1FCA562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由上表及图可知，项目符合《关于以改善环境质量为核心加强环境影响评价管理的通知》（环评[2016]150号）、《承德市人民政府关于加快实施“三线一单”生态环境分区管控的意见》（</w:t>
            </w:r>
            <w:r>
              <w:rPr>
                <w:rFonts w:hint="eastAsia"/>
                <w:color w:val="auto"/>
                <w:lang w:val="en-US" w:eastAsia="zh-CN"/>
              </w:rPr>
              <w:t>承德市人民政府</w:t>
            </w:r>
            <w:r>
              <w:rPr>
                <w:rFonts w:hint="default" w:ascii="Times New Roman" w:hAnsi="Times New Roman" w:eastAsia="宋体" w:cs="Times New Roman"/>
                <w:color w:val="auto"/>
                <w:sz w:val="24"/>
                <w:szCs w:val="24"/>
                <w:lang w:val="en-US" w:eastAsia="zh-CN"/>
              </w:rPr>
              <w:t>2021年6月21发布）的环境管理要求。</w:t>
            </w:r>
          </w:p>
          <w:p w14:paraId="49F680D5">
            <w:pPr>
              <w:bidi w:val="0"/>
              <w:jc w:val="both"/>
              <w:rPr>
                <w:rFonts w:hint="default" w:ascii="Times New Roman" w:hAnsi="Times New Roman" w:eastAsia="宋体" w:cs="Times New Roman"/>
                <w:color w:val="auto"/>
                <w:lang w:eastAsia="zh-CN"/>
              </w:rPr>
            </w:pPr>
          </w:p>
        </w:tc>
      </w:tr>
    </w:tbl>
    <w:p w14:paraId="7F2E1F1F">
      <w:pPr>
        <w:spacing w:after="0"/>
        <w:jc w:val="center"/>
        <w:rPr>
          <w:rFonts w:hint="default" w:ascii="Times New Roman" w:hAnsi="Times New Roman" w:eastAsia="宋体" w:cs="Times New Roman"/>
          <w:color w:val="auto"/>
          <w:sz w:val="21"/>
        </w:rPr>
        <w:sectPr>
          <w:footerReference r:id="rId7" w:type="default"/>
          <w:pgSz w:w="11910" w:h="16840"/>
          <w:pgMar w:top="1417" w:right="1247" w:bottom="1417" w:left="1247" w:header="0" w:footer="1043" w:gutter="0"/>
          <w:pgBorders>
            <w:top w:val="none" w:sz="0" w:space="0"/>
            <w:left w:val="none" w:sz="0" w:space="0"/>
            <w:bottom w:val="none" w:sz="0" w:space="0"/>
            <w:right w:val="none" w:sz="0" w:space="0"/>
          </w:pgBorders>
          <w:pgNumType w:fmt="decimal" w:start="1"/>
          <w:cols w:space="720" w:num="1"/>
        </w:sectPr>
      </w:pPr>
    </w:p>
    <w:p w14:paraId="6AFE9DE4">
      <w:pPr>
        <w:pStyle w:val="4"/>
        <w:bidi w:val="0"/>
        <w:rPr>
          <w:rFonts w:hint="default" w:ascii="Times New Roman" w:hAnsi="Times New Roman" w:eastAsia="宋体" w:cs="Times New Roman"/>
          <w:color w:val="auto"/>
        </w:rPr>
      </w:pPr>
      <w:r>
        <w:rPr>
          <w:rFonts w:hint="default" w:ascii="Times New Roman" w:hAnsi="Times New Roman" w:eastAsia="宋体" w:cs="Times New Roman"/>
          <w:color w:val="auto"/>
        </w:rPr>
        <w:t>二、建设项目工程分析</w:t>
      </w:r>
    </w:p>
    <w:tbl>
      <w:tblPr>
        <w:tblStyle w:val="21"/>
        <w:tblW w:w="4999"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55"/>
        <w:gridCol w:w="8779"/>
      </w:tblGrid>
      <w:tr w14:paraId="67956F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7" w:hRule="atLeast"/>
        </w:trPr>
        <w:tc>
          <w:tcPr>
            <w:tcW w:w="347" w:type="pct"/>
            <w:tcBorders>
              <w:bottom w:val="single" w:color="000000" w:sz="4" w:space="0"/>
              <w:right w:val="single" w:color="000000" w:sz="4" w:space="0"/>
            </w:tcBorders>
            <w:vAlign w:val="center"/>
          </w:tcPr>
          <w:p w14:paraId="59537591">
            <w:pPr>
              <w:bidi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w:t>
            </w:r>
          </w:p>
          <w:p w14:paraId="23C8E01A">
            <w:pPr>
              <w:bidi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w:t>
            </w:r>
          </w:p>
          <w:p w14:paraId="015EB72A">
            <w:pPr>
              <w:bidi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内</w:t>
            </w:r>
          </w:p>
          <w:p w14:paraId="50BBC98A">
            <w:pPr>
              <w:bidi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容</w:t>
            </w:r>
          </w:p>
        </w:tc>
        <w:tc>
          <w:tcPr>
            <w:tcW w:w="4652" w:type="pct"/>
            <w:tcBorders>
              <w:left w:val="single" w:color="000000" w:sz="4" w:space="0"/>
              <w:bottom w:val="single" w:color="000000" w:sz="4" w:space="0"/>
            </w:tcBorders>
            <w:vAlign w:val="top"/>
          </w:tcPr>
          <w:p w14:paraId="2B3B2C0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w:t>
            </w:r>
            <w:r>
              <w:rPr>
                <w:rFonts w:hint="eastAsia" w:cs="Times New Roman"/>
                <w:b/>
                <w:bCs/>
                <w:color w:val="auto"/>
                <w:lang w:val="en-US" w:eastAsia="zh-CN"/>
              </w:rPr>
              <w:t>项目建设背景及建设内容</w:t>
            </w:r>
          </w:p>
          <w:p w14:paraId="75230DD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cs="Times New Roman"/>
                <w:color w:val="auto"/>
                <w:kern w:val="0"/>
                <w:sz w:val="24"/>
                <w:szCs w:val="24"/>
                <w:lang w:val="en-US" w:eastAsia="zh-CN" w:bidi="ar"/>
              </w:rPr>
            </w:pPr>
            <w:r>
              <w:rPr>
                <w:rFonts w:hint="eastAsia" w:cs="Times New Roman"/>
                <w:color w:val="auto"/>
                <w:highlight w:val="none"/>
                <w:lang w:val="en-US" w:eastAsia="zh-CN"/>
              </w:rPr>
              <w:t>兴隆县宜佳贸易有限公司成立于2024年3月20日，是一家从事金属废料处理，碎屑加工处理，非金属废料处理等业务的公司，位于兴隆县兴隆镇平安堡村。</w:t>
            </w:r>
          </w:p>
          <w:p w14:paraId="3FEE87F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ascii="Times New Roman" w:hAnsi="Times New Roman" w:eastAsia="宋体" w:cs="Times New Roman"/>
                <w:color w:val="auto"/>
                <w:lang w:val="en-US" w:eastAsia="zh-CN"/>
              </w:rPr>
            </w:pPr>
            <w:r>
              <w:rPr>
                <w:rFonts w:hint="eastAsia" w:cs="Times New Roman"/>
                <w:color w:val="auto"/>
                <w:highlight w:val="none"/>
                <w:lang w:val="en-US" w:eastAsia="zh-CN"/>
              </w:rPr>
              <w:t>兴隆县宜佳贸易有限公司</w:t>
            </w:r>
            <w:r>
              <w:rPr>
                <w:rFonts w:hint="default" w:ascii="Times New Roman" w:hAnsi="Times New Roman" w:eastAsia="宋体" w:cs="Times New Roman"/>
                <w:color w:val="auto"/>
                <w:highlight w:val="none"/>
                <w:lang w:val="en-US"/>
              </w:rPr>
              <w:t>投资</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00</w:t>
            </w:r>
            <w:r>
              <w:rPr>
                <w:rFonts w:hint="default" w:ascii="Times New Roman" w:hAnsi="Times New Roman" w:eastAsia="宋体" w:cs="Times New Roman"/>
                <w:color w:val="auto"/>
                <w:highlight w:val="none"/>
                <w:lang w:val="en-US"/>
              </w:rPr>
              <w:t>万元建设</w:t>
            </w:r>
            <w:r>
              <w:rPr>
                <w:rFonts w:hint="eastAsia" w:cs="Times New Roman"/>
                <w:color w:val="auto"/>
                <w:highlight w:val="none"/>
                <w:lang w:val="en-US" w:eastAsia="zh-CN"/>
              </w:rPr>
              <w:t>钢渣废料综合利用项目</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年处理钢渣10万吨生产线一条，新建</w:t>
            </w:r>
            <w:r>
              <w:rPr>
                <w:rFonts w:hint="eastAsia" w:cs="Times New Roman"/>
                <w:color w:val="auto"/>
                <w:highlight w:val="none"/>
                <w:lang w:val="en-US" w:eastAsia="zh-CN"/>
              </w:rPr>
              <w:t>封闭式原料车间</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封闭式成品车间、危废间</w:t>
            </w:r>
            <w:r>
              <w:rPr>
                <w:rFonts w:hint="default" w:ascii="Times New Roman" w:hAnsi="Times New Roman" w:eastAsia="宋体" w:cs="Times New Roman"/>
                <w:color w:val="auto"/>
                <w:highlight w:val="none"/>
                <w:lang w:val="en-US" w:eastAsia="zh-CN"/>
              </w:rPr>
              <w:t>等，并建设</w:t>
            </w:r>
            <w:r>
              <w:rPr>
                <w:rFonts w:hint="default" w:ascii="Times New Roman" w:hAnsi="Times New Roman" w:eastAsia="宋体" w:cs="Times New Roman"/>
                <w:color w:val="auto"/>
                <w:highlight w:val="none"/>
                <w:lang w:val="en-US"/>
              </w:rPr>
              <w:t>辅助工程、公用工程</w:t>
            </w:r>
            <w:r>
              <w:rPr>
                <w:rFonts w:hint="default" w:ascii="Times New Roman" w:hAnsi="Times New Roman" w:eastAsia="宋体" w:cs="Times New Roman"/>
                <w:color w:val="auto"/>
                <w:highlight w:val="none"/>
                <w:lang w:val="en-US" w:eastAsia="zh-CN"/>
              </w:rPr>
              <w:t>及环保工程</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lang w:val="en-US" w:eastAsia="zh-CN"/>
              </w:rPr>
              <w:t>项目主要工程组成及建设内容见下表</w:t>
            </w:r>
            <w:r>
              <w:rPr>
                <w:rFonts w:hint="eastAsia" w:cs="Times New Roman"/>
                <w:color w:val="auto"/>
                <w:lang w:val="en-US" w:eastAsia="zh-CN"/>
              </w:rPr>
              <w:t>：</w:t>
            </w:r>
          </w:p>
          <w:p w14:paraId="2149F00C">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主要工程组成及建设内容表</w:t>
            </w:r>
          </w:p>
          <w:tbl>
            <w:tblPr>
              <w:tblStyle w:val="2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456"/>
              <w:gridCol w:w="5068"/>
              <w:gridCol w:w="730"/>
            </w:tblGrid>
            <w:tr w14:paraId="126E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25" w:type="dxa"/>
                  <w:tcBorders>
                    <w:tl2br w:val="nil"/>
                    <w:tr2bl w:val="nil"/>
                  </w:tcBorders>
                  <w:vAlign w:val="center"/>
                </w:tcPr>
                <w:p w14:paraId="04B963E4">
                  <w:pPr>
                    <w:autoSpaceDE/>
                    <w:autoSpaceDN/>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工程名称</w:t>
                  </w:r>
                </w:p>
              </w:tc>
              <w:tc>
                <w:tcPr>
                  <w:tcW w:w="1456" w:type="dxa"/>
                  <w:tcBorders>
                    <w:tl2br w:val="nil"/>
                    <w:tr2bl w:val="nil"/>
                  </w:tcBorders>
                  <w:vAlign w:val="center"/>
                </w:tcPr>
                <w:p w14:paraId="3FE88882">
                  <w:pPr>
                    <w:autoSpaceDE/>
                    <w:autoSpaceDN/>
                    <w:adjustRightInd w:val="0"/>
                    <w:snapToGrid w:val="0"/>
                    <w:spacing w:line="240" w:lineRule="auto"/>
                    <w:ind w:right="-120" w:rightChars="-5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工程名称</w:t>
                  </w:r>
                </w:p>
              </w:tc>
              <w:tc>
                <w:tcPr>
                  <w:tcW w:w="5068" w:type="dxa"/>
                  <w:tcBorders>
                    <w:tl2br w:val="nil"/>
                    <w:tr2bl w:val="nil"/>
                  </w:tcBorders>
                  <w:vAlign w:val="center"/>
                </w:tcPr>
                <w:p w14:paraId="63E218C8">
                  <w:pPr>
                    <w:autoSpaceDE/>
                    <w:autoSpaceDN/>
                    <w:adjustRightInd w:val="0"/>
                    <w:snapToGrid w:val="0"/>
                    <w:spacing w:line="240" w:lineRule="auto"/>
                    <w:ind w:right="-120" w:rightChars="-5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主要建设内容</w:t>
                  </w:r>
                </w:p>
              </w:tc>
              <w:tc>
                <w:tcPr>
                  <w:tcW w:w="730" w:type="dxa"/>
                  <w:tcBorders>
                    <w:tl2br w:val="nil"/>
                    <w:tr2bl w:val="nil"/>
                  </w:tcBorders>
                  <w:vAlign w:val="center"/>
                </w:tcPr>
                <w:p w14:paraId="42DEAD8C">
                  <w:pPr>
                    <w:autoSpaceDE/>
                    <w:autoSpaceDN/>
                    <w:adjustRightInd w:val="0"/>
                    <w:snapToGrid w:val="0"/>
                    <w:spacing w:line="240" w:lineRule="auto"/>
                    <w:ind w:right="-120" w:rightChars="-5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393B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1325" w:type="dxa"/>
                  <w:tcBorders>
                    <w:tl2br w:val="nil"/>
                    <w:tr2bl w:val="nil"/>
                  </w:tcBorders>
                  <w:vAlign w:val="center"/>
                </w:tcPr>
                <w:p w14:paraId="33C9046B">
                  <w:pPr>
                    <w:autoSpaceDE/>
                    <w:autoSpaceDN/>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1456" w:type="dxa"/>
                  <w:tcBorders>
                    <w:tl2br w:val="nil"/>
                    <w:tr2bl w:val="nil"/>
                  </w:tcBorders>
                  <w:vAlign w:val="center"/>
                </w:tcPr>
                <w:p w14:paraId="0B5C0554">
                  <w:pPr>
                    <w:autoSpaceDE/>
                    <w:autoSpaceDN/>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封闭式</w:t>
                  </w:r>
                  <w:r>
                    <w:rPr>
                      <w:rFonts w:hint="default" w:ascii="Times New Roman" w:hAnsi="Times New Roman" w:eastAsia="宋体" w:cs="Times New Roman"/>
                      <w:color w:val="auto"/>
                      <w:sz w:val="21"/>
                      <w:szCs w:val="21"/>
                      <w:highlight w:val="none"/>
                      <w:lang w:eastAsia="zh-CN"/>
                    </w:rPr>
                    <w:t>生产车间</w:t>
                  </w:r>
                </w:p>
              </w:tc>
              <w:tc>
                <w:tcPr>
                  <w:tcW w:w="5068" w:type="dxa"/>
                  <w:tcBorders>
                    <w:tl2br w:val="nil"/>
                    <w:tr2bl w:val="nil"/>
                  </w:tcBorders>
                  <w:vAlign w:val="center"/>
                </w:tcPr>
                <w:p w14:paraId="71C4EC87">
                  <w:pPr>
                    <w:autoSpaceDE/>
                    <w:autoSpaceDN/>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lang w:val="en-US" w:eastAsia="zh-CN"/>
                    </w:rPr>
                    <w:t>封闭式生产车间前身为兴隆县太阳花钢厂生产厂房，该厂早已停产，遗留一座生产厂房可满足本项目使用。因此，本项目利用厂房作为生产车间（</w:t>
                  </w:r>
                  <w:r>
                    <w:rPr>
                      <w:rFonts w:hint="default" w:ascii="Times New Roman" w:hAnsi="Times New Roman" w:eastAsia="宋体" w:cs="Times New Roman"/>
                      <w:color w:val="auto"/>
                      <w:sz w:val="21"/>
                      <w:szCs w:val="21"/>
                      <w:highlight w:val="none"/>
                      <w:lang w:val="en-US" w:eastAsia="zh-CN"/>
                    </w:rPr>
                    <w:t>即为</w:t>
                  </w:r>
                  <w:r>
                    <w:rPr>
                      <w:rFonts w:hint="eastAsia" w:cs="Times New Roman"/>
                      <w:color w:val="auto"/>
                      <w:sz w:val="21"/>
                      <w:szCs w:val="21"/>
                      <w:highlight w:val="none"/>
                      <w:lang w:val="en-US" w:eastAsia="zh-CN"/>
                    </w:rPr>
                    <w:t>钢渣</w:t>
                  </w:r>
                  <w:r>
                    <w:rPr>
                      <w:rFonts w:hint="default" w:ascii="Times New Roman" w:hAnsi="Times New Roman" w:eastAsia="宋体" w:cs="Times New Roman"/>
                      <w:color w:val="auto"/>
                      <w:sz w:val="21"/>
                      <w:szCs w:val="21"/>
                      <w:highlight w:val="none"/>
                      <w:lang w:val="en-US" w:eastAsia="zh-CN"/>
                    </w:rPr>
                    <w:t>处理车间</w:t>
                  </w:r>
                  <w:r>
                    <w:rPr>
                      <w:rFonts w:hint="eastAsia" w:cs="Times New Roman"/>
                      <w:b w:val="0"/>
                      <w:bCs w:val="0"/>
                      <w:color w:val="auto"/>
                      <w:sz w:val="21"/>
                      <w:szCs w:val="21"/>
                      <w:lang w:val="en-US" w:eastAsia="zh-CN"/>
                    </w:rPr>
                    <w:t>）</w:t>
                  </w:r>
                  <w:r>
                    <w:rPr>
                      <w:rFonts w:hint="default" w:ascii="Times New Roman" w:hAnsi="Times New Roman" w:eastAsia="宋体" w:cs="Times New Roman"/>
                      <w:color w:val="auto"/>
                      <w:sz w:val="21"/>
                      <w:szCs w:val="21"/>
                      <w:highlight w:val="none"/>
                      <w:lang w:val="en-US" w:eastAsia="zh-CN"/>
                    </w:rPr>
                    <w:t>，1层、</w:t>
                  </w:r>
                  <w:r>
                    <w:rPr>
                      <w:rFonts w:hint="eastAsia" w:cs="Times New Roman"/>
                      <w:color w:val="auto"/>
                      <w:sz w:val="21"/>
                      <w:szCs w:val="21"/>
                      <w:highlight w:val="none"/>
                      <w:lang w:val="en-US" w:eastAsia="zh-CN"/>
                    </w:rPr>
                    <w:t>砖</w:t>
                  </w:r>
                  <w:r>
                    <w:rPr>
                      <w:rFonts w:hint="default" w:ascii="Times New Roman" w:hAnsi="Times New Roman" w:eastAsia="宋体" w:cs="Times New Roman"/>
                      <w:color w:val="auto"/>
                      <w:sz w:val="21"/>
                      <w:szCs w:val="21"/>
                      <w:highlight w:val="none"/>
                      <w:lang w:val="en-US" w:eastAsia="zh-CN"/>
                    </w:rPr>
                    <w:t>结构，</w:t>
                  </w: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lang w:val="en-US" w:eastAsia="zh-CN"/>
                    </w:rPr>
                    <w:t>525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rPr>
                    <w:t>内置</w:t>
                  </w:r>
                  <w:r>
                    <w:rPr>
                      <w:rFonts w:hint="eastAsia" w:cs="Times New Roman"/>
                      <w:color w:val="auto"/>
                      <w:sz w:val="21"/>
                      <w:szCs w:val="21"/>
                      <w:lang w:eastAsia="zh-CN"/>
                    </w:rPr>
                    <w:t>振动筛、高频筛、磁滑轮、球磨机</w:t>
                  </w:r>
                  <w:r>
                    <w:rPr>
                      <w:rFonts w:hint="default" w:ascii="Times New Roman" w:hAnsi="Times New Roman" w:eastAsia="宋体" w:cs="Times New Roman"/>
                      <w:color w:val="auto"/>
                      <w:sz w:val="21"/>
                      <w:szCs w:val="21"/>
                      <w:lang w:eastAsia="zh-CN"/>
                    </w:rPr>
                    <w:t>等</w:t>
                  </w:r>
                </w:p>
              </w:tc>
              <w:tc>
                <w:tcPr>
                  <w:tcW w:w="730" w:type="dxa"/>
                  <w:tcBorders>
                    <w:tl2br w:val="nil"/>
                    <w:tr2bl w:val="nil"/>
                  </w:tcBorders>
                  <w:vAlign w:val="center"/>
                </w:tcPr>
                <w:p w14:paraId="32FA2DB3">
                  <w:pPr>
                    <w:autoSpaceDE/>
                    <w:autoSpaceDN/>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利旧</w:t>
                  </w:r>
                </w:p>
              </w:tc>
            </w:tr>
            <w:tr w14:paraId="7365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325" w:type="dxa"/>
                  <w:vMerge w:val="restart"/>
                  <w:tcBorders>
                    <w:tl2br w:val="nil"/>
                    <w:tr2bl w:val="nil"/>
                  </w:tcBorders>
                  <w:vAlign w:val="center"/>
                </w:tcPr>
                <w:p w14:paraId="2E3C1DC8">
                  <w:pPr>
                    <w:autoSpaceDE/>
                    <w:autoSpaceDN/>
                    <w:adjustRightInd w:val="0"/>
                    <w:snapToGrid w:val="0"/>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储运工程</w:t>
                  </w:r>
                </w:p>
              </w:tc>
              <w:tc>
                <w:tcPr>
                  <w:tcW w:w="1456" w:type="dxa"/>
                  <w:tcBorders>
                    <w:tl2br w:val="nil"/>
                    <w:tr2bl w:val="nil"/>
                  </w:tcBorders>
                  <w:vAlign w:val="center"/>
                </w:tcPr>
                <w:p w14:paraId="17A149E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封闭式</w:t>
                  </w:r>
                  <w:r>
                    <w:rPr>
                      <w:rFonts w:hint="eastAsia" w:cs="Times New Roman"/>
                      <w:color w:val="auto"/>
                      <w:sz w:val="21"/>
                      <w:szCs w:val="21"/>
                      <w:highlight w:val="none"/>
                      <w:lang w:val="en-US" w:eastAsia="zh-CN"/>
                    </w:rPr>
                    <w:t>原料车间</w:t>
                  </w:r>
                </w:p>
              </w:tc>
              <w:tc>
                <w:tcPr>
                  <w:tcW w:w="5068" w:type="dxa"/>
                  <w:tcBorders>
                    <w:tl2br w:val="nil"/>
                    <w:tr2bl w:val="nil"/>
                  </w:tcBorders>
                  <w:vAlign w:val="center"/>
                </w:tcPr>
                <w:p w14:paraId="6820BA8E">
                  <w:pPr>
                    <w:autoSpaceDE/>
                    <w:autoSpaceDN/>
                    <w:spacing w:line="240" w:lineRule="auto"/>
                    <w:ind w:left="0" w:leftChars="0" w:right="0" w:right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1层、钢结构，</w:t>
                  </w: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highlight w:val="none"/>
                      <w:lang w:val="en-US" w:eastAsia="zh-CN"/>
                    </w:rPr>
                    <w:t>515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主要用于原料储存</w:t>
                  </w:r>
                </w:p>
              </w:tc>
              <w:tc>
                <w:tcPr>
                  <w:tcW w:w="730" w:type="dxa"/>
                  <w:tcBorders>
                    <w:tl2br w:val="nil"/>
                    <w:tr2bl w:val="nil"/>
                  </w:tcBorders>
                  <w:vAlign w:val="center"/>
                </w:tcPr>
                <w:p w14:paraId="21B63DF7">
                  <w:pPr>
                    <w:autoSpaceDE/>
                    <w:autoSpaceDN/>
                    <w:spacing w:line="240" w:lineRule="auto"/>
                    <w:ind w:left="0" w:leftChars="0" w:right="0" w:right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新建</w:t>
                  </w:r>
                </w:p>
              </w:tc>
            </w:tr>
            <w:tr w14:paraId="06F3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325" w:type="dxa"/>
                  <w:vMerge w:val="continue"/>
                  <w:tcBorders>
                    <w:tl2br w:val="nil"/>
                    <w:tr2bl w:val="nil"/>
                  </w:tcBorders>
                  <w:vAlign w:val="center"/>
                </w:tcPr>
                <w:p w14:paraId="76E36113">
                  <w:pPr>
                    <w:autoSpaceDE/>
                    <w:autoSpaceDN/>
                    <w:adjustRightInd w:val="0"/>
                    <w:snapToGrid w:val="0"/>
                    <w:spacing w:line="240" w:lineRule="auto"/>
                    <w:rPr>
                      <w:rFonts w:hint="eastAsia" w:cs="Times New Roman"/>
                      <w:color w:val="auto"/>
                      <w:sz w:val="21"/>
                      <w:szCs w:val="21"/>
                      <w:highlight w:val="none"/>
                      <w:lang w:eastAsia="zh-CN"/>
                    </w:rPr>
                  </w:pPr>
                </w:p>
              </w:tc>
              <w:tc>
                <w:tcPr>
                  <w:tcW w:w="1456" w:type="dxa"/>
                  <w:tcBorders>
                    <w:tl2br w:val="nil"/>
                    <w:tr2bl w:val="nil"/>
                  </w:tcBorders>
                  <w:vAlign w:val="center"/>
                </w:tcPr>
                <w:p w14:paraId="6252EEC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封闭式成品车间</w:t>
                  </w:r>
                </w:p>
              </w:tc>
              <w:tc>
                <w:tcPr>
                  <w:tcW w:w="5068" w:type="dxa"/>
                  <w:tcBorders>
                    <w:tl2br w:val="nil"/>
                    <w:tr2bl w:val="nil"/>
                  </w:tcBorders>
                  <w:vAlign w:val="center"/>
                </w:tcPr>
                <w:p w14:paraId="45D3FC07">
                  <w:pPr>
                    <w:autoSpaceDE/>
                    <w:autoSpaceDN/>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1层、钢结构，</w:t>
                  </w: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highlight w:val="none"/>
                      <w:lang w:val="en-US" w:eastAsia="zh-CN"/>
                    </w:rPr>
                    <w:t>372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主要用于成品储存</w:t>
                  </w:r>
                </w:p>
              </w:tc>
              <w:tc>
                <w:tcPr>
                  <w:tcW w:w="730" w:type="dxa"/>
                  <w:tcBorders>
                    <w:tl2br w:val="nil"/>
                    <w:tr2bl w:val="nil"/>
                  </w:tcBorders>
                  <w:vAlign w:val="center"/>
                </w:tcPr>
                <w:p w14:paraId="05962A38">
                  <w:pPr>
                    <w:autoSpaceDE/>
                    <w:autoSpaceDN/>
                    <w:spacing w:line="24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292B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325" w:type="dxa"/>
                  <w:vMerge w:val="restart"/>
                  <w:tcBorders>
                    <w:tl2br w:val="nil"/>
                    <w:tr2bl w:val="nil"/>
                  </w:tcBorders>
                  <w:vAlign w:val="center"/>
                </w:tcPr>
                <w:p w14:paraId="2BB3FEBE">
                  <w:pPr>
                    <w:autoSpaceDE/>
                    <w:autoSpaceDN/>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1456" w:type="dxa"/>
                  <w:tcBorders>
                    <w:tl2br w:val="nil"/>
                    <w:tr2bl w:val="nil"/>
                  </w:tcBorders>
                  <w:vAlign w:val="center"/>
                </w:tcPr>
                <w:p w14:paraId="6BA55187">
                  <w:pPr>
                    <w:autoSpaceDE/>
                    <w:autoSpaceDN/>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危险废物贮存间</w:t>
                  </w:r>
                </w:p>
              </w:tc>
              <w:tc>
                <w:tcPr>
                  <w:tcW w:w="5068" w:type="dxa"/>
                  <w:tcBorders>
                    <w:tl2br w:val="nil"/>
                    <w:tr2bl w:val="nil"/>
                  </w:tcBorders>
                  <w:vAlign w:val="center"/>
                </w:tcPr>
                <w:p w14:paraId="0D80248E">
                  <w:pPr>
                    <w:autoSpaceDE/>
                    <w:autoSpaceDN/>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1层、砖混结构，</w:t>
                  </w: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val="en-US"/>
                    </w:rPr>
                    <w:t>2</w:t>
                  </w:r>
                  <w:r>
                    <w:rPr>
                      <w:rFonts w:hint="default" w:ascii="Times New Roman" w:hAnsi="Times New Roman" w:eastAsia="宋体" w:cs="Times New Roman"/>
                      <w:color w:val="auto"/>
                      <w:sz w:val="21"/>
                      <w:szCs w:val="21"/>
                      <w:highlight w:val="none"/>
                      <w:vertAlign w:val="baseline"/>
                      <w:lang w:val="en-US" w:eastAsia="zh-CN"/>
                    </w:rPr>
                    <w:t>，主要用于厂内危险废物临时贮存</w:t>
                  </w:r>
                </w:p>
              </w:tc>
              <w:tc>
                <w:tcPr>
                  <w:tcW w:w="730" w:type="dxa"/>
                  <w:tcBorders>
                    <w:tl2br w:val="nil"/>
                    <w:tr2bl w:val="nil"/>
                  </w:tcBorders>
                  <w:vAlign w:val="center"/>
                </w:tcPr>
                <w:p w14:paraId="0ACBFF08">
                  <w:pPr>
                    <w:autoSpaceDE/>
                    <w:autoSpaceDN/>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389F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325" w:type="dxa"/>
                  <w:vMerge w:val="continue"/>
                  <w:tcBorders>
                    <w:tl2br w:val="nil"/>
                    <w:tr2bl w:val="nil"/>
                  </w:tcBorders>
                  <w:vAlign w:val="center"/>
                </w:tcPr>
                <w:p w14:paraId="71376108">
                  <w:pPr>
                    <w:autoSpaceDE/>
                    <w:autoSpaceDN/>
                    <w:adjustRightInd w:val="0"/>
                    <w:snapToGrid w:val="0"/>
                    <w:spacing w:line="240" w:lineRule="auto"/>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61ADE3B0">
                  <w:pPr>
                    <w:autoSpaceDE/>
                    <w:autoSpaceDN/>
                    <w:spacing w:line="240" w:lineRule="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办公室</w:t>
                  </w:r>
                </w:p>
              </w:tc>
              <w:tc>
                <w:tcPr>
                  <w:tcW w:w="5068" w:type="dxa"/>
                  <w:tcBorders>
                    <w:tl2br w:val="nil"/>
                    <w:tr2bl w:val="nil"/>
                  </w:tcBorders>
                  <w:vAlign w:val="center"/>
                </w:tcPr>
                <w:p w14:paraId="1DC040E9">
                  <w:pPr>
                    <w:autoSpaceDE/>
                    <w:autoSpaceDN/>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1层、砖混结构，</w:t>
                  </w: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lang w:val="en-US" w:eastAsia="zh-CN"/>
                    </w:rPr>
                    <w:t>依托兴隆县瑞隆矿业有限公司办公室，</w:t>
                  </w:r>
                  <w:r>
                    <w:rPr>
                      <w:rFonts w:hint="default" w:ascii="Times New Roman" w:hAnsi="Times New Roman" w:eastAsia="宋体" w:cs="Times New Roman"/>
                      <w:color w:val="auto"/>
                      <w:sz w:val="21"/>
                      <w:szCs w:val="21"/>
                      <w:highlight w:val="none"/>
                      <w:vertAlign w:val="baseline"/>
                      <w:lang w:val="en-US" w:eastAsia="zh-CN"/>
                    </w:rPr>
                    <w:t>主要</w:t>
                  </w:r>
                  <w:r>
                    <w:rPr>
                      <w:rFonts w:hint="eastAsia" w:cs="Times New Roman"/>
                      <w:color w:val="auto"/>
                      <w:sz w:val="21"/>
                      <w:szCs w:val="21"/>
                      <w:highlight w:val="none"/>
                      <w:vertAlign w:val="baseline"/>
                      <w:lang w:val="en-US" w:eastAsia="zh-CN"/>
                    </w:rPr>
                    <w:t>工作人员办公</w:t>
                  </w:r>
                </w:p>
              </w:tc>
              <w:tc>
                <w:tcPr>
                  <w:tcW w:w="730" w:type="dxa"/>
                  <w:tcBorders>
                    <w:tl2br w:val="nil"/>
                    <w:tr2bl w:val="nil"/>
                  </w:tcBorders>
                  <w:vAlign w:val="center"/>
                </w:tcPr>
                <w:p w14:paraId="374AF7D9">
                  <w:pPr>
                    <w:autoSpaceDE/>
                    <w:autoSpaceDN/>
                    <w:spacing w:line="240" w:lineRule="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依托</w:t>
                  </w:r>
                </w:p>
              </w:tc>
            </w:tr>
            <w:tr w14:paraId="1032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325" w:type="dxa"/>
                  <w:vMerge w:val="continue"/>
                  <w:tcBorders>
                    <w:tl2br w:val="nil"/>
                    <w:tr2bl w:val="nil"/>
                  </w:tcBorders>
                  <w:vAlign w:val="center"/>
                </w:tcPr>
                <w:p w14:paraId="75026558">
                  <w:pPr>
                    <w:autoSpaceDE/>
                    <w:autoSpaceDN/>
                    <w:adjustRightInd w:val="0"/>
                    <w:snapToGrid w:val="0"/>
                    <w:spacing w:line="240" w:lineRule="auto"/>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19206DDA">
                  <w:pPr>
                    <w:autoSpaceDE/>
                    <w:autoSpaceDN/>
                    <w:spacing w:line="240" w:lineRule="auto"/>
                    <w:ind w:left="0" w:leftChars="0" w:right="0" w:rightChars="0"/>
                    <w:rPr>
                      <w:rFonts w:hint="eastAsia" w:cs="Times New Roman"/>
                      <w:color w:val="auto"/>
                      <w:sz w:val="21"/>
                      <w:szCs w:val="21"/>
                      <w:highlight w:val="none"/>
                      <w:lang w:eastAsia="zh-CN"/>
                    </w:rPr>
                  </w:pPr>
                  <w:r>
                    <w:rPr>
                      <w:rFonts w:hint="eastAsia" w:cs="Times New Roman"/>
                      <w:color w:val="auto"/>
                      <w:sz w:val="21"/>
                      <w:szCs w:val="21"/>
                      <w:lang w:val="en-US" w:eastAsia="zh-CN"/>
                    </w:rPr>
                    <w:t>洗车平台及配套沉淀池</w:t>
                  </w:r>
                </w:p>
              </w:tc>
              <w:tc>
                <w:tcPr>
                  <w:tcW w:w="5068" w:type="dxa"/>
                  <w:tcBorders>
                    <w:tl2br w:val="nil"/>
                    <w:tr2bl w:val="nil"/>
                  </w:tcBorders>
                  <w:vAlign w:val="center"/>
                </w:tcPr>
                <w:p w14:paraId="7632C82A">
                  <w:pPr>
                    <w:autoSpaceDE/>
                    <w:autoSpaceDN/>
                    <w:spacing w:line="24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占地面积为</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主要用于</w:t>
                  </w:r>
                  <w:r>
                    <w:rPr>
                      <w:rFonts w:hint="default" w:ascii="Times New Roman" w:hAnsi="Times New Roman" w:eastAsia="宋体" w:cs="Times New Roman"/>
                      <w:color w:val="auto"/>
                      <w:sz w:val="21"/>
                      <w:szCs w:val="21"/>
                      <w:highlight w:val="none"/>
                      <w:lang w:eastAsia="zh-CN"/>
                    </w:rPr>
                    <w:t>清洗进出场车辆</w:t>
                  </w:r>
                </w:p>
              </w:tc>
              <w:tc>
                <w:tcPr>
                  <w:tcW w:w="730" w:type="dxa"/>
                  <w:tcBorders>
                    <w:tl2br w:val="nil"/>
                    <w:tr2bl w:val="nil"/>
                  </w:tcBorders>
                  <w:vAlign w:val="center"/>
                </w:tcPr>
                <w:p w14:paraId="6C6B3E2D">
                  <w:pPr>
                    <w:autoSpaceDE/>
                    <w:autoSpaceDN/>
                    <w:spacing w:line="240" w:lineRule="auto"/>
                    <w:ind w:left="0" w:leftChars="0" w:right="0" w:rightChars="0"/>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新建</w:t>
                  </w:r>
                </w:p>
              </w:tc>
            </w:tr>
            <w:tr w14:paraId="1F3E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325" w:type="dxa"/>
                  <w:vMerge w:val="continue"/>
                  <w:tcBorders>
                    <w:tl2br w:val="nil"/>
                    <w:tr2bl w:val="nil"/>
                  </w:tcBorders>
                  <w:vAlign w:val="center"/>
                </w:tcPr>
                <w:p w14:paraId="133026AA">
                  <w:pPr>
                    <w:autoSpaceDE/>
                    <w:autoSpaceDN/>
                    <w:adjustRightInd w:val="0"/>
                    <w:snapToGrid w:val="0"/>
                    <w:spacing w:line="240" w:lineRule="auto"/>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751A65B3">
                  <w:pPr>
                    <w:autoSpaceDE/>
                    <w:autoSpaceDN/>
                    <w:spacing w:line="240" w:lineRule="auto"/>
                    <w:ind w:left="0" w:leftChars="0" w:right="0" w:rightChars="0"/>
                    <w:rPr>
                      <w:rFonts w:hint="eastAsia" w:ascii="Times New Roman" w:hAnsi="Times New Roman" w:eastAsia="宋体" w:cs="Times New Roman"/>
                      <w:color w:val="auto"/>
                      <w:sz w:val="21"/>
                      <w:szCs w:val="21"/>
                      <w:highlight w:val="none"/>
                      <w:lang w:val="zh-CN" w:eastAsia="zh-CN" w:bidi="zh-CN"/>
                    </w:rPr>
                  </w:pPr>
                  <w:r>
                    <w:rPr>
                      <w:rFonts w:hint="eastAsia" w:cs="Times New Roman"/>
                      <w:color w:val="auto"/>
                      <w:sz w:val="21"/>
                      <w:szCs w:val="21"/>
                      <w:highlight w:val="none"/>
                      <w:lang w:eastAsia="zh-CN"/>
                    </w:rPr>
                    <w:t>沉淀池</w:t>
                  </w:r>
                </w:p>
              </w:tc>
              <w:tc>
                <w:tcPr>
                  <w:tcW w:w="5068" w:type="dxa"/>
                  <w:tcBorders>
                    <w:tl2br w:val="nil"/>
                    <w:tr2bl w:val="nil"/>
                  </w:tcBorders>
                  <w:vAlign w:val="center"/>
                </w:tcPr>
                <w:p w14:paraId="17B7D12C">
                  <w:pPr>
                    <w:autoSpaceDE/>
                    <w:autoSpaceDN/>
                    <w:spacing w:line="240" w:lineRule="auto"/>
                    <w:ind w:left="0" w:leftChars="0" w:right="0" w:right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kern w:val="2"/>
                      <w:sz w:val="21"/>
                      <w:szCs w:val="21"/>
                      <w:highlight w:val="none"/>
                      <w:lang w:val="en-US" w:eastAsia="zh-CN" w:bidi="ar-SA"/>
                    </w:rPr>
                    <w:t>容积</w:t>
                  </w:r>
                  <w:r>
                    <w:rPr>
                      <w:rFonts w:hint="eastAsia" w:cs="Times New Roman"/>
                      <w:color w:val="auto"/>
                      <w:kern w:val="2"/>
                      <w:sz w:val="21"/>
                      <w:szCs w:val="21"/>
                      <w:highlight w:val="none"/>
                      <w:lang w:val="en-US" w:eastAsia="zh-CN" w:bidi="ar-SA"/>
                    </w:rPr>
                    <w:t>170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vertAlign w:val="baseline"/>
                      <w:lang w:val="en-US" w:eastAsia="zh-CN"/>
                    </w:rPr>
                    <w:t>主要</w:t>
                  </w:r>
                  <w:r>
                    <w:rPr>
                      <w:rFonts w:hint="eastAsia" w:ascii="Times New Roman" w:hAnsi="Times New Roman" w:eastAsia="宋体" w:cs="Times New Roman"/>
                      <w:color w:val="auto"/>
                      <w:sz w:val="21"/>
                      <w:szCs w:val="21"/>
                      <w:highlight w:val="none"/>
                      <w:vertAlign w:val="baseline"/>
                      <w:lang w:val="en-US" w:eastAsia="zh-CN"/>
                    </w:rPr>
                    <w:t>用于收集厂区内生产废水</w:t>
                  </w:r>
                </w:p>
              </w:tc>
              <w:tc>
                <w:tcPr>
                  <w:tcW w:w="730" w:type="dxa"/>
                  <w:tcBorders>
                    <w:tl2br w:val="nil"/>
                    <w:tr2bl w:val="nil"/>
                  </w:tcBorders>
                  <w:vAlign w:val="center"/>
                </w:tcPr>
                <w:p w14:paraId="1EDD9AA2">
                  <w:pPr>
                    <w:autoSpaceDE/>
                    <w:autoSpaceDN/>
                    <w:spacing w:line="240" w:lineRule="auto"/>
                    <w:ind w:left="0" w:leftChars="0" w:right="0" w:rightChars="0"/>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rPr>
                    <w:t>新建</w:t>
                  </w:r>
                </w:p>
              </w:tc>
            </w:tr>
            <w:tr w14:paraId="1EDE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325" w:type="dxa"/>
                  <w:vMerge w:val="restart"/>
                  <w:tcBorders>
                    <w:tl2br w:val="nil"/>
                    <w:tr2bl w:val="nil"/>
                  </w:tcBorders>
                  <w:vAlign w:val="center"/>
                </w:tcPr>
                <w:p w14:paraId="7D07F5D3">
                  <w:pPr>
                    <w:widowControl/>
                    <w:autoSpaceDE/>
                    <w:autoSpaceDN/>
                    <w:adjustRightInd w:val="0"/>
                    <w:snapToGrid w:val="0"/>
                    <w:spacing w:before="100" w:after="100"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456" w:type="dxa"/>
                  <w:tcBorders>
                    <w:tl2br w:val="nil"/>
                    <w:tr2bl w:val="nil"/>
                  </w:tcBorders>
                  <w:vAlign w:val="center"/>
                </w:tcPr>
                <w:p w14:paraId="7535CD9E">
                  <w:pPr>
                    <w:autoSpaceDE/>
                    <w:autoSpaceDN/>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供水系统</w:t>
                  </w:r>
                </w:p>
              </w:tc>
              <w:tc>
                <w:tcPr>
                  <w:tcW w:w="5068" w:type="dxa"/>
                  <w:tcBorders>
                    <w:tl2br w:val="nil"/>
                    <w:tr2bl w:val="nil"/>
                  </w:tcBorders>
                  <w:vAlign w:val="center"/>
                </w:tcPr>
                <w:p w14:paraId="193DC138">
                  <w:pPr>
                    <w:autoSpaceDE/>
                    <w:autoSpaceDN/>
                    <w:spacing w:line="240" w:lineRule="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利用厂区内现有</w:t>
                  </w:r>
                  <w:r>
                    <w:rPr>
                      <w:rFonts w:hint="default" w:ascii="Times New Roman" w:hAnsi="Times New Roman" w:eastAsia="宋体" w:cs="Times New Roman"/>
                      <w:color w:val="auto"/>
                      <w:sz w:val="21"/>
                      <w:szCs w:val="21"/>
                      <w:highlight w:val="none"/>
                    </w:rPr>
                    <w:t>水井</w:t>
                  </w:r>
                </w:p>
              </w:tc>
              <w:tc>
                <w:tcPr>
                  <w:tcW w:w="730" w:type="dxa"/>
                  <w:tcBorders>
                    <w:tl2br w:val="nil"/>
                    <w:tr2bl w:val="nil"/>
                  </w:tcBorders>
                  <w:vAlign w:val="center"/>
                </w:tcPr>
                <w:p w14:paraId="0B60819D">
                  <w:pPr>
                    <w:adjustRightInd w:val="0"/>
                    <w:spacing w:line="240" w:lineRule="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依托</w:t>
                  </w:r>
                </w:p>
              </w:tc>
            </w:tr>
            <w:tr w14:paraId="0668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25" w:type="dxa"/>
                  <w:vMerge w:val="continue"/>
                  <w:tcBorders>
                    <w:tl2br w:val="nil"/>
                    <w:tr2bl w:val="nil"/>
                  </w:tcBorders>
                  <w:vAlign w:val="center"/>
                </w:tcPr>
                <w:p w14:paraId="5390C06E">
                  <w:pPr>
                    <w:widowControl/>
                    <w:autoSpaceDE/>
                    <w:autoSpaceDN/>
                    <w:adjustRightInd w:val="0"/>
                    <w:snapToGrid w:val="0"/>
                    <w:spacing w:before="100" w:after="100" w:line="240" w:lineRule="auto"/>
                    <w:ind w:left="-120" w:leftChars="-50"/>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391FFE8C">
                  <w:pPr>
                    <w:autoSpaceDE/>
                    <w:autoSpaceDN/>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排水系统</w:t>
                  </w:r>
                </w:p>
              </w:tc>
              <w:tc>
                <w:tcPr>
                  <w:tcW w:w="5068" w:type="dxa"/>
                  <w:tcBorders>
                    <w:tl2br w:val="nil"/>
                    <w:tr2bl w:val="nil"/>
                  </w:tcBorders>
                  <w:vAlign w:val="center"/>
                </w:tcPr>
                <w:p w14:paraId="5716F428">
                  <w:pPr>
                    <w:keepNext w:val="0"/>
                    <w:keepLines w:val="0"/>
                    <w:widowControl/>
                    <w:suppressLineNumbers w:val="0"/>
                    <w:spacing w:line="240" w:lineRule="auto"/>
                    <w:jc w:val="center"/>
                    <w:rPr>
                      <w:rFonts w:hint="eastAsia" w:ascii="宋体" w:hAnsi="宋体" w:eastAsia="宋体" w:cs="宋体"/>
                      <w:color w:val="auto"/>
                      <w:sz w:val="21"/>
                      <w:szCs w:val="21"/>
                      <w:highlight w:val="none"/>
                      <w:lang w:eastAsia="zh-CN"/>
                    </w:rPr>
                  </w:pPr>
                  <w:r>
                    <w:rPr>
                      <w:rFonts w:hint="default" w:ascii="Times New Roman" w:hAnsi="Times New Roman" w:eastAsia="宋体" w:cs="Times New Roman"/>
                      <w:color w:val="auto"/>
                      <w:kern w:val="24"/>
                      <w:sz w:val="21"/>
                      <w:szCs w:val="21"/>
                      <w:highlight w:val="none"/>
                    </w:rPr>
                    <w:t>本项目投入使用后，</w:t>
                  </w:r>
                  <w:r>
                    <w:rPr>
                      <w:rFonts w:hint="default" w:ascii="Times New Roman" w:hAnsi="Times New Roman" w:eastAsia="宋体" w:cs="Times New Roman"/>
                      <w:color w:val="auto"/>
                      <w:sz w:val="21"/>
                      <w:szCs w:val="21"/>
                      <w:lang w:val="en-US" w:eastAsia="zh-CN"/>
                    </w:rPr>
                    <w:t>用水</w:t>
                  </w:r>
                  <w:r>
                    <w:rPr>
                      <w:rFonts w:hint="eastAsia" w:cs="Times New Roman"/>
                      <w:color w:val="auto"/>
                      <w:sz w:val="21"/>
                      <w:szCs w:val="21"/>
                      <w:lang w:val="en-US" w:eastAsia="zh-CN"/>
                    </w:rPr>
                    <w:t>为</w:t>
                  </w:r>
                  <w:r>
                    <w:rPr>
                      <w:rFonts w:hint="default" w:ascii="Times New Roman" w:hAnsi="Times New Roman" w:eastAsia="宋体" w:cs="Times New Roman"/>
                      <w:color w:val="auto"/>
                      <w:sz w:val="21"/>
                      <w:szCs w:val="21"/>
                      <w:lang w:val="en-US" w:eastAsia="zh-CN"/>
                    </w:rPr>
                    <w:t>生产用水</w:t>
                  </w:r>
                  <w:r>
                    <w:rPr>
                      <w:rFonts w:hint="eastAsia" w:cs="Times New Roman"/>
                      <w:color w:val="auto"/>
                      <w:sz w:val="21"/>
                      <w:szCs w:val="21"/>
                      <w:lang w:val="en-US" w:eastAsia="zh-CN"/>
                    </w:rPr>
                    <w:t>、生活用水</w:t>
                  </w: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kern w:val="24"/>
                      <w:sz w:val="21"/>
                      <w:szCs w:val="21"/>
                      <w:highlight w:val="none"/>
                    </w:rPr>
                    <w:t>用水主要</w:t>
                  </w:r>
                  <w:r>
                    <w:rPr>
                      <w:rFonts w:hint="eastAsia" w:cs="Times New Roman"/>
                      <w:color w:val="auto"/>
                      <w:kern w:val="24"/>
                      <w:sz w:val="21"/>
                      <w:szCs w:val="21"/>
                      <w:highlight w:val="none"/>
                      <w:lang w:eastAsia="zh-CN"/>
                    </w:rPr>
                    <w:t>为</w:t>
                  </w:r>
                  <w:r>
                    <w:rPr>
                      <w:rFonts w:hint="eastAsia"/>
                      <w:color w:val="auto"/>
                      <w:kern w:val="24"/>
                      <w:sz w:val="21"/>
                      <w:szCs w:val="21"/>
                      <w:highlight w:val="none"/>
                    </w:rPr>
                    <w:t>上料仓喷淋</w:t>
                  </w:r>
                  <w:r>
                    <w:rPr>
                      <w:rFonts w:hint="default" w:ascii="Times New Roman" w:hAnsi="Times New Roman" w:eastAsia="宋体" w:cs="Times New Roman"/>
                      <w:color w:val="auto"/>
                      <w:kern w:val="24"/>
                      <w:sz w:val="21"/>
                      <w:szCs w:val="21"/>
                      <w:highlight w:val="none"/>
                    </w:rPr>
                    <w:t>、</w:t>
                  </w:r>
                  <w:r>
                    <w:rPr>
                      <w:rFonts w:hint="eastAsia" w:cs="Times New Roman"/>
                      <w:color w:val="auto"/>
                      <w:kern w:val="24"/>
                      <w:sz w:val="21"/>
                      <w:szCs w:val="21"/>
                      <w:highlight w:val="none"/>
                      <w:lang w:eastAsia="zh-CN"/>
                    </w:rPr>
                    <w:t>车间及厂区内抑尘</w:t>
                  </w:r>
                  <w:r>
                    <w:rPr>
                      <w:rFonts w:hint="default" w:ascii="Times New Roman" w:hAnsi="Times New Roman" w:eastAsia="宋体" w:cs="Times New Roman"/>
                      <w:color w:val="auto"/>
                      <w:kern w:val="24"/>
                      <w:sz w:val="21"/>
                      <w:szCs w:val="21"/>
                      <w:highlight w:val="none"/>
                    </w:rPr>
                    <w:t>、</w:t>
                  </w:r>
                  <w:r>
                    <w:rPr>
                      <w:rFonts w:hint="eastAsia" w:cs="Times New Roman"/>
                      <w:color w:val="auto"/>
                      <w:kern w:val="24"/>
                      <w:sz w:val="21"/>
                      <w:szCs w:val="21"/>
                      <w:highlight w:val="none"/>
                      <w:lang w:eastAsia="zh-CN"/>
                    </w:rPr>
                    <w:t>球磨、车辆清洗</w:t>
                  </w:r>
                  <w:r>
                    <w:rPr>
                      <w:rFonts w:hint="default" w:ascii="Times New Roman" w:hAnsi="Times New Roman" w:eastAsia="宋体" w:cs="Times New Roman"/>
                      <w:color w:val="auto"/>
                      <w:kern w:val="24"/>
                      <w:sz w:val="21"/>
                      <w:szCs w:val="21"/>
                      <w:highlight w:val="none"/>
                    </w:rPr>
                    <w:t>等</w:t>
                  </w:r>
                  <w:r>
                    <w:rPr>
                      <w:rFonts w:hint="eastAsia" w:ascii="Times New Roman" w:hAnsi="Times New Roman" w:eastAsia="宋体" w:cs="Times New Roman"/>
                      <w:color w:val="auto"/>
                      <w:kern w:val="24"/>
                      <w:sz w:val="21"/>
                      <w:szCs w:val="21"/>
                      <w:highlight w:val="none"/>
                      <w:lang w:eastAsia="zh-CN"/>
                    </w:rPr>
                    <w:t>；</w:t>
                  </w:r>
                  <w:r>
                    <w:rPr>
                      <w:rFonts w:hint="eastAsia"/>
                      <w:color w:val="auto"/>
                      <w:kern w:val="24"/>
                      <w:sz w:val="21"/>
                      <w:szCs w:val="21"/>
                      <w:highlight w:val="none"/>
                      <w:lang w:eastAsia="zh-CN"/>
                    </w:rPr>
                    <w:t>上料仓喷淋用水，全部进入物料；厂区及车间内抑尘用水，全部蒸发；</w:t>
                  </w:r>
                  <w:r>
                    <w:rPr>
                      <w:rFonts w:hint="eastAsia"/>
                      <w:color w:val="auto"/>
                      <w:sz w:val="21"/>
                      <w:szCs w:val="21"/>
                    </w:rPr>
                    <w:t>球磨后物料</w:t>
                  </w:r>
                  <w:r>
                    <w:rPr>
                      <w:rFonts w:hint="eastAsia"/>
                      <w:color w:val="auto"/>
                      <w:sz w:val="21"/>
                      <w:szCs w:val="21"/>
                      <w:lang w:eastAsia="zh-CN"/>
                    </w:rPr>
                    <w:t>带走部分水量，剩余部分物料随水</w:t>
                  </w:r>
                  <w:r>
                    <w:rPr>
                      <w:rFonts w:hint="eastAsia"/>
                      <w:color w:val="auto"/>
                      <w:sz w:val="21"/>
                      <w:szCs w:val="21"/>
                    </w:rPr>
                    <w:t>进入</w:t>
                  </w:r>
                  <w:r>
                    <w:rPr>
                      <w:rFonts w:hint="default"/>
                      <w:color w:val="auto"/>
                      <w:sz w:val="21"/>
                      <w:szCs w:val="21"/>
                    </w:rPr>
                    <w:t>盘式过滤机过滤</w:t>
                  </w:r>
                  <w:r>
                    <w:rPr>
                      <w:rFonts w:hint="eastAsia"/>
                      <w:color w:val="auto"/>
                      <w:sz w:val="21"/>
                      <w:szCs w:val="21"/>
                    </w:rPr>
                    <w:t>，</w:t>
                  </w:r>
                  <w:r>
                    <w:rPr>
                      <w:rFonts w:hint="eastAsia"/>
                      <w:color w:val="auto"/>
                      <w:sz w:val="21"/>
                      <w:szCs w:val="21"/>
                      <w:lang w:eastAsia="zh-CN"/>
                    </w:rPr>
                    <w:t>过滤后废水排入沉淀池</w:t>
                  </w:r>
                  <w:r>
                    <w:rPr>
                      <w:color w:val="auto"/>
                      <w:sz w:val="21"/>
                      <w:szCs w:val="21"/>
                    </w:rPr>
                    <w:t>后</w:t>
                  </w:r>
                  <w:r>
                    <w:rPr>
                      <w:rFonts w:hint="eastAsia"/>
                      <w:color w:val="auto"/>
                      <w:sz w:val="21"/>
                      <w:szCs w:val="21"/>
                    </w:rPr>
                    <w:t>通过水泵</w:t>
                  </w:r>
                  <w:r>
                    <w:rPr>
                      <w:rFonts w:hint="eastAsia"/>
                      <w:color w:val="auto"/>
                      <w:sz w:val="21"/>
                      <w:szCs w:val="21"/>
                      <w:lang w:eastAsia="zh-CN"/>
                    </w:rPr>
                    <w:t>排</w:t>
                  </w:r>
                  <w:r>
                    <w:rPr>
                      <w:rFonts w:hint="eastAsia"/>
                      <w:color w:val="auto"/>
                      <w:sz w:val="21"/>
                      <w:szCs w:val="21"/>
                    </w:rPr>
                    <w:t>入球磨机</w:t>
                  </w:r>
                  <w:r>
                    <w:rPr>
                      <w:rFonts w:hint="eastAsia"/>
                      <w:color w:val="auto"/>
                      <w:sz w:val="21"/>
                      <w:szCs w:val="21"/>
                      <w:lang w:eastAsia="zh-CN"/>
                    </w:rPr>
                    <w:t>，循环使用</w:t>
                  </w:r>
                  <w:r>
                    <w:rPr>
                      <w:color w:val="auto"/>
                      <w:sz w:val="21"/>
                      <w:szCs w:val="21"/>
                    </w:rPr>
                    <w:t>，无废水外排</w:t>
                  </w:r>
                  <w:r>
                    <w:rPr>
                      <w:rFonts w:hint="eastAsia"/>
                      <w:color w:val="auto"/>
                      <w:sz w:val="21"/>
                      <w:szCs w:val="21"/>
                      <w:highlight w:val="none"/>
                      <w:lang w:eastAsia="zh-CN"/>
                    </w:rPr>
                    <w:t>；车辆清洗废水排入配套沉淀池内进行沉淀，经沉淀后回用车辆清洗</w:t>
                  </w:r>
                  <w:r>
                    <w:rPr>
                      <w:rFonts w:hint="eastAsia" w:ascii="宋体" w:hAnsi="宋体" w:cs="宋体"/>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rPr>
                    <w:t>本项目</w:t>
                  </w:r>
                  <w:r>
                    <w:rPr>
                      <w:rFonts w:hint="eastAsia" w:cs="Times New Roman"/>
                      <w:color w:val="auto"/>
                      <w:sz w:val="21"/>
                      <w:szCs w:val="21"/>
                      <w:highlight w:val="none"/>
                      <w:lang w:val="en-US" w:eastAsia="zh-CN"/>
                    </w:rPr>
                    <w:t>新增员工</w:t>
                  </w:r>
                  <w:r>
                    <w:rPr>
                      <w:rFonts w:hint="eastAsia" w:cs="Times New Roman"/>
                      <w:bCs/>
                      <w:color w:val="auto"/>
                      <w:sz w:val="21"/>
                      <w:szCs w:val="21"/>
                      <w:highlight w:val="none"/>
                      <w:lang w:eastAsia="zh-CN"/>
                    </w:rPr>
                    <w:t>为附近居民，因此，不在项目区内设置</w:t>
                  </w:r>
                  <w:r>
                    <w:rPr>
                      <w:rFonts w:hint="default" w:ascii="Times New Roman" w:hAnsi="Times New Roman" w:cs="Times New Roman"/>
                      <w:color w:val="auto"/>
                      <w:sz w:val="21"/>
                      <w:szCs w:val="21"/>
                      <w:lang w:val="en-US" w:eastAsia="zh-CN"/>
                    </w:rPr>
                    <w:t>食堂、洗浴设施等</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kern w:val="24"/>
                      <w:sz w:val="21"/>
                      <w:szCs w:val="21"/>
                      <w:highlight w:val="none"/>
                      <w:lang w:val="en-US" w:eastAsia="zh-CN"/>
                    </w:rPr>
                    <w:t>生活污水产生量较少，</w:t>
                  </w:r>
                  <w:r>
                    <w:rPr>
                      <w:rFonts w:hint="eastAsia" w:cs="Times New Roman"/>
                      <w:color w:val="auto"/>
                      <w:kern w:val="24"/>
                      <w:sz w:val="21"/>
                      <w:szCs w:val="21"/>
                      <w:highlight w:val="none"/>
                      <w:lang w:val="en-US" w:eastAsia="zh-CN"/>
                    </w:rPr>
                    <w:t>排入化粪池，定期清掏用作农肥使用。</w:t>
                  </w:r>
                </w:p>
              </w:tc>
              <w:tc>
                <w:tcPr>
                  <w:tcW w:w="730" w:type="dxa"/>
                  <w:tcBorders>
                    <w:tl2br w:val="nil"/>
                    <w:tr2bl w:val="nil"/>
                  </w:tcBorders>
                  <w:vAlign w:val="center"/>
                </w:tcPr>
                <w:p w14:paraId="1A3195E5">
                  <w:pPr>
                    <w:adjustRightIn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1E24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25" w:type="dxa"/>
                  <w:vMerge w:val="continue"/>
                  <w:tcBorders>
                    <w:tl2br w:val="nil"/>
                    <w:tr2bl w:val="nil"/>
                  </w:tcBorders>
                  <w:vAlign w:val="center"/>
                </w:tcPr>
                <w:p w14:paraId="25801D22">
                  <w:pPr>
                    <w:widowControl/>
                    <w:autoSpaceDE/>
                    <w:autoSpaceDN/>
                    <w:adjustRightInd w:val="0"/>
                    <w:snapToGrid w:val="0"/>
                    <w:spacing w:before="100" w:after="100" w:line="240" w:lineRule="auto"/>
                    <w:ind w:left="-120" w:leftChars="-50"/>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11D6FD7C">
                  <w:pPr>
                    <w:autoSpaceDE/>
                    <w:autoSpaceDN/>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供暖</w:t>
                  </w:r>
                  <w:r>
                    <w:rPr>
                      <w:rFonts w:hint="default" w:ascii="Times New Roman" w:hAnsi="Times New Roman" w:eastAsia="宋体" w:cs="Times New Roman"/>
                      <w:color w:val="auto"/>
                      <w:sz w:val="21"/>
                      <w:szCs w:val="21"/>
                      <w:highlight w:val="none"/>
                      <w:lang w:eastAsia="zh-CN"/>
                    </w:rPr>
                    <w:t>系统</w:t>
                  </w:r>
                </w:p>
              </w:tc>
              <w:tc>
                <w:tcPr>
                  <w:tcW w:w="5068" w:type="dxa"/>
                  <w:tcBorders>
                    <w:tl2br w:val="nil"/>
                    <w:tr2bl w:val="nil"/>
                  </w:tcBorders>
                  <w:vAlign w:val="center"/>
                </w:tcPr>
                <w:p w14:paraId="3BED9D8C">
                  <w:pPr>
                    <w:adjustRightInd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本项目生产不用热，办公室取暖由单体空调提供</w:t>
                  </w:r>
                </w:p>
              </w:tc>
              <w:tc>
                <w:tcPr>
                  <w:tcW w:w="730" w:type="dxa"/>
                  <w:tcBorders>
                    <w:tl2br w:val="nil"/>
                    <w:tr2bl w:val="nil"/>
                  </w:tcBorders>
                  <w:vAlign w:val="center"/>
                </w:tcPr>
                <w:p w14:paraId="5A2D7AC6">
                  <w:pPr>
                    <w:adjustRightIn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79A3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25" w:type="dxa"/>
                  <w:vMerge w:val="continue"/>
                  <w:tcBorders>
                    <w:tl2br w:val="nil"/>
                    <w:tr2bl w:val="nil"/>
                  </w:tcBorders>
                  <w:vAlign w:val="center"/>
                </w:tcPr>
                <w:p w14:paraId="32633D5B">
                  <w:pPr>
                    <w:widowControl/>
                    <w:autoSpaceDE/>
                    <w:autoSpaceDN/>
                    <w:adjustRightInd w:val="0"/>
                    <w:snapToGrid w:val="0"/>
                    <w:spacing w:before="100" w:after="100" w:line="240" w:lineRule="auto"/>
                    <w:ind w:left="-120" w:leftChars="-50"/>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45694D21">
                  <w:pPr>
                    <w:autoSpaceDE/>
                    <w:autoSpaceDN/>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供电系统</w:t>
                  </w:r>
                </w:p>
              </w:tc>
              <w:tc>
                <w:tcPr>
                  <w:tcW w:w="5068" w:type="dxa"/>
                  <w:tcBorders>
                    <w:tl2br w:val="nil"/>
                    <w:tr2bl w:val="nil"/>
                  </w:tcBorders>
                  <w:vAlign w:val="center"/>
                </w:tcPr>
                <w:p w14:paraId="2A231D06">
                  <w:pPr>
                    <w:adjustRightIn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自备变压器</w:t>
                  </w:r>
                </w:p>
              </w:tc>
              <w:tc>
                <w:tcPr>
                  <w:tcW w:w="730" w:type="dxa"/>
                  <w:tcBorders>
                    <w:tl2br w:val="nil"/>
                    <w:tr2bl w:val="nil"/>
                  </w:tcBorders>
                  <w:vAlign w:val="center"/>
                </w:tcPr>
                <w:p w14:paraId="20D613A9">
                  <w:pPr>
                    <w:adjustRightIn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0202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jc w:val="center"/>
              </w:trPr>
              <w:tc>
                <w:tcPr>
                  <w:tcW w:w="1325" w:type="dxa"/>
                  <w:vMerge w:val="restart"/>
                  <w:tcBorders>
                    <w:tl2br w:val="nil"/>
                    <w:tr2bl w:val="nil"/>
                  </w:tcBorders>
                  <w:vAlign w:val="center"/>
                </w:tcPr>
                <w:p w14:paraId="2B8EF6CD">
                  <w:pPr>
                    <w:autoSpaceDE/>
                    <w:autoSpaceDN/>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1456" w:type="dxa"/>
                  <w:tcBorders>
                    <w:tl2br w:val="nil"/>
                    <w:tr2bl w:val="nil"/>
                  </w:tcBorders>
                  <w:vAlign w:val="center"/>
                </w:tcPr>
                <w:p w14:paraId="6CBE69C5">
                  <w:pPr>
                    <w:autoSpaceDE/>
                    <w:autoSpaceDN/>
                    <w:adjustRightInd w:val="0"/>
                    <w:snapToGrid w:val="0"/>
                    <w:spacing w:line="240" w:lineRule="auto"/>
                    <w:ind w:right="-120" w:rightChars="-5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废气治理设施</w:t>
                  </w:r>
                </w:p>
              </w:tc>
              <w:tc>
                <w:tcPr>
                  <w:tcW w:w="5068" w:type="dxa"/>
                  <w:tcBorders>
                    <w:tl2br w:val="nil"/>
                    <w:tr2bl w:val="nil"/>
                  </w:tcBorders>
                  <w:vAlign w:val="center"/>
                </w:tcPr>
                <w:p w14:paraId="2B721FEE">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shd w:val="clear" w:color="auto" w:fill="auto"/>
                      <w:lang w:eastAsia="zh-CN"/>
                    </w:rPr>
                    <w:t>皮带运输机密闭；</w:t>
                  </w:r>
                  <w:r>
                    <w:rPr>
                      <w:rFonts w:hint="eastAsia" w:cs="Times New Roman"/>
                      <w:b w:val="0"/>
                      <w:bCs w:val="0"/>
                      <w:color w:val="auto"/>
                      <w:sz w:val="21"/>
                      <w:szCs w:val="21"/>
                      <w:highlight w:val="none"/>
                      <w:shd w:val="clear" w:color="auto" w:fill="auto"/>
                      <w:lang w:eastAsia="zh-CN"/>
                    </w:rPr>
                    <w:t>原料车间、封闭式成品车间内</w:t>
                  </w:r>
                  <w:r>
                    <w:rPr>
                      <w:rFonts w:hint="default" w:ascii="Times New Roman" w:hAnsi="Times New Roman" w:eastAsia="宋体" w:cs="Times New Roman"/>
                      <w:b w:val="0"/>
                      <w:bCs w:val="0"/>
                      <w:color w:val="auto"/>
                      <w:sz w:val="21"/>
                      <w:szCs w:val="21"/>
                      <w:highlight w:val="none"/>
                      <w:shd w:val="clear" w:color="auto" w:fill="auto"/>
                      <w:lang w:eastAsia="zh-CN"/>
                    </w:rPr>
                    <w:t>定时洒水抑尘；厂区地面硬化，出入口设置</w:t>
                  </w:r>
                  <w:r>
                    <w:rPr>
                      <w:rFonts w:hint="eastAsia" w:cs="Times New Roman"/>
                      <w:b w:val="0"/>
                      <w:bCs w:val="0"/>
                      <w:color w:val="auto"/>
                      <w:sz w:val="21"/>
                      <w:szCs w:val="21"/>
                      <w:highlight w:val="none"/>
                      <w:shd w:val="clear" w:color="auto" w:fill="auto"/>
                      <w:lang w:eastAsia="zh-CN"/>
                    </w:rPr>
                    <w:t>洗车平台，对进出车辆进行清洗</w:t>
                  </w:r>
                  <w:r>
                    <w:rPr>
                      <w:rFonts w:hint="eastAsia" w:ascii="Times New Roman" w:hAnsi="Times New Roman" w:eastAsia="宋体" w:cs="Times New Roman"/>
                      <w:b w:val="0"/>
                      <w:bCs w:val="0"/>
                      <w:color w:val="auto"/>
                      <w:sz w:val="21"/>
                      <w:szCs w:val="21"/>
                      <w:highlight w:val="none"/>
                      <w:shd w:val="clear" w:color="auto" w:fill="auto"/>
                      <w:lang w:eastAsia="zh-CN"/>
                    </w:rPr>
                    <w:t>；振动筛、1#磁滑轮、滚筒筛及2#磁滑轮进、出料料口上集尘罩+脉冲布袋除尘器+20米高排气筒（DA001）</w:t>
                  </w:r>
                </w:p>
              </w:tc>
              <w:tc>
                <w:tcPr>
                  <w:tcW w:w="730" w:type="dxa"/>
                  <w:tcBorders>
                    <w:tl2br w:val="nil"/>
                    <w:tr2bl w:val="nil"/>
                  </w:tcBorders>
                  <w:vAlign w:val="center"/>
                </w:tcPr>
                <w:p w14:paraId="41303059">
                  <w:pPr>
                    <w:widowControl/>
                    <w:autoSpaceDE/>
                    <w:autoSpaceDN/>
                    <w:spacing w:line="240" w:lineRule="auto"/>
                    <w:rPr>
                      <w:rFonts w:hint="default" w:ascii="Times New Roman" w:hAnsi="Times New Roman" w:eastAsia="宋体" w:cs="Times New Roman"/>
                      <w:color w:val="auto"/>
                      <w:kern w:val="24"/>
                      <w:sz w:val="21"/>
                      <w:szCs w:val="21"/>
                      <w:highlight w:val="none"/>
                      <w:lang w:val="en-US"/>
                    </w:rPr>
                  </w:pPr>
                  <w:r>
                    <w:rPr>
                      <w:rFonts w:hint="default" w:ascii="Times New Roman" w:hAnsi="Times New Roman" w:eastAsia="宋体" w:cs="Times New Roman"/>
                      <w:color w:val="auto"/>
                      <w:sz w:val="21"/>
                      <w:szCs w:val="21"/>
                      <w:highlight w:val="none"/>
                    </w:rPr>
                    <w:t>新建</w:t>
                  </w:r>
                </w:p>
              </w:tc>
            </w:tr>
            <w:tr w14:paraId="0189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5" w:type="dxa"/>
                  <w:vMerge w:val="continue"/>
                  <w:tcBorders>
                    <w:tl2br w:val="nil"/>
                    <w:tr2bl w:val="nil"/>
                  </w:tcBorders>
                  <w:vAlign w:val="center"/>
                </w:tcPr>
                <w:p w14:paraId="4D959078">
                  <w:pPr>
                    <w:autoSpaceDE/>
                    <w:autoSpaceDN/>
                    <w:adjustRightInd w:val="0"/>
                    <w:snapToGrid w:val="0"/>
                    <w:spacing w:line="240" w:lineRule="auto"/>
                    <w:ind w:left="-120" w:leftChars="-50" w:right="-120" w:rightChars="-50"/>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03F8C288">
                  <w:pPr>
                    <w:autoSpaceDE/>
                    <w:autoSpaceDN/>
                    <w:adjustRightInd w:val="0"/>
                    <w:snapToGrid w:val="0"/>
                    <w:spacing w:line="240" w:lineRule="auto"/>
                    <w:ind w:right="-120" w:rightChars="-5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废水治理设施</w:t>
                  </w:r>
                </w:p>
              </w:tc>
              <w:tc>
                <w:tcPr>
                  <w:tcW w:w="5068" w:type="dxa"/>
                  <w:tcBorders>
                    <w:tl2br w:val="nil"/>
                    <w:tr2bl w:val="nil"/>
                  </w:tcBorders>
                  <w:vAlign w:val="center"/>
                </w:tcPr>
                <w:p w14:paraId="1D3D16CB">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4"/>
                      <w:sz w:val="21"/>
                      <w:szCs w:val="21"/>
                      <w:highlight w:val="none"/>
                    </w:rPr>
                    <w:t>本项目投入使用后，</w:t>
                  </w:r>
                  <w:r>
                    <w:rPr>
                      <w:rFonts w:hint="default" w:ascii="Times New Roman" w:hAnsi="Times New Roman" w:eastAsia="宋体" w:cs="Times New Roman"/>
                      <w:color w:val="auto"/>
                      <w:sz w:val="21"/>
                      <w:szCs w:val="21"/>
                      <w:lang w:val="en-US" w:eastAsia="zh-CN"/>
                    </w:rPr>
                    <w:t>用水</w:t>
                  </w:r>
                  <w:r>
                    <w:rPr>
                      <w:rFonts w:hint="eastAsia" w:cs="Times New Roman"/>
                      <w:color w:val="auto"/>
                      <w:sz w:val="21"/>
                      <w:szCs w:val="21"/>
                      <w:lang w:val="en-US" w:eastAsia="zh-CN"/>
                    </w:rPr>
                    <w:t>为</w:t>
                  </w:r>
                  <w:r>
                    <w:rPr>
                      <w:rFonts w:hint="default" w:ascii="Times New Roman" w:hAnsi="Times New Roman" w:eastAsia="宋体" w:cs="Times New Roman"/>
                      <w:color w:val="auto"/>
                      <w:sz w:val="21"/>
                      <w:szCs w:val="21"/>
                      <w:lang w:val="en-US" w:eastAsia="zh-CN"/>
                    </w:rPr>
                    <w:t>生产用水</w:t>
                  </w:r>
                  <w:r>
                    <w:rPr>
                      <w:rFonts w:hint="eastAsia" w:cs="Times New Roman"/>
                      <w:color w:val="auto"/>
                      <w:sz w:val="21"/>
                      <w:szCs w:val="21"/>
                      <w:lang w:val="en-US" w:eastAsia="zh-CN"/>
                    </w:rPr>
                    <w:t>、生活用水</w:t>
                  </w: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kern w:val="24"/>
                      <w:sz w:val="21"/>
                      <w:szCs w:val="21"/>
                      <w:highlight w:val="none"/>
                    </w:rPr>
                    <w:t>用水主要</w:t>
                  </w:r>
                  <w:r>
                    <w:rPr>
                      <w:rFonts w:hint="eastAsia" w:cs="Times New Roman"/>
                      <w:color w:val="auto"/>
                      <w:kern w:val="24"/>
                      <w:sz w:val="21"/>
                      <w:szCs w:val="21"/>
                      <w:highlight w:val="none"/>
                      <w:lang w:eastAsia="zh-CN"/>
                    </w:rPr>
                    <w:t>为</w:t>
                  </w:r>
                  <w:r>
                    <w:rPr>
                      <w:rFonts w:hint="eastAsia"/>
                      <w:color w:val="auto"/>
                      <w:kern w:val="24"/>
                      <w:sz w:val="21"/>
                      <w:szCs w:val="21"/>
                      <w:highlight w:val="none"/>
                    </w:rPr>
                    <w:t>上料仓喷淋</w:t>
                  </w:r>
                  <w:r>
                    <w:rPr>
                      <w:rFonts w:hint="default" w:ascii="Times New Roman" w:hAnsi="Times New Roman" w:eastAsia="宋体" w:cs="Times New Roman"/>
                      <w:color w:val="auto"/>
                      <w:kern w:val="24"/>
                      <w:sz w:val="21"/>
                      <w:szCs w:val="21"/>
                      <w:highlight w:val="none"/>
                    </w:rPr>
                    <w:t>、</w:t>
                  </w:r>
                  <w:r>
                    <w:rPr>
                      <w:rFonts w:hint="eastAsia" w:cs="Times New Roman"/>
                      <w:color w:val="auto"/>
                      <w:kern w:val="24"/>
                      <w:sz w:val="21"/>
                      <w:szCs w:val="21"/>
                      <w:highlight w:val="none"/>
                      <w:lang w:eastAsia="zh-CN"/>
                    </w:rPr>
                    <w:t>车间及厂区内抑尘</w:t>
                  </w:r>
                  <w:r>
                    <w:rPr>
                      <w:rFonts w:hint="default" w:ascii="Times New Roman" w:hAnsi="Times New Roman" w:eastAsia="宋体" w:cs="Times New Roman"/>
                      <w:color w:val="auto"/>
                      <w:kern w:val="24"/>
                      <w:sz w:val="21"/>
                      <w:szCs w:val="21"/>
                      <w:highlight w:val="none"/>
                    </w:rPr>
                    <w:t>、</w:t>
                  </w:r>
                  <w:r>
                    <w:rPr>
                      <w:rFonts w:hint="eastAsia" w:cs="Times New Roman"/>
                      <w:color w:val="auto"/>
                      <w:kern w:val="24"/>
                      <w:sz w:val="21"/>
                      <w:szCs w:val="21"/>
                      <w:highlight w:val="none"/>
                      <w:lang w:eastAsia="zh-CN"/>
                    </w:rPr>
                    <w:t>球磨、车辆清洗</w:t>
                  </w:r>
                  <w:r>
                    <w:rPr>
                      <w:rFonts w:hint="default" w:ascii="Times New Roman" w:hAnsi="Times New Roman" w:eastAsia="宋体" w:cs="Times New Roman"/>
                      <w:color w:val="auto"/>
                      <w:kern w:val="24"/>
                      <w:sz w:val="21"/>
                      <w:szCs w:val="21"/>
                      <w:highlight w:val="none"/>
                    </w:rPr>
                    <w:t>等</w:t>
                  </w:r>
                  <w:r>
                    <w:rPr>
                      <w:rFonts w:hint="eastAsia" w:ascii="Times New Roman" w:hAnsi="Times New Roman" w:eastAsia="宋体" w:cs="Times New Roman"/>
                      <w:color w:val="auto"/>
                      <w:kern w:val="24"/>
                      <w:sz w:val="21"/>
                      <w:szCs w:val="21"/>
                      <w:highlight w:val="none"/>
                      <w:lang w:eastAsia="zh-CN"/>
                    </w:rPr>
                    <w:t>；</w:t>
                  </w:r>
                  <w:r>
                    <w:rPr>
                      <w:rFonts w:hint="eastAsia"/>
                      <w:color w:val="auto"/>
                      <w:kern w:val="24"/>
                      <w:sz w:val="21"/>
                      <w:szCs w:val="21"/>
                      <w:highlight w:val="none"/>
                      <w:lang w:eastAsia="zh-CN"/>
                    </w:rPr>
                    <w:t>上料仓喷淋用水，全部进入物料；厂区及车间内抑尘用水，全部蒸发；</w:t>
                  </w:r>
                  <w:r>
                    <w:rPr>
                      <w:rFonts w:hint="eastAsia"/>
                      <w:color w:val="auto"/>
                      <w:sz w:val="21"/>
                      <w:szCs w:val="21"/>
                    </w:rPr>
                    <w:t>球磨后物料</w:t>
                  </w:r>
                  <w:r>
                    <w:rPr>
                      <w:rFonts w:hint="eastAsia"/>
                      <w:color w:val="auto"/>
                      <w:sz w:val="21"/>
                      <w:szCs w:val="21"/>
                      <w:lang w:eastAsia="zh-CN"/>
                    </w:rPr>
                    <w:t>带走部分水量，剩余部分物料随水</w:t>
                  </w:r>
                  <w:r>
                    <w:rPr>
                      <w:rFonts w:hint="eastAsia"/>
                      <w:color w:val="auto"/>
                      <w:sz w:val="21"/>
                      <w:szCs w:val="21"/>
                    </w:rPr>
                    <w:t>进入</w:t>
                  </w:r>
                  <w:r>
                    <w:rPr>
                      <w:rFonts w:hint="default"/>
                      <w:color w:val="auto"/>
                      <w:sz w:val="21"/>
                      <w:szCs w:val="21"/>
                    </w:rPr>
                    <w:t>盘式过滤机过滤</w:t>
                  </w:r>
                  <w:r>
                    <w:rPr>
                      <w:rFonts w:hint="eastAsia"/>
                      <w:color w:val="auto"/>
                      <w:sz w:val="21"/>
                      <w:szCs w:val="21"/>
                    </w:rPr>
                    <w:t>，</w:t>
                  </w:r>
                  <w:r>
                    <w:rPr>
                      <w:rFonts w:hint="eastAsia"/>
                      <w:color w:val="auto"/>
                      <w:sz w:val="21"/>
                      <w:szCs w:val="21"/>
                      <w:lang w:eastAsia="zh-CN"/>
                    </w:rPr>
                    <w:t>过滤后废水排入沉淀池</w:t>
                  </w:r>
                  <w:r>
                    <w:rPr>
                      <w:color w:val="auto"/>
                      <w:sz w:val="21"/>
                      <w:szCs w:val="21"/>
                    </w:rPr>
                    <w:t>后</w:t>
                  </w:r>
                  <w:r>
                    <w:rPr>
                      <w:rFonts w:hint="eastAsia"/>
                      <w:color w:val="auto"/>
                      <w:sz w:val="21"/>
                      <w:szCs w:val="21"/>
                    </w:rPr>
                    <w:t>通过水泵</w:t>
                  </w:r>
                  <w:r>
                    <w:rPr>
                      <w:rFonts w:hint="eastAsia"/>
                      <w:color w:val="auto"/>
                      <w:sz w:val="21"/>
                      <w:szCs w:val="21"/>
                      <w:lang w:eastAsia="zh-CN"/>
                    </w:rPr>
                    <w:t>排</w:t>
                  </w:r>
                  <w:r>
                    <w:rPr>
                      <w:rFonts w:hint="eastAsia"/>
                      <w:color w:val="auto"/>
                      <w:sz w:val="21"/>
                      <w:szCs w:val="21"/>
                    </w:rPr>
                    <w:t>入球磨机</w:t>
                  </w:r>
                  <w:r>
                    <w:rPr>
                      <w:rFonts w:hint="eastAsia"/>
                      <w:color w:val="auto"/>
                      <w:sz w:val="21"/>
                      <w:szCs w:val="21"/>
                      <w:lang w:eastAsia="zh-CN"/>
                    </w:rPr>
                    <w:t>，循环使用</w:t>
                  </w:r>
                  <w:r>
                    <w:rPr>
                      <w:color w:val="auto"/>
                      <w:sz w:val="21"/>
                      <w:szCs w:val="21"/>
                    </w:rPr>
                    <w:t>，无废水外排</w:t>
                  </w:r>
                  <w:r>
                    <w:rPr>
                      <w:rFonts w:hint="eastAsia"/>
                      <w:color w:val="auto"/>
                      <w:sz w:val="21"/>
                      <w:szCs w:val="21"/>
                      <w:highlight w:val="none"/>
                      <w:lang w:eastAsia="zh-CN"/>
                    </w:rPr>
                    <w:t>；车辆清洗废水排入配套沉淀池内进行沉淀，经沉淀后回用车辆清洗</w:t>
                  </w:r>
                  <w:r>
                    <w:rPr>
                      <w:rFonts w:hint="eastAsia" w:ascii="宋体" w:hAnsi="宋体" w:cs="宋体"/>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rPr>
                    <w:t>本项目</w:t>
                  </w:r>
                  <w:r>
                    <w:rPr>
                      <w:rFonts w:hint="eastAsia" w:cs="Times New Roman"/>
                      <w:color w:val="auto"/>
                      <w:sz w:val="21"/>
                      <w:szCs w:val="21"/>
                      <w:highlight w:val="none"/>
                      <w:lang w:val="en-US" w:eastAsia="zh-CN"/>
                    </w:rPr>
                    <w:t>新增员工</w:t>
                  </w:r>
                  <w:r>
                    <w:rPr>
                      <w:rFonts w:hint="eastAsia" w:cs="Times New Roman"/>
                      <w:bCs/>
                      <w:color w:val="auto"/>
                      <w:sz w:val="21"/>
                      <w:szCs w:val="21"/>
                      <w:highlight w:val="none"/>
                      <w:lang w:eastAsia="zh-CN"/>
                    </w:rPr>
                    <w:t>为附近居民，因此，不在项目区内设置</w:t>
                  </w:r>
                  <w:r>
                    <w:rPr>
                      <w:rFonts w:hint="default" w:ascii="Times New Roman" w:hAnsi="Times New Roman" w:cs="Times New Roman"/>
                      <w:color w:val="auto"/>
                      <w:sz w:val="21"/>
                      <w:szCs w:val="21"/>
                      <w:lang w:val="en-US" w:eastAsia="zh-CN"/>
                    </w:rPr>
                    <w:t>食堂、洗浴设施等</w:t>
                  </w:r>
                  <w:r>
                    <w:rPr>
                      <w:rFonts w:hint="default" w:ascii="Times New Roman" w:hAnsi="Times New Roman" w:eastAsia="宋体" w:cs="Times New Roman"/>
                      <w:color w:val="auto"/>
                      <w:sz w:val="21"/>
                      <w:szCs w:val="21"/>
                      <w:highlight w:val="none"/>
                      <w:lang w:val="en-US"/>
                    </w:rPr>
                    <w:t>，</w:t>
                  </w:r>
                  <w:r>
                    <w:rPr>
                      <w:rFonts w:hint="default" w:ascii="Times New Roman" w:hAnsi="Times New Roman" w:eastAsia="宋体" w:cs="Times New Roman"/>
                      <w:color w:val="auto"/>
                      <w:kern w:val="24"/>
                      <w:sz w:val="21"/>
                      <w:szCs w:val="21"/>
                      <w:highlight w:val="none"/>
                      <w:lang w:val="en-US" w:eastAsia="zh-CN"/>
                    </w:rPr>
                    <w:t>生活污水产生量较少，</w:t>
                  </w:r>
                  <w:r>
                    <w:rPr>
                      <w:rFonts w:hint="eastAsia" w:cs="Times New Roman"/>
                      <w:color w:val="auto"/>
                      <w:kern w:val="24"/>
                      <w:sz w:val="21"/>
                      <w:szCs w:val="21"/>
                      <w:highlight w:val="none"/>
                      <w:lang w:val="en-US" w:eastAsia="zh-CN"/>
                    </w:rPr>
                    <w:t>排入化粪池，定期清掏用作农肥。</w:t>
                  </w:r>
                </w:p>
              </w:tc>
              <w:tc>
                <w:tcPr>
                  <w:tcW w:w="730" w:type="dxa"/>
                  <w:tcBorders>
                    <w:tl2br w:val="nil"/>
                    <w:tr2bl w:val="nil"/>
                  </w:tcBorders>
                  <w:vAlign w:val="center"/>
                </w:tcPr>
                <w:p w14:paraId="025BD4D2">
                  <w:pPr>
                    <w:widowControl/>
                    <w:autoSpaceDE/>
                    <w:autoSpaceDN/>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780E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325" w:type="dxa"/>
                  <w:vMerge w:val="continue"/>
                  <w:tcBorders>
                    <w:tl2br w:val="nil"/>
                    <w:tr2bl w:val="nil"/>
                  </w:tcBorders>
                  <w:vAlign w:val="center"/>
                </w:tcPr>
                <w:p w14:paraId="435F4743">
                  <w:pPr>
                    <w:autoSpaceDE/>
                    <w:autoSpaceDN/>
                    <w:adjustRightInd w:val="0"/>
                    <w:snapToGrid w:val="0"/>
                    <w:spacing w:line="240" w:lineRule="auto"/>
                    <w:ind w:left="-120" w:leftChars="-50" w:right="-120" w:rightChars="-50"/>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514EBA16">
                  <w:pPr>
                    <w:autoSpaceDE/>
                    <w:autoSpaceDN/>
                    <w:adjustRightInd w:val="0"/>
                    <w:snapToGrid w:val="0"/>
                    <w:spacing w:line="240" w:lineRule="auto"/>
                    <w:ind w:right="-120" w:rightChars="-5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噪声治理设施</w:t>
                  </w:r>
                </w:p>
              </w:tc>
              <w:tc>
                <w:tcPr>
                  <w:tcW w:w="5068" w:type="dxa"/>
                  <w:tcBorders>
                    <w:tl2br w:val="nil"/>
                    <w:tr2bl w:val="nil"/>
                  </w:tcBorders>
                  <w:vAlign w:val="center"/>
                </w:tcPr>
                <w:p w14:paraId="67ABB9DF">
                  <w:pPr>
                    <w:autoSpaceDE/>
                    <w:autoSpaceDN/>
                    <w:adjustRightInd w:val="0"/>
                    <w:snapToGrid w:val="0"/>
                    <w:spacing w:line="240" w:lineRule="auto"/>
                    <w:ind w:right="-120" w:rightChars="-5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选用低噪声设备，设备基础减振；合理安排工作时间，避开敏感时段，运输车辆在途经沿线村庄减速慢行，禁止鸣笛</w:t>
                  </w:r>
                  <w:r>
                    <w:rPr>
                      <w:rFonts w:hint="eastAsia" w:cs="Times New Roman"/>
                      <w:color w:val="auto"/>
                      <w:sz w:val="21"/>
                      <w:szCs w:val="21"/>
                      <w:highlight w:val="none"/>
                      <w:lang w:eastAsia="zh-CN"/>
                    </w:rPr>
                    <w:t>；</w:t>
                  </w:r>
                </w:p>
              </w:tc>
              <w:tc>
                <w:tcPr>
                  <w:tcW w:w="730" w:type="dxa"/>
                  <w:tcBorders>
                    <w:tl2br w:val="nil"/>
                    <w:tr2bl w:val="nil"/>
                  </w:tcBorders>
                  <w:vAlign w:val="center"/>
                </w:tcPr>
                <w:p w14:paraId="16B8875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1061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325" w:type="dxa"/>
                  <w:vMerge w:val="continue"/>
                  <w:tcBorders>
                    <w:tl2br w:val="nil"/>
                    <w:tr2bl w:val="nil"/>
                  </w:tcBorders>
                  <w:vAlign w:val="center"/>
                </w:tcPr>
                <w:p w14:paraId="7D128754">
                  <w:pPr>
                    <w:autoSpaceDE/>
                    <w:autoSpaceDN/>
                    <w:adjustRightInd w:val="0"/>
                    <w:snapToGrid w:val="0"/>
                    <w:spacing w:line="240" w:lineRule="auto"/>
                    <w:ind w:left="-120" w:leftChars="-50" w:right="-120" w:rightChars="-50"/>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56CC4E0C">
                  <w:pPr>
                    <w:autoSpaceDE/>
                    <w:autoSpaceDN/>
                    <w:adjustRightInd w:val="0"/>
                    <w:snapToGrid w:val="0"/>
                    <w:spacing w:line="240" w:lineRule="auto"/>
                    <w:ind w:right="-120" w:rightChars="-5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固废处理措施</w:t>
                  </w:r>
                </w:p>
              </w:tc>
              <w:tc>
                <w:tcPr>
                  <w:tcW w:w="5068" w:type="dxa"/>
                  <w:tcBorders>
                    <w:tl2br w:val="nil"/>
                    <w:tr2bl w:val="nil"/>
                  </w:tcBorders>
                  <w:vAlign w:val="center"/>
                </w:tcPr>
                <w:p w14:paraId="7220B9AE">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pacing w:val="0"/>
                      <w:sz w:val="21"/>
                      <w:szCs w:val="21"/>
                      <w:lang w:eastAsia="zh-CN"/>
                    </w:rPr>
                    <w:t>沉淀池底砂</w:t>
                  </w:r>
                  <w:r>
                    <w:rPr>
                      <w:rFonts w:hint="default" w:ascii="Times New Roman" w:hAnsi="Times New Roman" w:eastAsia="宋体" w:cs="Times New Roman"/>
                      <w:color w:val="auto"/>
                      <w:sz w:val="21"/>
                      <w:szCs w:val="21"/>
                      <w:vertAlign w:val="baseline"/>
                      <w:lang w:eastAsia="zh-CN"/>
                    </w:rPr>
                    <w:t>、除尘灰，</w:t>
                  </w:r>
                  <w:r>
                    <w:rPr>
                      <w:rFonts w:hint="eastAsia" w:ascii="Times New Roman" w:hAnsi="Times New Roman" w:eastAsia="宋体" w:cs="Times New Roman"/>
                      <w:color w:val="auto"/>
                      <w:sz w:val="21"/>
                      <w:szCs w:val="21"/>
                      <w:vertAlign w:val="baseline"/>
                      <w:lang w:eastAsia="zh-CN"/>
                    </w:rPr>
                    <w:t>统一收集后</w:t>
                  </w:r>
                  <w:r>
                    <w:rPr>
                      <w:rFonts w:hint="eastAsia" w:cs="Times New Roman"/>
                      <w:color w:val="auto"/>
                      <w:sz w:val="21"/>
                      <w:szCs w:val="21"/>
                      <w:vertAlign w:val="baseline"/>
                      <w:lang w:eastAsia="zh-CN"/>
                    </w:rPr>
                    <w:t>外售给</w:t>
                  </w:r>
                  <w:r>
                    <w:rPr>
                      <w:rFonts w:hint="eastAsia" w:ascii="Times New Roman" w:hAnsi="Times New Roman" w:eastAsia="宋体" w:cs="Times New Roman"/>
                      <w:color w:val="auto"/>
                      <w:sz w:val="21"/>
                      <w:szCs w:val="21"/>
                      <w:vertAlign w:val="baseline"/>
                      <w:lang w:eastAsia="zh-CN"/>
                    </w:rPr>
                    <w:t>兴隆县怡洋废料加工处理有限公司做原料</w:t>
                  </w:r>
                  <w:r>
                    <w:rPr>
                      <w:rFonts w:hint="default" w:ascii="Times New Roman" w:hAnsi="Times New Roman" w:eastAsia="宋体" w:cs="Times New Roman"/>
                      <w:color w:val="auto"/>
                      <w:sz w:val="21"/>
                      <w:szCs w:val="21"/>
                      <w:vertAlign w:val="baseline"/>
                      <w:lang w:eastAsia="zh-CN"/>
                    </w:rPr>
                    <w:t>；</w:t>
                  </w:r>
                  <w:r>
                    <w:rPr>
                      <w:rFonts w:hint="eastAsia" w:cs="Times New Roman"/>
                      <w:color w:val="auto"/>
                      <w:kern w:val="0"/>
                      <w:sz w:val="21"/>
                      <w:szCs w:val="21"/>
                      <w:lang w:val="en-US" w:eastAsia="zh-CN" w:bidi="ar"/>
                    </w:rPr>
                    <w:t>废润滑油</w:t>
                  </w:r>
                  <w:r>
                    <w:rPr>
                      <w:rFonts w:hint="default" w:ascii="Times New Roman" w:hAnsi="Times New Roman" w:eastAsia="宋体" w:cs="Times New Roman"/>
                      <w:color w:val="auto"/>
                      <w:kern w:val="0"/>
                      <w:sz w:val="21"/>
                      <w:szCs w:val="21"/>
                      <w:lang w:val="en-US" w:eastAsia="zh-CN" w:bidi="ar"/>
                    </w:rPr>
                    <w:t>、废油桶、</w:t>
                  </w:r>
                  <w:r>
                    <w:rPr>
                      <w:rFonts w:hint="default" w:ascii="Times New Roman" w:hAnsi="Times New Roman" w:eastAsia="宋体" w:cs="Times New Roman"/>
                      <w:b w:val="0"/>
                      <w:bCs w:val="0"/>
                      <w:color w:val="auto"/>
                      <w:sz w:val="21"/>
                      <w:szCs w:val="21"/>
                      <w:lang w:eastAsia="zh-CN"/>
                    </w:rPr>
                    <w:t>废旧含油抹布及劳保用品</w:t>
                  </w:r>
                  <w:r>
                    <w:rPr>
                      <w:rFonts w:hint="default" w:ascii="Times New Roman" w:hAnsi="Times New Roman" w:eastAsia="宋体" w:cs="Times New Roman"/>
                      <w:color w:val="auto"/>
                      <w:kern w:val="0"/>
                      <w:sz w:val="21"/>
                      <w:szCs w:val="21"/>
                      <w:lang w:val="en-US" w:eastAsia="zh-CN" w:bidi="ar"/>
                    </w:rPr>
                    <w:t>：暂存于危废暂存间，定期由有危废处置资质单位处理；生活垃圾：定期由环卫部门统一清运处理</w:t>
                  </w:r>
                </w:p>
              </w:tc>
              <w:tc>
                <w:tcPr>
                  <w:tcW w:w="730" w:type="dxa"/>
                  <w:tcBorders>
                    <w:tl2br w:val="nil"/>
                    <w:tr2bl w:val="nil"/>
                  </w:tcBorders>
                  <w:vAlign w:val="center"/>
                </w:tcPr>
                <w:p w14:paraId="178E043E">
                  <w:pPr>
                    <w:widowControl/>
                    <w:autoSpaceDE/>
                    <w:autoSpaceDN/>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7E03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325" w:type="dxa"/>
                  <w:vMerge w:val="continue"/>
                  <w:tcBorders>
                    <w:tl2br w:val="nil"/>
                    <w:tr2bl w:val="nil"/>
                  </w:tcBorders>
                  <w:vAlign w:val="center"/>
                </w:tcPr>
                <w:p w14:paraId="5CAAAE3E">
                  <w:pPr>
                    <w:autoSpaceDE/>
                    <w:autoSpaceDN/>
                    <w:adjustRightInd w:val="0"/>
                    <w:snapToGrid w:val="0"/>
                    <w:spacing w:line="240" w:lineRule="auto"/>
                    <w:ind w:left="-120" w:leftChars="-50" w:right="-120" w:rightChars="-50"/>
                    <w:rPr>
                      <w:rFonts w:hint="default" w:ascii="Times New Roman" w:hAnsi="Times New Roman" w:eastAsia="宋体" w:cs="Times New Roman"/>
                      <w:color w:val="auto"/>
                      <w:sz w:val="21"/>
                      <w:szCs w:val="21"/>
                      <w:highlight w:val="none"/>
                    </w:rPr>
                  </w:pPr>
                </w:p>
              </w:tc>
              <w:tc>
                <w:tcPr>
                  <w:tcW w:w="1456" w:type="dxa"/>
                  <w:tcBorders>
                    <w:tl2br w:val="nil"/>
                    <w:tr2bl w:val="nil"/>
                  </w:tcBorders>
                  <w:vAlign w:val="center"/>
                </w:tcPr>
                <w:p w14:paraId="6A778ECE">
                  <w:pPr>
                    <w:autoSpaceDE/>
                    <w:autoSpaceDN/>
                    <w:adjustRightInd w:val="0"/>
                    <w:snapToGrid w:val="0"/>
                    <w:spacing w:line="240" w:lineRule="auto"/>
                    <w:ind w:right="-120" w:rightChars="-50"/>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防渗</w:t>
                  </w:r>
                </w:p>
              </w:tc>
              <w:tc>
                <w:tcPr>
                  <w:tcW w:w="5068" w:type="dxa"/>
                  <w:tcBorders>
                    <w:tl2br w:val="nil"/>
                    <w:tr2bl w:val="nil"/>
                  </w:tcBorders>
                  <w:vAlign w:val="center"/>
                </w:tcPr>
                <w:p w14:paraId="39C07214">
                  <w:pPr>
                    <w:keepNext w:val="0"/>
                    <w:keepLines w:val="0"/>
                    <w:widowControl/>
                    <w:suppressLineNumbers w:val="0"/>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分区防渗，危废间为重点防渗区，采取相应措施后，等效黏土防渗层Mb≥6.0m，K≤1×10</w:t>
                  </w:r>
                  <w:r>
                    <w:rPr>
                      <w:rFonts w:hint="default" w:ascii="Times New Roman" w:hAnsi="Times New Roman" w:eastAsia="宋体" w:cs="Times New Roman"/>
                      <w:color w:val="auto"/>
                      <w:sz w:val="21"/>
                      <w:szCs w:val="21"/>
                      <w:vertAlign w:val="superscript"/>
                      <w:lang w:eastAsia="zh-CN"/>
                    </w:rPr>
                    <w:t>-10</w:t>
                  </w:r>
                  <w:r>
                    <w:rPr>
                      <w:rFonts w:hint="default" w:ascii="Times New Roman" w:hAnsi="Times New Roman" w:eastAsia="宋体" w:cs="Times New Roman"/>
                      <w:color w:val="auto"/>
                      <w:sz w:val="21"/>
                      <w:szCs w:val="21"/>
                      <w:vertAlign w:val="baseline"/>
                      <w:lang w:eastAsia="zh-CN"/>
                    </w:rPr>
                    <w:t>cm/s；封闭式生产车间、封闭式</w:t>
                  </w:r>
                  <w:r>
                    <w:rPr>
                      <w:rFonts w:hint="eastAsia" w:cs="Times New Roman"/>
                      <w:color w:val="auto"/>
                      <w:sz w:val="21"/>
                      <w:szCs w:val="21"/>
                      <w:vertAlign w:val="baseline"/>
                      <w:lang w:eastAsia="zh-CN"/>
                    </w:rPr>
                    <w:t>原料</w:t>
                  </w:r>
                  <w:r>
                    <w:rPr>
                      <w:rFonts w:hint="default" w:ascii="Times New Roman" w:hAnsi="Times New Roman" w:eastAsia="宋体" w:cs="Times New Roman"/>
                      <w:color w:val="auto"/>
                      <w:sz w:val="21"/>
                      <w:szCs w:val="21"/>
                      <w:vertAlign w:val="baseline"/>
                      <w:lang w:eastAsia="zh-CN"/>
                    </w:rPr>
                    <w:t>车间</w:t>
                  </w:r>
                  <w:r>
                    <w:rPr>
                      <w:rFonts w:hint="eastAsia" w:cs="Times New Roman"/>
                      <w:color w:val="auto"/>
                      <w:sz w:val="21"/>
                      <w:szCs w:val="21"/>
                      <w:vertAlign w:val="baseline"/>
                      <w:lang w:eastAsia="zh-CN"/>
                    </w:rPr>
                    <w:t>及封闭式成品车间</w:t>
                  </w:r>
                  <w:r>
                    <w:rPr>
                      <w:rFonts w:hint="default" w:ascii="Times New Roman" w:hAnsi="Times New Roman" w:eastAsia="宋体" w:cs="Times New Roman"/>
                      <w:color w:val="auto"/>
                      <w:sz w:val="21"/>
                      <w:szCs w:val="21"/>
                      <w:vertAlign w:val="baseline"/>
                      <w:lang w:eastAsia="zh-CN"/>
                    </w:rPr>
                    <w:t>为一般防渗区，等效黏土防渗层Mb≥6.0m，K≤10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vertAlign w:val="baseline"/>
                      <w:lang w:eastAsia="zh-CN"/>
                    </w:rPr>
                    <w:t>cm/s；厂区空地等区域为简单防渗区，进行一般水泥地面硬化。</w:t>
                  </w:r>
                </w:p>
              </w:tc>
              <w:tc>
                <w:tcPr>
                  <w:tcW w:w="730" w:type="dxa"/>
                  <w:tcBorders>
                    <w:tl2br w:val="nil"/>
                    <w:tr2bl w:val="nil"/>
                  </w:tcBorders>
                  <w:vAlign w:val="center"/>
                </w:tcPr>
                <w:p w14:paraId="09D12203">
                  <w:pPr>
                    <w:widowControl/>
                    <w:autoSpaceDE/>
                    <w:autoSpaceDN/>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bl>
          <w:p w14:paraId="3A74A5E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储存能力匹配分析：</w:t>
            </w:r>
          </w:p>
          <w:p w14:paraId="7E3DAC1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sz w:val="24"/>
                <w:szCs w:val="24"/>
              </w:rPr>
            </w:pPr>
            <w:r>
              <w:rPr>
                <w:rFonts w:hint="eastAsia"/>
                <w:color w:val="auto"/>
                <w:sz w:val="24"/>
                <w:szCs w:val="24"/>
              </w:rPr>
              <w:t>①</w:t>
            </w:r>
            <w:r>
              <w:rPr>
                <w:color w:val="auto"/>
                <w:sz w:val="24"/>
                <w:szCs w:val="24"/>
              </w:rPr>
              <w:t>本项目废钢渣储存于</w:t>
            </w:r>
            <w:r>
              <w:rPr>
                <w:rFonts w:hint="eastAsia"/>
                <w:color w:val="auto"/>
                <w:sz w:val="24"/>
                <w:szCs w:val="24"/>
                <w:lang w:eastAsia="zh-CN"/>
              </w:rPr>
              <w:t>封闭式原料车间</w:t>
            </w:r>
            <w:r>
              <w:rPr>
                <w:color w:val="auto"/>
                <w:sz w:val="24"/>
                <w:szCs w:val="24"/>
              </w:rPr>
              <w:t>，储存面积为</w:t>
            </w:r>
            <w:r>
              <w:rPr>
                <w:rFonts w:hint="eastAsia"/>
                <w:color w:val="auto"/>
                <w:sz w:val="24"/>
                <w:szCs w:val="24"/>
                <w:lang w:val="en-US" w:eastAsia="zh-CN"/>
              </w:rPr>
              <w:t>514</w:t>
            </w:r>
            <w:r>
              <w:rPr>
                <w:rFonts w:hint="eastAsia" w:hAnsi="宋体" w:cs="宋体"/>
                <w:color w:val="auto"/>
                <w:kern w:val="0"/>
                <w:sz w:val="24"/>
                <w:szCs w:val="24"/>
                <w:lang w:val="en-US" w:eastAsia="zh-CN"/>
              </w:rPr>
              <w:t>m</w:t>
            </w:r>
            <w:r>
              <w:rPr>
                <w:rFonts w:hint="eastAsia" w:hAnsi="宋体" w:cs="宋体"/>
                <w:color w:val="auto"/>
                <w:kern w:val="0"/>
                <w:sz w:val="24"/>
                <w:szCs w:val="24"/>
                <w:vertAlign w:val="superscript"/>
                <w:lang w:val="en-US" w:eastAsia="zh-CN"/>
              </w:rPr>
              <w:t>2</w:t>
            </w:r>
            <w:r>
              <w:rPr>
                <w:color w:val="auto"/>
                <w:sz w:val="24"/>
                <w:szCs w:val="24"/>
              </w:rPr>
              <w:t>，堆积密度按2.0t/m</w:t>
            </w:r>
            <w:r>
              <w:rPr>
                <w:rFonts w:hint="eastAsia"/>
                <w:color w:val="auto"/>
                <w:sz w:val="24"/>
                <w:szCs w:val="24"/>
                <w:vertAlign w:val="superscript"/>
                <w:lang w:val="en-US" w:eastAsia="zh-CN"/>
              </w:rPr>
              <w:t>3</w:t>
            </w:r>
            <w:r>
              <w:rPr>
                <w:color w:val="auto"/>
                <w:sz w:val="24"/>
                <w:szCs w:val="24"/>
              </w:rPr>
              <w:t>，堆存高度取5m，棱锥形高度为3m</w:t>
            </w:r>
            <w:r>
              <w:rPr>
                <w:rFonts w:hint="eastAsia"/>
                <w:color w:val="auto"/>
                <w:sz w:val="24"/>
                <w:szCs w:val="24"/>
              </w:rPr>
              <w:t>，</w:t>
            </w:r>
            <w:r>
              <w:rPr>
                <w:color w:val="auto"/>
                <w:sz w:val="24"/>
                <w:szCs w:val="24"/>
              </w:rPr>
              <w:t>底部高度为2m，则钢渣堆存占底部矩形堆存容积为</w:t>
            </w:r>
            <w:r>
              <w:rPr>
                <w:rFonts w:hint="eastAsia"/>
                <w:color w:val="auto"/>
                <w:sz w:val="24"/>
                <w:szCs w:val="24"/>
                <w:lang w:val="en-US" w:eastAsia="zh-CN"/>
              </w:rPr>
              <w:t>514</w:t>
            </w:r>
            <w:r>
              <w:rPr>
                <w:color w:val="auto"/>
                <w:sz w:val="24"/>
                <w:szCs w:val="24"/>
              </w:rPr>
              <w:t>m</w:t>
            </w:r>
            <w:r>
              <w:rPr>
                <w:color w:val="auto"/>
                <w:sz w:val="24"/>
                <w:szCs w:val="24"/>
                <w:vertAlign w:val="superscript"/>
              </w:rPr>
              <w:t>2</w:t>
            </w:r>
            <w:r>
              <w:rPr>
                <w:color w:val="auto"/>
                <w:sz w:val="24"/>
                <w:szCs w:val="24"/>
              </w:rPr>
              <w:t>×2m=</w:t>
            </w:r>
            <w:r>
              <w:rPr>
                <w:rFonts w:hint="eastAsia"/>
                <w:color w:val="auto"/>
                <w:sz w:val="24"/>
                <w:szCs w:val="24"/>
                <w:lang w:val="en-US" w:eastAsia="zh-CN"/>
              </w:rPr>
              <w:t>1028</w:t>
            </w:r>
            <w:r>
              <w:rPr>
                <w:color w:val="auto"/>
                <w:sz w:val="24"/>
                <w:szCs w:val="24"/>
              </w:rPr>
              <w:t>m</w:t>
            </w:r>
            <w:r>
              <w:rPr>
                <w:rFonts w:hint="eastAsia"/>
                <w:color w:val="auto"/>
                <w:sz w:val="24"/>
                <w:szCs w:val="24"/>
                <w:vertAlign w:val="superscript"/>
                <w:lang w:val="en-US" w:eastAsia="zh-CN"/>
              </w:rPr>
              <w:t>3</w:t>
            </w:r>
            <w:r>
              <w:rPr>
                <w:rFonts w:hint="eastAsia"/>
                <w:color w:val="auto"/>
                <w:sz w:val="24"/>
                <w:szCs w:val="24"/>
              </w:rPr>
              <w:t>，</w:t>
            </w:r>
            <w:r>
              <w:rPr>
                <w:color w:val="auto"/>
                <w:sz w:val="24"/>
                <w:szCs w:val="24"/>
              </w:rPr>
              <w:t>上部为棱锥型堆存容为</w:t>
            </w:r>
            <w:r>
              <w:rPr>
                <w:rFonts w:hint="eastAsia"/>
                <w:color w:val="auto"/>
                <w:sz w:val="24"/>
                <w:szCs w:val="24"/>
                <w:lang w:val="en-US" w:eastAsia="zh-CN"/>
              </w:rPr>
              <w:t>514</w:t>
            </w:r>
            <w:r>
              <w:rPr>
                <w:color w:val="auto"/>
                <w:sz w:val="24"/>
                <w:szCs w:val="24"/>
              </w:rPr>
              <w:t>m</w:t>
            </w:r>
            <w:r>
              <w:rPr>
                <w:color w:val="auto"/>
                <w:sz w:val="24"/>
                <w:szCs w:val="24"/>
                <w:vertAlign w:val="superscript"/>
              </w:rPr>
              <w:t>2</w:t>
            </w:r>
            <w:r>
              <w:rPr>
                <w:color w:val="auto"/>
                <w:sz w:val="24"/>
                <w:szCs w:val="24"/>
              </w:rPr>
              <w:t>×3m/3=</w:t>
            </w:r>
            <w:r>
              <w:rPr>
                <w:rFonts w:hint="eastAsia"/>
                <w:color w:val="auto"/>
                <w:sz w:val="24"/>
                <w:szCs w:val="24"/>
                <w:lang w:val="en-US" w:eastAsia="zh-CN"/>
              </w:rPr>
              <w:t>514</w:t>
            </w:r>
            <w:r>
              <w:rPr>
                <w:color w:val="auto"/>
                <w:sz w:val="24"/>
                <w:szCs w:val="24"/>
              </w:rPr>
              <w:t>m</w:t>
            </w:r>
            <w:r>
              <w:rPr>
                <w:rFonts w:hint="eastAsia"/>
                <w:color w:val="auto"/>
                <w:sz w:val="24"/>
                <w:szCs w:val="24"/>
                <w:vertAlign w:val="superscript"/>
                <w:lang w:val="en-US" w:eastAsia="zh-CN"/>
              </w:rPr>
              <w:t>3</w:t>
            </w:r>
            <w:r>
              <w:rPr>
                <w:color w:val="auto"/>
                <w:sz w:val="24"/>
                <w:szCs w:val="24"/>
              </w:rPr>
              <w:t>，合计有效堆存容积约为</w:t>
            </w:r>
            <w:r>
              <w:rPr>
                <w:rFonts w:hint="eastAsia"/>
                <w:color w:val="auto"/>
                <w:sz w:val="24"/>
                <w:szCs w:val="24"/>
                <w:lang w:val="en-US" w:eastAsia="zh-CN"/>
              </w:rPr>
              <w:t>1542</w:t>
            </w:r>
            <w:r>
              <w:rPr>
                <w:color w:val="auto"/>
                <w:sz w:val="24"/>
                <w:szCs w:val="24"/>
              </w:rPr>
              <w:t>m</w:t>
            </w:r>
            <w:r>
              <w:rPr>
                <w:rFonts w:hint="eastAsia"/>
                <w:color w:val="auto"/>
                <w:sz w:val="24"/>
                <w:szCs w:val="24"/>
                <w:vertAlign w:val="superscript"/>
                <w:lang w:val="en-US" w:eastAsia="zh-CN"/>
              </w:rPr>
              <w:t>3</w:t>
            </w:r>
            <w:r>
              <w:rPr>
                <w:color w:val="auto"/>
                <w:sz w:val="24"/>
                <w:szCs w:val="24"/>
              </w:rPr>
              <w:t>，最大可堆存</w:t>
            </w:r>
            <w:r>
              <w:rPr>
                <w:rFonts w:hint="eastAsia"/>
                <w:color w:val="auto"/>
                <w:sz w:val="24"/>
                <w:szCs w:val="24"/>
                <w:lang w:val="en-US" w:eastAsia="zh-CN"/>
              </w:rPr>
              <w:t>3084t</w:t>
            </w:r>
            <w:r>
              <w:rPr>
                <w:color w:val="auto"/>
                <w:sz w:val="24"/>
                <w:szCs w:val="24"/>
              </w:rPr>
              <w:t>，本项</w:t>
            </w:r>
            <w:r>
              <w:rPr>
                <w:rFonts w:hint="eastAsia"/>
                <w:color w:val="auto"/>
                <w:sz w:val="24"/>
                <w:szCs w:val="24"/>
              </w:rPr>
              <w:t>目</w:t>
            </w:r>
            <w:r>
              <w:rPr>
                <w:color w:val="auto"/>
                <w:sz w:val="24"/>
                <w:szCs w:val="24"/>
              </w:rPr>
              <w:t>日生产</w:t>
            </w:r>
            <w:r>
              <w:rPr>
                <w:rFonts w:hint="eastAsia"/>
                <w:color w:val="auto"/>
                <w:sz w:val="24"/>
                <w:szCs w:val="24"/>
                <w:lang w:val="en-US" w:eastAsia="zh-CN"/>
              </w:rPr>
              <w:t>333.34</w:t>
            </w:r>
            <w:r>
              <w:rPr>
                <w:color w:val="auto"/>
                <w:sz w:val="24"/>
                <w:szCs w:val="24"/>
              </w:rPr>
              <w:t>t/a</w:t>
            </w:r>
            <w:r>
              <w:rPr>
                <w:rFonts w:hint="eastAsia"/>
                <w:color w:val="auto"/>
                <w:sz w:val="24"/>
                <w:szCs w:val="24"/>
                <w:lang w:eastAsia="zh-CN"/>
              </w:rPr>
              <w:t>，</w:t>
            </w:r>
            <w:r>
              <w:rPr>
                <w:color w:val="auto"/>
                <w:sz w:val="24"/>
                <w:szCs w:val="24"/>
              </w:rPr>
              <w:t>则能够满足</w:t>
            </w:r>
            <w:r>
              <w:rPr>
                <w:rFonts w:hint="eastAsia"/>
                <w:color w:val="auto"/>
                <w:sz w:val="24"/>
                <w:szCs w:val="24"/>
                <w:lang w:val="en-US" w:eastAsia="zh-CN"/>
              </w:rPr>
              <w:t>9</w:t>
            </w:r>
            <w:r>
              <w:rPr>
                <w:color w:val="auto"/>
                <w:sz w:val="24"/>
                <w:szCs w:val="24"/>
              </w:rPr>
              <w:t>天生产量，因此储存能力能够满足生产需求。</w:t>
            </w:r>
          </w:p>
          <w:p w14:paraId="1CE5759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eastAsia"/>
                <w:color w:val="auto"/>
                <w:sz w:val="24"/>
                <w:szCs w:val="24"/>
                <w:lang w:eastAsia="zh-CN"/>
              </w:rPr>
              <w:t>②</w:t>
            </w:r>
            <w:r>
              <w:rPr>
                <w:color w:val="auto"/>
                <w:sz w:val="24"/>
                <w:szCs w:val="24"/>
              </w:rPr>
              <w:t>本项目各种规格产品储存于</w:t>
            </w:r>
            <w:r>
              <w:rPr>
                <w:rFonts w:hint="eastAsia"/>
                <w:color w:val="auto"/>
                <w:sz w:val="24"/>
                <w:szCs w:val="24"/>
                <w:lang w:eastAsia="zh-CN"/>
              </w:rPr>
              <w:t>封闭式成品车间</w:t>
            </w:r>
            <w:r>
              <w:rPr>
                <w:color w:val="auto"/>
                <w:sz w:val="24"/>
                <w:szCs w:val="24"/>
              </w:rPr>
              <w:t>，储存区面积</w:t>
            </w:r>
            <w:r>
              <w:rPr>
                <w:rFonts w:hint="eastAsia"/>
                <w:color w:val="auto"/>
                <w:sz w:val="24"/>
                <w:szCs w:val="24"/>
                <w:lang w:val="en-US" w:eastAsia="zh-CN"/>
              </w:rPr>
              <w:t>372</w:t>
            </w:r>
            <w:r>
              <w:rPr>
                <w:rFonts w:hint="eastAsia" w:hAnsi="宋体" w:cs="宋体"/>
                <w:color w:val="auto"/>
                <w:kern w:val="0"/>
                <w:sz w:val="24"/>
                <w:szCs w:val="24"/>
                <w:lang w:val="en-US" w:eastAsia="zh-CN"/>
              </w:rPr>
              <w:t>m</w:t>
            </w:r>
            <w:r>
              <w:rPr>
                <w:rFonts w:hint="eastAsia" w:hAnsi="宋体" w:cs="宋体"/>
                <w:color w:val="auto"/>
                <w:kern w:val="0"/>
                <w:sz w:val="24"/>
                <w:szCs w:val="24"/>
                <w:vertAlign w:val="superscript"/>
                <w:lang w:val="en-US" w:eastAsia="zh-CN"/>
              </w:rPr>
              <w:t>2</w:t>
            </w:r>
            <w:r>
              <w:rPr>
                <w:rFonts w:hint="eastAsia"/>
                <w:color w:val="auto"/>
                <w:sz w:val="24"/>
                <w:szCs w:val="24"/>
              </w:rPr>
              <w:t>，</w:t>
            </w:r>
            <w:r>
              <w:rPr>
                <w:color w:val="auto"/>
                <w:sz w:val="24"/>
                <w:szCs w:val="24"/>
              </w:rPr>
              <w:t>堆积密度按 2t/m</w:t>
            </w:r>
            <w:r>
              <w:rPr>
                <w:rFonts w:hint="eastAsia"/>
                <w:color w:val="auto"/>
                <w:sz w:val="24"/>
                <w:szCs w:val="24"/>
                <w:vertAlign w:val="superscript"/>
                <w:lang w:val="en-US" w:eastAsia="zh-CN"/>
              </w:rPr>
              <w:t>3</w:t>
            </w:r>
            <w:r>
              <w:rPr>
                <w:color w:val="auto"/>
                <w:sz w:val="24"/>
                <w:szCs w:val="24"/>
              </w:rPr>
              <w:t>计</w:t>
            </w:r>
            <w:r>
              <w:rPr>
                <w:rFonts w:hint="eastAsia"/>
                <w:color w:val="auto"/>
                <w:sz w:val="24"/>
                <w:szCs w:val="24"/>
              </w:rPr>
              <w:t>，</w:t>
            </w:r>
            <w:r>
              <w:rPr>
                <w:color w:val="auto"/>
                <w:sz w:val="24"/>
                <w:szCs w:val="24"/>
              </w:rPr>
              <w:t>堆存高度取5m，其中棱锥形高度为3m，底部高度为2m</w:t>
            </w:r>
            <w:r>
              <w:rPr>
                <w:rFonts w:hint="eastAsia"/>
                <w:color w:val="auto"/>
                <w:sz w:val="24"/>
                <w:szCs w:val="24"/>
              </w:rPr>
              <w:t>，</w:t>
            </w:r>
            <w:r>
              <w:rPr>
                <w:color w:val="auto"/>
                <w:sz w:val="24"/>
                <w:szCs w:val="24"/>
              </w:rPr>
              <w:t>则堆存占底部矩形堆存容积为</w:t>
            </w:r>
            <w:r>
              <w:rPr>
                <w:rFonts w:hint="eastAsia"/>
                <w:color w:val="auto"/>
                <w:sz w:val="24"/>
                <w:szCs w:val="24"/>
                <w:lang w:val="en-US" w:eastAsia="zh-CN"/>
              </w:rPr>
              <w:t>372</w:t>
            </w:r>
            <w:r>
              <w:rPr>
                <w:rFonts w:hint="eastAsia" w:hAnsi="宋体" w:cs="宋体"/>
                <w:color w:val="auto"/>
                <w:kern w:val="0"/>
                <w:sz w:val="24"/>
                <w:szCs w:val="24"/>
                <w:lang w:val="en-US" w:eastAsia="zh-CN"/>
              </w:rPr>
              <w:t>m</w:t>
            </w:r>
            <w:r>
              <w:rPr>
                <w:rFonts w:hint="eastAsia" w:hAnsi="宋体" w:cs="宋体"/>
                <w:color w:val="auto"/>
                <w:kern w:val="0"/>
                <w:sz w:val="24"/>
                <w:szCs w:val="24"/>
                <w:vertAlign w:val="superscript"/>
                <w:lang w:val="en-US" w:eastAsia="zh-CN"/>
              </w:rPr>
              <w:t>2</w:t>
            </w:r>
            <w:r>
              <w:rPr>
                <w:color w:val="auto"/>
                <w:sz w:val="24"/>
                <w:szCs w:val="24"/>
              </w:rPr>
              <w:t>×2m=</w:t>
            </w:r>
            <w:r>
              <w:rPr>
                <w:rFonts w:hint="eastAsia"/>
                <w:color w:val="auto"/>
                <w:sz w:val="24"/>
                <w:szCs w:val="24"/>
                <w:lang w:val="en-US" w:eastAsia="zh-CN"/>
              </w:rPr>
              <w:t>744</w:t>
            </w:r>
            <w:r>
              <w:rPr>
                <w:color w:val="auto"/>
                <w:sz w:val="24"/>
                <w:szCs w:val="24"/>
              </w:rPr>
              <w:t>m</w:t>
            </w:r>
            <w:r>
              <w:rPr>
                <w:rFonts w:hint="eastAsia"/>
                <w:color w:val="auto"/>
                <w:sz w:val="24"/>
                <w:szCs w:val="24"/>
                <w:vertAlign w:val="superscript"/>
                <w:lang w:val="en-US" w:eastAsia="zh-CN"/>
              </w:rPr>
              <w:t>3</w:t>
            </w:r>
            <w:r>
              <w:rPr>
                <w:rFonts w:hint="eastAsia"/>
                <w:color w:val="auto"/>
                <w:sz w:val="24"/>
                <w:szCs w:val="24"/>
              </w:rPr>
              <w:t>，</w:t>
            </w:r>
            <w:r>
              <w:rPr>
                <w:color w:val="auto"/>
                <w:sz w:val="24"/>
                <w:szCs w:val="24"/>
              </w:rPr>
              <w:t>上部为棱锥型堆存容积为</w:t>
            </w:r>
            <w:r>
              <w:rPr>
                <w:rFonts w:hint="eastAsia"/>
                <w:color w:val="auto"/>
                <w:sz w:val="24"/>
                <w:szCs w:val="24"/>
                <w:lang w:val="en-US" w:eastAsia="zh-CN"/>
              </w:rPr>
              <w:t>372</w:t>
            </w:r>
            <w:r>
              <w:rPr>
                <w:rFonts w:hint="eastAsia" w:hAnsi="宋体" w:cs="宋体"/>
                <w:color w:val="auto"/>
                <w:kern w:val="0"/>
                <w:sz w:val="24"/>
                <w:szCs w:val="24"/>
                <w:lang w:val="en-US" w:eastAsia="zh-CN"/>
              </w:rPr>
              <w:t>m</w:t>
            </w:r>
            <w:r>
              <w:rPr>
                <w:rFonts w:hint="eastAsia" w:hAnsi="宋体" w:cs="宋体"/>
                <w:color w:val="auto"/>
                <w:kern w:val="0"/>
                <w:sz w:val="24"/>
                <w:szCs w:val="24"/>
                <w:vertAlign w:val="superscript"/>
                <w:lang w:val="en-US" w:eastAsia="zh-CN"/>
              </w:rPr>
              <w:t>2</w:t>
            </w:r>
            <w:r>
              <w:rPr>
                <w:color w:val="auto"/>
                <w:sz w:val="24"/>
                <w:szCs w:val="24"/>
              </w:rPr>
              <w:t>×3m/3=</w:t>
            </w:r>
            <w:r>
              <w:rPr>
                <w:rFonts w:hint="eastAsia"/>
                <w:color w:val="auto"/>
                <w:sz w:val="24"/>
                <w:szCs w:val="24"/>
                <w:lang w:val="en-US" w:eastAsia="zh-CN"/>
              </w:rPr>
              <w:t>372</w:t>
            </w:r>
            <w:r>
              <w:rPr>
                <w:color w:val="auto"/>
                <w:sz w:val="24"/>
                <w:szCs w:val="24"/>
              </w:rPr>
              <w:t>m</w:t>
            </w:r>
            <w:r>
              <w:rPr>
                <w:rFonts w:hint="eastAsia"/>
                <w:color w:val="auto"/>
                <w:sz w:val="24"/>
                <w:szCs w:val="24"/>
                <w:vertAlign w:val="superscript"/>
                <w:lang w:val="en-US" w:eastAsia="zh-CN"/>
              </w:rPr>
              <w:t>3</w:t>
            </w:r>
            <w:r>
              <w:rPr>
                <w:color w:val="auto"/>
                <w:sz w:val="24"/>
                <w:szCs w:val="24"/>
              </w:rPr>
              <w:t>，合计有效堆存容积约为</w:t>
            </w:r>
            <w:r>
              <w:rPr>
                <w:rFonts w:hint="eastAsia"/>
                <w:color w:val="auto"/>
                <w:sz w:val="24"/>
                <w:szCs w:val="24"/>
                <w:lang w:val="en-US" w:eastAsia="zh-CN"/>
              </w:rPr>
              <w:t>1116</w:t>
            </w:r>
            <w:r>
              <w:rPr>
                <w:color w:val="auto"/>
                <w:sz w:val="24"/>
                <w:szCs w:val="24"/>
              </w:rPr>
              <w:t>m</w:t>
            </w:r>
            <w:r>
              <w:rPr>
                <w:rFonts w:hint="eastAsia"/>
                <w:color w:val="auto"/>
                <w:sz w:val="24"/>
                <w:szCs w:val="24"/>
                <w:vertAlign w:val="superscript"/>
                <w:lang w:val="en-US" w:eastAsia="zh-CN"/>
              </w:rPr>
              <w:t>3</w:t>
            </w:r>
            <w:r>
              <w:rPr>
                <w:color w:val="auto"/>
                <w:sz w:val="24"/>
                <w:szCs w:val="24"/>
              </w:rPr>
              <w:t>，则最大储存量约</w:t>
            </w:r>
            <w:r>
              <w:rPr>
                <w:rFonts w:hint="eastAsia"/>
                <w:color w:val="auto"/>
                <w:sz w:val="24"/>
                <w:szCs w:val="24"/>
                <w:lang w:val="en-US" w:eastAsia="zh-CN"/>
              </w:rPr>
              <w:t>2232</w:t>
            </w:r>
            <w:r>
              <w:rPr>
                <w:color w:val="auto"/>
                <w:sz w:val="24"/>
                <w:szCs w:val="24"/>
              </w:rPr>
              <w:t>t，本项目日最大生产33</w:t>
            </w:r>
            <w:r>
              <w:rPr>
                <w:rFonts w:hint="eastAsia"/>
                <w:color w:val="auto"/>
                <w:sz w:val="24"/>
                <w:szCs w:val="24"/>
                <w:lang w:val="en-US" w:eastAsia="zh-CN"/>
              </w:rPr>
              <w:t>1.46</w:t>
            </w:r>
            <w:r>
              <w:rPr>
                <w:color w:val="auto"/>
                <w:sz w:val="24"/>
                <w:szCs w:val="24"/>
              </w:rPr>
              <w:t>t计</w:t>
            </w:r>
            <w:r>
              <w:rPr>
                <w:rFonts w:hint="eastAsia"/>
                <w:color w:val="auto"/>
                <w:sz w:val="24"/>
                <w:szCs w:val="24"/>
                <w:lang w:eastAsia="zh-CN"/>
              </w:rPr>
              <w:t>，可储存</w:t>
            </w:r>
            <w:r>
              <w:rPr>
                <w:rFonts w:hint="eastAsia"/>
                <w:color w:val="auto"/>
                <w:sz w:val="24"/>
                <w:szCs w:val="24"/>
                <w:lang w:val="en-US" w:eastAsia="zh-CN"/>
              </w:rPr>
              <w:t>6</w:t>
            </w:r>
            <w:r>
              <w:rPr>
                <w:color w:val="auto"/>
                <w:sz w:val="24"/>
                <w:szCs w:val="24"/>
              </w:rPr>
              <w:t>天</w:t>
            </w:r>
            <w:r>
              <w:rPr>
                <w:rFonts w:hint="eastAsia"/>
                <w:color w:val="auto"/>
                <w:sz w:val="24"/>
                <w:szCs w:val="24"/>
                <w:lang w:eastAsia="zh-CN"/>
              </w:rPr>
              <w:t>成品</w:t>
            </w:r>
            <w:r>
              <w:rPr>
                <w:color w:val="auto"/>
                <w:sz w:val="24"/>
                <w:szCs w:val="24"/>
              </w:rPr>
              <w:t>量，</w:t>
            </w:r>
            <w:r>
              <w:rPr>
                <w:rFonts w:hint="eastAsia"/>
                <w:color w:val="auto"/>
                <w:sz w:val="24"/>
                <w:szCs w:val="24"/>
                <w:lang w:eastAsia="zh-CN"/>
              </w:rPr>
              <w:t>项目</w:t>
            </w:r>
            <w:r>
              <w:rPr>
                <w:color w:val="auto"/>
                <w:sz w:val="24"/>
                <w:szCs w:val="24"/>
              </w:rPr>
              <w:t>周转周期为1-2天，则</w:t>
            </w:r>
            <w:r>
              <w:rPr>
                <w:rFonts w:hint="eastAsia"/>
                <w:color w:val="auto"/>
                <w:sz w:val="24"/>
                <w:szCs w:val="24"/>
                <w:lang w:eastAsia="zh-CN"/>
              </w:rPr>
              <w:t>封闭式成品车间内</w:t>
            </w:r>
            <w:r>
              <w:rPr>
                <w:color w:val="auto"/>
                <w:sz w:val="24"/>
                <w:szCs w:val="24"/>
              </w:rPr>
              <w:t>储存能力能够满足产品储存需求。</w:t>
            </w:r>
          </w:p>
          <w:p w14:paraId="786C6B6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w:t>
            </w:r>
            <w:r>
              <w:rPr>
                <w:rFonts w:hint="eastAsia" w:cs="Times New Roman"/>
                <w:b/>
                <w:bCs/>
                <w:color w:val="auto"/>
                <w:lang w:val="en-US" w:eastAsia="zh-CN"/>
              </w:rPr>
              <w:t>主要产品及产能</w:t>
            </w:r>
          </w:p>
          <w:p w14:paraId="2E7BCB7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本项目生产规模为年处理炼钢废渣10万吨，主要产品为制砖料，副产品为</w:t>
            </w:r>
            <w:r>
              <w:rPr>
                <w:rFonts w:hint="eastAsia" w:cs="Times New Roman"/>
                <w:color w:val="auto"/>
                <w:lang w:eastAsia="zh-CN"/>
              </w:rPr>
              <w:t>含磁物料</w:t>
            </w:r>
            <w:r>
              <w:rPr>
                <w:rFonts w:hint="default" w:ascii="Times New Roman" w:hAnsi="Times New Roman" w:eastAsia="宋体" w:cs="Times New Roman"/>
                <w:color w:val="auto"/>
                <w:lang w:eastAsia="zh-CN"/>
              </w:rPr>
              <w:t>。产品生产规模见下表：</w:t>
            </w:r>
          </w:p>
          <w:p w14:paraId="101AF1E6">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color w:val="auto"/>
                <w:lang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lang w:val="en-US" w:eastAsia="zh-CN"/>
              </w:rPr>
              <w:t>主</w:t>
            </w:r>
            <w:r>
              <w:rPr>
                <w:rFonts w:hint="eastAsia" w:cs="Times New Roman"/>
                <w:b/>
                <w:bCs/>
                <w:color w:val="auto"/>
                <w:sz w:val="21"/>
                <w:szCs w:val="21"/>
                <w:lang w:val="en-US" w:eastAsia="zh-CN"/>
              </w:rPr>
              <w:t>要产品及产能一览</w:t>
            </w:r>
            <w:r>
              <w:rPr>
                <w:rFonts w:hint="default" w:ascii="Times New Roman" w:hAnsi="Times New Roman" w:eastAsia="宋体" w:cs="Times New Roman"/>
                <w:b/>
                <w:bCs/>
                <w:color w:val="auto"/>
                <w:sz w:val="21"/>
                <w:szCs w:val="21"/>
                <w:lang w:val="en-US" w:eastAsia="zh-CN"/>
              </w:rPr>
              <w:t>表</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089"/>
              <w:gridCol w:w="1524"/>
              <w:gridCol w:w="1524"/>
              <w:gridCol w:w="2013"/>
              <w:gridCol w:w="1681"/>
            </w:tblGrid>
            <w:tr w14:paraId="2CEF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837" w:type="dxa"/>
                  <w:gridSpan w:val="2"/>
                  <w:vAlign w:val="center"/>
                </w:tcPr>
                <w:p w14:paraId="76CEDD51">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产品</w:t>
                  </w:r>
                </w:p>
              </w:tc>
              <w:tc>
                <w:tcPr>
                  <w:tcW w:w="1524" w:type="dxa"/>
                  <w:vAlign w:val="center"/>
                </w:tcPr>
                <w:p w14:paraId="71E673C7">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粒径</w:t>
                  </w:r>
                </w:p>
              </w:tc>
              <w:tc>
                <w:tcPr>
                  <w:tcW w:w="1524" w:type="dxa"/>
                  <w:vAlign w:val="center"/>
                </w:tcPr>
                <w:p w14:paraId="6EA1C0B1">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生产规模</w:t>
                  </w:r>
                  <w:r>
                    <w:rPr>
                      <w:rFonts w:hint="eastAsia" w:ascii="Times New Roman" w:hAnsi="Times New Roman" w:eastAsia="宋体" w:cs="Times New Roman"/>
                      <w:b/>
                      <w:bCs/>
                      <w:color w:val="auto"/>
                      <w:sz w:val="21"/>
                      <w:szCs w:val="21"/>
                      <w:vertAlign w:val="baseline"/>
                      <w:lang w:eastAsia="zh-CN"/>
                    </w:rPr>
                    <w:t>（</w:t>
                  </w:r>
                  <w:r>
                    <w:rPr>
                      <w:rFonts w:hint="eastAsia" w:ascii="Times New Roman" w:hAnsi="Times New Roman" w:eastAsia="宋体" w:cs="Times New Roman"/>
                      <w:b/>
                      <w:bCs/>
                      <w:color w:val="auto"/>
                      <w:sz w:val="21"/>
                      <w:szCs w:val="21"/>
                      <w:vertAlign w:val="baseline"/>
                      <w:lang w:val="en-US" w:eastAsia="zh-CN"/>
                    </w:rPr>
                    <w:t>t/a</w:t>
                  </w:r>
                  <w:r>
                    <w:rPr>
                      <w:rFonts w:hint="eastAsia" w:ascii="Times New Roman" w:hAnsi="Times New Roman" w:eastAsia="宋体" w:cs="Times New Roman"/>
                      <w:b/>
                      <w:bCs/>
                      <w:color w:val="auto"/>
                      <w:sz w:val="21"/>
                      <w:szCs w:val="21"/>
                      <w:vertAlign w:val="baseline"/>
                      <w:lang w:eastAsia="zh-CN"/>
                    </w:rPr>
                    <w:t>）</w:t>
                  </w:r>
                </w:p>
              </w:tc>
              <w:tc>
                <w:tcPr>
                  <w:tcW w:w="2013" w:type="dxa"/>
                  <w:vAlign w:val="center"/>
                </w:tcPr>
                <w:p w14:paraId="33841CED">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备注</w:t>
                  </w:r>
                </w:p>
              </w:tc>
              <w:tc>
                <w:tcPr>
                  <w:tcW w:w="1681" w:type="dxa"/>
                  <w:vAlign w:val="center"/>
                </w:tcPr>
                <w:p w14:paraId="37A1024A">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bCs/>
                      <w:color w:val="auto"/>
                      <w:sz w:val="21"/>
                      <w:szCs w:val="21"/>
                      <w:vertAlign w:val="baseline"/>
                      <w:lang w:eastAsia="zh-CN"/>
                    </w:rPr>
                    <w:t>标准</w:t>
                  </w:r>
                </w:p>
              </w:tc>
            </w:tr>
            <w:tr w14:paraId="3D26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8" w:type="dxa"/>
                  <w:vMerge w:val="restart"/>
                  <w:vAlign w:val="center"/>
                </w:tcPr>
                <w:p w14:paraId="164A908F">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主要产品</w:t>
                  </w:r>
                </w:p>
              </w:tc>
              <w:tc>
                <w:tcPr>
                  <w:tcW w:w="1089" w:type="dxa"/>
                  <w:vMerge w:val="restart"/>
                  <w:vAlign w:val="center"/>
                </w:tcPr>
                <w:p w14:paraId="77D0616A">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制砖料</w:t>
                  </w:r>
                </w:p>
              </w:tc>
              <w:tc>
                <w:tcPr>
                  <w:tcW w:w="1524" w:type="dxa"/>
                  <w:vAlign w:val="center"/>
                </w:tcPr>
                <w:p w14:paraId="39EA978F">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＞30mm</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30-15mm</w:t>
                  </w:r>
                </w:p>
              </w:tc>
              <w:tc>
                <w:tcPr>
                  <w:tcW w:w="1524" w:type="dxa"/>
                  <w:vAlign w:val="center"/>
                </w:tcPr>
                <w:p w14:paraId="4F37276D">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29779.23</w:t>
                  </w:r>
                </w:p>
              </w:tc>
              <w:tc>
                <w:tcPr>
                  <w:tcW w:w="2013" w:type="dxa"/>
                  <w:vMerge w:val="restart"/>
                  <w:vAlign w:val="center"/>
                </w:tcPr>
                <w:p w14:paraId="39DC425C">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外售给兴隆县怡洋废料加工处理有限公司做原料</w:t>
                  </w:r>
                </w:p>
              </w:tc>
              <w:tc>
                <w:tcPr>
                  <w:tcW w:w="1681" w:type="dxa"/>
                  <w:vMerge w:val="restart"/>
                  <w:vAlign w:val="center"/>
                </w:tcPr>
                <w:p w14:paraId="09A22A81">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《用于水泥和混凝土中钢渣粉》（GB/T20491-2017）</w:t>
                  </w:r>
                </w:p>
              </w:tc>
            </w:tr>
            <w:tr w14:paraId="6D99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8" w:type="dxa"/>
                  <w:vMerge w:val="continue"/>
                  <w:vAlign w:val="center"/>
                </w:tcPr>
                <w:p w14:paraId="61FF32ED">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89" w:type="dxa"/>
                  <w:vMerge w:val="continue"/>
                  <w:vAlign w:val="center"/>
                </w:tcPr>
                <w:p w14:paraId="0CC6C717">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lang w:val="en-US" w:eastAsia="zh-CN"/>
                    </w:rPr>
                  </w:pPr>
                </w:p>
              </w:tc>
              <w:tc>
                <w:tcPr>
                  <w:tcW w:w="1524" w:type="dxa"/>
                  <w:vAlign w:val="center"/>
                </w:tcPr>
                <w:p w14:paraId="054653BC">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mm</w:t>
                  </w:r>
                </w:p>
              </w:tc>
              <w:tc>
                <w:tcPr>
                  <w:tcW w:w="1524" w:type="dxa"/>
                  <w:vAlign w:val="center"/>
                </w:tcPr>
                <w:p w14:paraId="281841D3">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14850.12</w:t>
                  </w:r>
                </w:p>
              </w:tc>
              <w:tc>
                <w:tcPr>
                  <w:tcW w:w="2013" w:type="dxa"/>
                  <w:vMerge w:val="continue"/>
                  <w:vAlign w:val="center"/>
                </w:tcPr>
                <w:p w14:paraId="14CBA13F">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lang w:val="en-US" w:eastAsia="zh-CN"/>
                    </w:rPr>
                  </w:pPr>
                </w:p>
              </w:tc>
              <w:tc>
                <w:tcPr>
                  <w:tcW w:w="1681" w:type="dxa"/>
                  <w:vMerge w:val="continue"/>
                  <w:vAlign w:val="center"/>
                </w:tcPr>
                <w:p w14:paraId="119A07FD">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lang w:val="en-US" w:eastAsia="zh-CN"/>
                    </w:rPr>
                  </w:pPr>
                </w:p>
              </w:tc>
            </w:tr>
            <w:tr w14:paraId="4C97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8" w:type="dxa"/>
                  <w:vMerge w:val="continue"/>
                  <w:vAlign w:val="center"/>
                </w:tcPr>
                <w:p w14:paraId="2C08C6F2">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089" w:type="dxa"/>
                  <w:vMerge w:val="continue"/>
                  <w:vAlign w:val="center"/>
                </w:tcPr>
                <w:p w14:paraId="7B1123AC">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lang w:val="en-US" w:eastAsia="zh-CN"/>
                    </w:rPr>
                  </w:pPr>
                </w:p>
              </w:tc>
              <w:tc>
                <w:tcPr>
                  <w:tcW w:w="1524" w:type="dxa"/>
                  <w:vAlign w:val="center"/>
                </w:tcPr>
                <w:p w14:paraId="45D204A6">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＞3mm</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lang w:val="en-US" w:eastAsia="zh-CN"/>
                    </w:rPr>
                    <w:t>3mm</w:t>
                  </w:r>
                </w:p>
              </w:tc>
              <w:tc>
                <w:tcPr>
                  <w:tcW w:w="1524" w:type="dxa"/>
                  <w:vAlign w:val="center"/>
                </w:tcPr>
                <w:p w14:paraId="46045788">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34360.65</w:t>
                  </w:r>
                </w:p>
              </w:tc>
              <w:tc>
                <w:tcPr>
                  <w:tcW w:w="2013" w:type="dxa"/>
                  <w:vMerge w:val="continue"/>
                  <w:vAlign w:val="center"/>
                </w:tcPr>
                <w:p w14:paraId="2071AF7E">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lang w:val="en-US" w:eastAsia="zh-CN"/>
                    </w:rPr>
                  </w:pPr>
                </w:p>
              </w:tc>
              <w:tc>
                <w:tcPr>
                  <w:tcW w:w="1681" w:type="dxa"/>
                  <w:vMerge w:val="continue"/>
                  <w:vAlign w:val="center"/>
                </w:tcPr>
                <w:p w14:paraId="3A93DE53">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lang w:val="en-US" w:eastAsia="zh-CN"/>
                    </w:rPr>
                  </w:pPr>
                </w:p>
              </w:tc>
            </w:tr>
            <w:tr w14:paraId="73C9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48" w:type="dxa"/>
                  <w:vMerge w:val="restart"/>
                  <w:vAlign w:val="center"/>
                </w:tcPr>
                <w:p w14:paraId="2F1974E0">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副产品</w:t>
                  </w:r>
                </w:p>
              </w:tc>
              <w:tc>
                <w:tcPr>
                  <w:tcW w:w="1089" w:type="dxa"/>
                  <w:vMerge w:val="restart"/>
                  <w:vAlign w:val="center"/>
                </w:tcPr>
                <w:p w14:paraId="064A18A9">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含磁物料</w:t>
                  </w:r>
                </w:p>
              </w:tc>
              <w:tc>
                <w:tcPr>
                  <w:tcW w:w="1524" w:type="dxa"/>
                  <w:vAlign w:val="center"/>
                </w:tcPr>
                <w:p w14:paraId="0829064A">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＞30mm</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30-15mm</w:t>
                  </w:r>
                </w:p>
              </w:tc>
              <w:tc>
                <w:tcPr>
                  <w:tcW w:w="1524" w:type="dxa"/>
                  <w:vAlign w:val="center"/>
                </w:tcPr>
                <w:p w14:paraId="22CEB0FA">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9996</w:t>
                  </w:r>
                </w:p>
              </w:tc>
              <w:tc>
                <w:tcPr>
                  <w:tcW w:w="2013" w:type="dxa"/>
                  <w:vMerge w:val="restart"/>
                  <w:vAlign w:val="center"/>
                </w:tcPr>
                <w:p w14:paraId="5373F9F4">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可用作</w:t>
                  </w:r>
                  <w:r>
                    <w:rPr>
                      <w:rFonts w:hint="default" w:ascii="Times New Roman" w:hAnsi="Times New Roman" w:eastAsia="宋体" w:cs="Times New Roman"/>
                      <w:color w:val="auto"/>
                      <w:sz w:val="21"/>
                      <w:szCs w:val="21"/>
                      <w:vertAlign w:val="baseline"/>
                      <w:lang w:eastAsia="zh-CN"/>
                    </w:rPr>
                    <w:t>铸造材料</w:t>
                  </w:r>
                </w:p>
              </w:tc>
              <w:tc>
                <w:tcPr>
                  <w:tcW w:w="1681" w:type="dxa"/>
                  <w:vMerge w:val="restart"/>
                  <w:vAlign w:val="center"/>
                </w:tcPr>
                <w:p w14:paraId="376F22A5">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0FAB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48" w:type="dxa"/>
                  <w:vMerge w:val="continue"/>
                  <w:vAlign w:val="center"/>
                </w:tcPr>
                <w:p w14:paraId="469C3AD4">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1089" w:type="dxa"/>
                  <w:vMerge w:val="continue"/>
                  <w:vAlign w:val="center"/>
                </w:tcPr>
                <w:p w14:paraId="4FACB93F">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1524" w:type="dxa"/>
                  <w:vAlign w:val="center"/>
                </w:tcPr>
                <w:p w14:paraId="51CD2CE9">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＞3mm</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lang w:val="en-US" w:eastAsia="zh-CN"/>
                    </w:rPr>
                    <w:t>3mm</w:t>
                  </w:r>
                </w:p>
              </w:tc>
              <w:tc>
                <w:tcPr>
                  <w:tcW w:w="1524" w:type="dxa"/>
                  <w:vAlign w:val="center"/>
                </w:tcPr>
                <w:p w14:paraId="3A6B2B41">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10404</w:t>
                  </w:r>
                </w:p>
              </w:tc>
              <w:tc>
                <w:tcPr>
                  <w:tcW w:w="2013" w:type="dxa"/>
                  <w:vMerge w:val="continue"/>
                  <w:vAlign w:val="center"/>
                </w:tcPr>
                <w:p w14:paraId="3FEABC2A">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1681" w:type="dxa"/>
                  <w:vMerge w:val="continue"/>
                  <w:vAlign w:val="center"/>
                </w:tcPr>
                <w:p w14:paraId="39FD4C15">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eastAsia" w:ascii="Times New Roman" w:hAnsi="Times New Roman" w:eastAsia="宋体" w:cs="Times New Roman"/>
                      <w:color w:val="auto"/>
                      <w:sz w:val="21"/>
                      <w:szCs w:val="21"/>
                      <w:vertAlign w:val="baseline"/>
                      <w:lang w:val="en-US" w:eastAsia="zh-CN"/>
                    </w:rPr>
                  </w:pPr>
                </w:p>
              </w:tc>
            </w:tr>
            <w:tr w14:paraId="62A4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361" w:type="dxa"/>
                  <w:gridSpan w:val="3"/>
                  <w:vAlign w:val="center"/>
                </w:tcPr>
                <w:p w14:paraId="2B2426DA">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524" w:type="dxa"/>
                  <w:vAlign w:val="center"/>
                </w:tcPr>
                <w:p w14:paraId="1C638C0A">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sz w:val="21"/>
                      <w:szCs w:val="21"/>
                      <w:u w:val="none"/>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99442.209</w:t>
                  </w:r>
                </w:p>
              </w:tc>
              <w:tc>
                <w:tcPr>
                  <w:tcW w:w="2013" w:type="dxa"/>
                  <w:vAlign w:val="center"/>
                </w:tcPr>
                <w:p w14:paraId="5E281FF5">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1681" w:type="dxa"/>
                  <w:vAlign w:val="center"/>
                </w:tcPr>
                <w:p w14:paraId="7A3F813F">
                  <w:pPr>
                    <w:pStyle w:val="10"/>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14:paraId="00A03AF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3、主要建构筑物</w:t>
            </w:r>
          </w:p>
          <w:p w14:paraId="5C24683C">
            <w:pPr>
              <w:pStyle w:val="7"/>
              <w:keepNext w:val="0"/>
              <w:keepLines w:val="0"/>
              <w:pageBreakBefore w:val="0"/>
              <w:widowControl w:val="0"/>
              <w:kinsoku/>
              <w:wordWrap/>
              <w:overflowPunct/>
              <w:topLinePunct w:val="0"/>
              <w:autoSpaceDE w:val="0"/>
              <w:autoSpaceDN w:val="0"/>
              <w:bidi w:val="0"/>
              <w:adjustRightInd w:val="0"/>
              <w:snapToGrid w:val="0"/>
              <w:spacing w:line="500" w:lineRule="exact"/>
              <w:ind w:firstLine="512"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本项目总占地面积</w:t>
            </w:r>
            <w:r>
              <w:rPr>
                <w:rFonts w:hint="eastAsia" w:eastAsia="宋体" w:cs="Times New Roman"/>
                <w:color w:val="auto"/>
                <w:sz w:val="24"/>
                <w:szCs w:val="24"/>
                <w:lang w:val="en-US" w:eastAsia="zh-CN"/>
              </w:rPr>
              <w:t>3500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en-US" w:eastAsia="zh-CN"/>
              </w:rPr>
              <w:t>总建筑面积</w:t>
            </w:r>
            <w:r>
              <w:rPr>
                <w:rFonts w:hint="eastAsia" w:eastAsia="宋体" w:cs="Times New Roman"/>
                <w:color w:val="auto"/>
                <w:sz w:val="24"/>
                <w:szCs w:val="24"/>
                <w:highlight w:val="none"/>
                <w:lang w:val="en-US" w:eastAsia="zh-CN"/>
              </w:rPr>
              <w:t>1412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lang w:val="en-US" w:eastAsia="zh-CN"/>
              </w:rPr>
              <w:t>，主要建（构）筑物一览表见下表。</w:t>
            </w:r>
          </w:p>
          <w:p w14:paraId="0F1CAA45">
            <w:pPr>
              <w:keepNext w:val="0"/>
              <w:keepLines w:val="0"/>
              <w:pageBreakBefore w:val="0"/>
              <w:widowControl w:val="0"/>
              <w:kinsoku/>
              <w:wordWrap/>
              <w:overflowPunct/>
              <w:topLinePunct w:val="0"/>
              <w:autoSpaceDE w:val="0"/>
              <w:autoSpaceDN w:val="0"/>
              <w:bidi w:val="0"/>
              <w:adjustRightInd w:val="0"/>
              <w:snapToGrid w:val="0"/>
              <w:spacing w:line="500" w:lineRule="exact"/>
              <w:ind w:firstLine="2951" w:firstLineChars="1400"/>
              <w:jc w:val="both"/>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rPr>
              <w:t>主要建（构）筑物一览表</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067"/>
              <w:gridCol w:w="1084"/>
              <w:gridCol w:w="1354"/>
              <w:gridCol w:w="1523"/>
              <w:gridCol w:w="2002"/>
              <w:gridCol w:w="910"/>
            </w:tblGrid>
            <w:tr w14:paraId="17E5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39" w:type="dxa"/>
                  <w:tcBorders>
                    <w:tl2br w:val="nil"/>
                    <w:tr2bl w:val="nil"/>
                  </w:tcBorders>
                  <w:noWrap w:val="0"/>
                  <w:vAlign w:val="center"/>
                </w:tcPr>
                <w:p w14:paraId="49B78C6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2151" w:type="dxa"/>
                  <w:gridSpan w:val="2"/>
                  <w:tcBorders>
                    <w:tl2br w:val="nil"/>
                    <w:tr2bl w:val="nil"/>
                  </w:tcBorders>
                  <w:noWrap w:val="0"/>
                  <w:vAlign w:val="center"/>
                </w:tcPr>
                <w:p w14:paraId="58D429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名称</w:t>
                  </w:r>
                </w:p>
              </w:tc>
              <w:tc>
                <w:tcPr>
                  <w:tcW w:w="1354" w:type="dxa"/>
                  <w:tcBorders>
                    <w:tl2br w:val="nil"/>
                    <w:tr2bl w:val="nil"/>
                  </w:tcBorders>
                  <w:noWrap w:val="0"/>
                  <w:vAlign w:val="center"/>
                </w:tcPr>
                <w:p w14:paraId="6698D8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占地面积</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523" w:type="dxa"/>
                  <w:tcBorders>
                    <w:tl2br w:val="nil"/>
                    <w:tr2bl w:val="nil"/>
                  </w:tcBorders>
                  <w:noWrap w:val="0"/>
                  <w:vAlign w:val="center"/>
                </w:tcPr>
                <w:p w14:paraId="5AC6C7C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建筑面积</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002" w:type="dxa"/>
                  <w:tcBorders>
                    <w:tl2br w:val="nil"/>
                    <w:tr2bl w:val="nil"/>
                  </w:tcBorders>
                  <w:noWrap w:val="0"/>
                  <w:vAlign w:val="center"/>
                </w:tcPr>
                <w:p w14:paraId="6F1B0BE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结构形式</w:t>
                  </w:r>
                </w:p>
              </w:tc>
              <w:tc>
                <w:tcPr>
                  <w:tcW w:w="910" w:type="dxa"/>
                  <w:tcBorders>
                    <w:tl2br w:val="nil"/>
                    <w:tr2bl w:val="nil"/>
                  </w:tcBorders>
                  <w:noWrap w:val="0"/>
                  <w:vAlign w:val="center"/>
                </w:tcPr>
                <w:p w14:paraId="32722CC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备注</w:t>
                  </w:r>
                </w:p>
              </w:tc>
            </w:tr>
            <w:tr w14:paraId="61C4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39" w:type="dxa"/>
                  <w:vMerge w:val="restart"/>
                  <w:tcBorders>
                    <w:tl2br w:val="nil"/>
                    <w:tr2bl w:val="nil"/>
                  </w:tcBorders>
                  <w:noWrap w:val="0"/>
                  <w:vAlign w:val="center"/>
                </w:tcPr>
                <w:p w14:paraId="69657BF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67" w:type="dxa"/>
                  <w:vMerge w:val="restart"/>
                  <w:tcBorders>
                    <w:tl2br w:val="nil"/>
                    <w:tr2bl w:val="nil"/>
                  </w:tcBorders>
                  <w:noWrap w:val="0"/>
                  <w:vAlign w:val="center"/>
                </w:tcPr>
                <w:p w14:paraId="3EB8CAB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封闭式生产车间</w:t>
                  </w:r>
                </w:p>
              </w:tc>
              <w:tc>
                <w:tcPr>
                  <w:tcW w:w="1084" w:type="dxa"/>
                  <w:tcBorders>
                    <w:tl2br w:val="nil"/>
                    <w:tr2bl w:val="nil"/>
                  </w:tcBorders>
                  <w:noWrap w:val="0"/>
                  <w:vAlign w:val="center"/>
                </w:tcPr>
                <w:p w14:paraId="47E739C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生产区</w:t>
                  </w:r>
                </w:p>
              </w:tc>
              <w:tc>
                <w:tcPr>
                  <w:tcW w:w="1354" w:type="dxa"/>
                  <w:tcBorders>
                    <w:tl2br w:val="nil"/>
                    <w:tr2bl w:val="nil"/>
                  </w:tcBorders>
                  <w:noWrap w:val="0"/>
                  <w:vAlign w:val="center"/>
                </w:tcPr>
                <w:p w14:paraId="1D75F08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525</w:t>
                  </w:r>
                </w:p>
              </w:tc>
              <w:tc>
                <w:tcPr>
                  <w:tcW w:w="1523" w:type="dxa"/>
                  <w:tcBorders>
                    <w:tl2br w:val="nil"/>
                    <w:tr2bl w:val="nil"/>
                  </w:tcBorders>
                  <w:noWrap w:val="0"/>
                  <w:vAlign w:val="center"/>
                </w:tcPr>
                <w:p w14:paraId="050CCCB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525</w:t>
                  </w:r>
                </w:p>
              </w:tc>
              <w:tc>
                <w:tcPr>
                  <w:tcW w:w="2002" w:type="dxa"/>
                  <w:tcBorders>
                    <w:tl2br w:val="nil"/>
                    <w:tr2bl w:val="nil"/>
                  </w:tcBorders>
                  <w:noWrap w:val="0"/>
                  <w:vAlign w:val="center"/>
                </w:tcPr>
                <w:p w14:paraId="20D2762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eastAsia="zh-CN"/>
                    </w:rPr>
                    <w:t>砖</w:t>
                  </w:r>
                  <w:r>
                    <w:rPr>
                      <w:rFonts w:hint="default" w:ascii="Times New Roman" w:hAnsi="Times New Roman" w:eastAsia="宋体" w:cs="Times New Roman"/>
                      <w:color w:val="auto"/>
                      <w:sz w:val="21"/>
                      <w:szCs w:val="21"/>
                      <w:highlight w:val="none"/>
                      <w:lang w:eastAsia="zh-CN"/>
                    </w:rPr>
                    <w:t>结构</w:t>
                  </w:r>
                </w:p>
              </w:tc>
              <w:tc>
                <w:tcPr>
                  <w:tcW w:w="910" w:type="dxa"/>
                  <w:tcBorders>
                    <w:tl2br w:val="nil"/>
                    <w:tr2bl w:val="nil"/>
                  </w:tcBorders>
                  <w:noWrap w:val="0"/>
                  <w:vAlign w:val="center"/>
                </w:tcPr>
                <w:p w14:paraId="062760C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14:paraId="6444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39" w:type="dxa"/>
                  <w:vMerge w:val="continue"/>
                  <w:tcBorders>
                    <w:tl2br w:val="nil"/>
                    <w:tr2bl w:val="nil"/>
                  </w:tcBorders>
                  <w:noWrap w:val="0"/>
                  <w:vAlign w:val="center"/>
                </w:tcPr>
                <w:p w14:paraId="4C723A7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67" w:type="dxa"/>
                  <w:vMerge w:val="continue"/>
                  <w:tcBorders>
                    <w:tl2br w:val="nil"/>
                    <w:tr2bl w:val="nil"/>
                  </w:tcBorders>
                  <w:noWrap w:val="0"/>
                  <w:vAlign w:val="center"/>
                </w:tcPr>
                <w:p w14:paraId="1CCDCA4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c>
                <w:tcPr>
                  <w:tcW w:w="1084" w:type="dxa"/>
                  <w:tcBorders>
                    <w:tl2br w:val="nil"/>
                    <w:tr2bl w:val="nil"/>
                  </w:tcBorders>
                  <w:noWrap w:val="0"/>
                  <w:vAlign w:val="center"/>
                </w:tcPr>
                <w:p w14:paraId="6DBE9E4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eastAsia="zh-CN"/>
                    </w:rPr>
                    <w:t>危险废物贮存间</w:t>
                  </w:r>
                </w:p>
              </w:tc>
              <w:tc>
                <w:tcPr>
                  <w:tcW w:w="1354" w:type="dxa"/>
                  <w:tcBorders>
                    <w:tl2br w:val="nil"/>
                    <w:tr2bl w:val="nil"/>
                  </w:tcBorders>
                  <w:noWrap w:val="0"/>
                  <w:vAlign w:val="center"/>
                </w:tcPr>
                <w:p w14:paraId="462852D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w:t>
                  </w:r>
                </w:p>
              </w:tc>
              <w:tc>
                <w:tcPr>
                  <w:tcW w:w="1523" w:type="dxa"/>
                  <w:tcBorders>
                    <w:tl2br w:val="nil"/>
                    <w:tr2bl w:val="nil"/>
                  </w:tcBorders>
                  <w:noWrap w:val="0"/>
                  <w:vAlign w:val="center"/>
                </w:tcPr>
                <w:p w14:paraId="4BE2FD4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w:t>
                  </w:r>
                </w:p>
              </w:tc>
              <w:tc>
                <w:tcPr>
                  <w:tcW w:w="2002" w:type="dxa"/>
                  <w:tcBorders>
                    <w:tl2br w:val="nil"/>
                    <w:tr2bl w:val="nil"/>
                  </w:tcBorders>
                  <w:noWrap w:val="0"/>
                  <w:vAlign w:val="center"/>
                </w:tcPr>
                <w:p w14:paraId="62CC885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lang w:eastAsia="zh-CN"/>
                    </w:rPr>
                    <w:t>砖混</w:t>
                  </w:r>
                  <w:r>
                    <w:rPr>
                      <w:rFonts w:hint="default" w:ascii="Times New Roman" w:hAnsi="Times New Roman" w:eastAsia="宋体" w:cs="Times New Roman"/>
                      <w:color w:val="auto"/>
                      <w:sz w:val="21"/>
                      <w:szCs w:val="21"/>
                      <w:highlight w:val="none"/>
                      <w:lang w:eastAsia="zh-CN"/>
                    </w:rPr>
                    <w:t>结构</w:t>
                  </w:r>
                </w:p>
              </w:tc>
              <w:tc>
                <w:tcPr>
                  <w:tcW w:w="910" w:type="dxa"/>
                  <w:tcBorders>
                    <w:tl2br w:val="nil"/>
                    <w:tr2bl w:val="nil"/>
                  </w:tcBorders>
                  <w:noWrap w:val="0"/>
                  <w:vAlign w:val="center"/>
                </w:tcPr>
                <w:p w14:paraId="5D715E6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highlight w:val="none"/>
                      <w:lang w:val="en-US" w:eastAsia="zh-CN"/>
                    </w:rPr>
                    <w:t>位于生产车间内建设</w:t>
                  </w:r>
                </w:p>
              </w:tc>
            </w:tr>
            <w:tr w14:paraId="4380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39" w:type="dxa"/>
                  <w:tcBorders>
                    <w:tl2br w:val="nil"/>
                    <w:tr2bl w:val="nil"/>
                  </w:tcBorders>
                  <w:noWrap w:val="0"/>
                  <w:vAlign w:val="center"/>
                </w:tcPr>
                <w:p w14:paraId="78659F0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151" w:type="dxa"/>
                  <w:gridSpan w:val="2"/>
                  <w:tcBorders>
                    <w:tl2br w:val="nil"/>
                    <w:tr2bl w:val="nil"/>
                  </w:tcBorders>
                  <w:noWrap w:val="0"/>
                  <w:vAlign w:val="center"/>
                </w:tcPr>
                <w:p w14:paraId="4E415A7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封闭式</w:t>
                  </w:r>
                  <w:r>
                    <w:rPr>
                      <w:rFonts w:hint="eastAsia" w:cs="Times New Roman"/>
                      <w:color w:val="auto"/>
                      <w:sz w:val="21"/>
                      <w:szCs w:val="21"/>
                      <w:highlight w:val="none"/>
                      <w:lang w:val="en-US" w:eastAsia="zh-CN"/>
                    </w:rPr>
                    <w:t>原料车间</w:t>
                  </w:r>
                </w:p>
              </w:tc>
              <w:tc>
                <w:tcPr>
                  <w:tcW w:w="1354" w:type="dxa"/>
                  <w:tcBorders>
                    <w:tl2br w:val="nil"/>
                    <w:tr2bl w:val="nil"/>
                  </w:tcBorders>
                  <w:noWrap w:val="0"/>
                  <w:vAlign w:val="center"/>
                </w:tcPr>
                <w:p w14:paraId="61E7F19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515</w:t>
                  </w:r>
                </w:p>
              </w:tc>
              <w:tc>
                <w:tcPr>
                  <w:tcW w:w="1523" w:type="dxa"/>
                  <w:tcBorders>
                    <w:tl2br w:val="nil"/>
                    <w:tr2bl w:val="nil"/>
                  </w:tcBorders>
                  <w:noWrap w:val="0"/>
                  <w:vAlign w:val="center"/>
                </w:tcPr>
                <w:p w14:paraId="1A023E1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515</w:t>
                  </w:r>
                </w:p>
              </w:tc>
              <w:tc>
                <w:tcPr>
                  <w:tcW w:w="2002" w:type="dxa"/>
                  <w:tcBorders>
                    <w:tl2br w:val="nil"/>
                    <w:tr2bl w:val="nil"/>
                  </w:tcBorders>
                  <w:noWrap w:val="0"/>
                  <w:vAlign w:val="center"/>
                </w:tcPr>
                <w:p w14:paraId="39D4005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钢结构</w:t>
                  </w:r>
                </w:p>
              </w:tc>
              <w:tc>
                <w:tcPr>
                  <w:tcW w:w="910" w:type="dxa"/>
                  <w:tcBorders>
                    <w:tl2br w:val="nil"/>
                    <w:tr2bl w:val="nil"/>
                  </w:tcBorders>
                  <w:noWrap w:val="0"/>
                  <w:vAlign w:val="center"/>
                </w:tcPr>
                <w:p w14:paraId="3204CD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14:paraId="21F9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39" w:type="dxa"/>
                  <w:tcBorders>
                    <w:tl2br w:val="nil"/>
                    <w:tr2bl w:val="nil"/>
                  </w:tcBorders>
                  <w:noWrap w:val="0"/>
                  <w:vAlign w:val="center"/>
                </w:tcPr>
                <w:p w14:paraId="3768955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eastAsia="宋体"/>
                      <w:color w:val="auto"/>
                      <w:lang w:val="en-US" w:eastAsia="zh-CN"/>
                    </w:rPr>
                  </w:pPr>
                  <w:r>
                    <w:rPr>
                      <w:rFonts w:hint="eastAsia"/>
                      <w:color w:val="auto"/>
                      <w:lang w:val="en-US" w:eastAsia="zh-CN"/>
                    </w:rPr>
                    <w:t>3</w:t>
                  </w:r>
                </w:p>
              </w:tc>
              <w:tc>
                <w:tcPr>
                  <w:tcW w:w="2151" w:type="dxa"/>
                  <w:gridSpan w:val="2"/>
                  <w:tcBorders>
                    <w:tl2br w:val="nil"/>
                    <w:tr2bl w:val="nil"/>
                  </w:tcBorders>
                  <w:noWrap w:val="0"/>
                  <w:vAlign w:val="center"/>
                </w:tcPr>
                <w:p w14:paraId="1E97733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封闭式成品车间</w:t>
                  </w:r>
                </w:p>
              </w:tc>
              <w:tc>
                <w:tcPr>
                  <w:tcW w:w="1354" w:type="dxa"/>
                  <w:tcBorders>
                    <w:tl2br w:val="nil"/>
                    <w:tr2bl w:val="nil"/>
                  </w:tcBorders>
                  <w:noWrap w:val="0"/>
                  <w:vAlign w:val="center"/>
                </w:tcPr>
                <w:p w14:paraId="539AD0D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372</w:t>
                  </w:r>
                </w:p>
              </w:tc>
              <w:tc>
                <w:tcPr>
                  <w:tcW w:w="1523" w:type="dxa"/>
                  <w:tcBorders>
                    <w:tl2br w:val="nil"/>
                    <w:tr2bl w:val="nil"/>
                  </w:tcBorders>
                  <w:noWrap w:val="0"/>
                  <w:vAlign w:val="center"/>
                </w:tcPr>
                <w:p w14:paraId="5F5BE03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372</w:t>
                  </w:r>
                </w:p>
              </w:tc>
              <w:tc>
                <w:tcPr>
                  <w:tcW w:w="2002" w:type="dxa"/>
                  <w:tcBorders>
                    <w:tl2br w:val="nil"/>
                    <w:tr2bl w:val="nil"/>
                  </w:tcBorders>
                  <w:noWrap w:val="0"/>
                  <w:vAlign w:val="center"/>
                </w:tcPr>
                <w:p w14:paraId="42C91A2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eastAsia="zh-CN"/>
                    </w:rPr>
                    <w:t>高</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钢结构</w:t>
                  </w:r>
                </w:p>
              </w:tc>
              <w:tc>
                <w:tcPr>
                  <w:tcW w:w="910" w:type="dxa"/>
                  <w:tcBorders>
                    <w:tl2br w:val="nil"/>
                    <w:tr2bl w:val="nil"/>
                  </w:tcBorders>
                  <w:noWrap w:val="0"/>
                  <w:vAlign w:val="center"/>
                </w:tcPr>
                <w:p w14:paraId="4C95D78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eastAsia="zh-CN"/>
                    </w:rPr>
                    <w:t>新建</w:t>
                  </w:r>
                </w:p>
              </w:tc>
            </w:tr>
            <w:tr w14:paraId="6277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0"/>
                  <w:vAlign w:val="center"/>
                </w:tcPr>
                <w:p w14:paraId="6678D4A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2151" w:type="dxa"/>
                  <w:gridSpan w:val="2"/>
                  <w:tcBorders>
                    <w:tl2br w:val="nil"/>
                    <w:tr2bl w:val="nil"/>
                  </w:tcBorders>
                  <w:noWrap w:val="0"/>
                  <w:vAlign w:val="center"/>
                </w:tcPr>
                <w:p w14:paraId="75355DA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沉淀池</w:t>
                  </w:r>
                </w:p>
              </w:tc>
              <w:tc>
                <w:tcPr>
                  <w:tcW w:w="1354" w:type="dxa"/>
                  <w:tcBorders>
                    <w:tl2br w:val="nil"/>
                    <w:tr2bl w:val="nil"/>
                  </w:tcBorders>
                  <w:noWrap w:val="0"/>
                  <w:vAlign w:val="center"/>
                </w:tcPr>
                <w:p w14:paraId="38FAA46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34.84</w:t>
                  </w:r>
                </w:p>
              </w:tc>
              <w:tc>
                <w:tcPr>
                  <w:tcW w:w="1523" w:type="dxa"/>
                  <w:tcBorders>
                    <w:tl2br w:val="nil"/>
                    <w:tr2bl w:val="nil"/>
                  </w:tcBorders>
                  <w:noWrap w:val="0"/>
                  <w:vAlign w:val="center"/>
                </w:tcPr>
                <w:p w14:paraId="23DDD20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w:t>
                  </w:r>
                </w:p>
              </w:tc>
              <w:tc>
                <w:tcPr>
                  <w:tcW w:w="2002" w:type="dxa"/>
                  <w:tcBorders>
                    <w:tl2br w:val="nil"/>
                    <w:tr2bl w:val="nil"/>
                  </w:tcBorders>
                  <w:noWrap w:val="0"/>
                  <w:vAlign w:val="center"/>
                </w:tcPr>
                <w:p w14:paraId="109BB73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深</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米，砖混</w:t>
                  </w:r>
                  <w:r>
                    <w:rPr>
                      <w:rFonts w:hint="default" w:ascii="Times New Roman" w:hAnsi="Times New Roman" w:eastAsia="宋体" w:cs="Times New Roman"/>
                      <w:color w:val="auto"/>
                      <w:sz w:val="21"/>
                      <w:szCs w:val="21"/>
                      <w:highlight w:val="none"/>
                    </w:rPr>
                    <w:t>结构</w:t>
                  </w:r>
                </w:p>
              </w:tc>
              <w:tc>
                <w:tcPr>
                  <w:tcW w:w="910" w:type="dxa"/>
                  <w:tcBorders>
                    <w:tl2br w:val="nil"/>
                    <w:tr2bl w:val="nil"/>
                  </w:tcBorders>
                  <w:noWrap w:val="0"/>
                  <w:vAlign w:val="center"/>
                </w:tcPr>
                <w:p w14:paraId="2DAE344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14:paraId="7D39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0"/>
                  <w:vAlign w:val="center"/>
                </w:tcPr>
                <w:p w14:paraId="61EA1A6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2151" w:type="dxa"/>
                  <w:gridSpan w:val="2"/>
                  <w:tcBorders>
                    <w:tl2br w:val="nil"/>
                    <w:tr2bl w:val="nil"/>
                  </w:tcBorders>
                  <w:noWrap w:val="0"/>
                  <w:vAlign w:val="center"/>
                </w:tcPr>
                <w:p w14:paraId="30C4798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cs="Times New Roman"/>
                      <w:color w:val="auto"/>
                      <w:sz w:val="21"/>
                      <w:szCs w:val="21"/>
                      <w:lang w:val="en-US" w:eastAsia="zh-CN" w:bidi="zh-CN"/>
                    </w:rPr>
                  </w:pPr>
                  <w:r>
                    <w:rPr>
                      <w:rFonts w:hint="eastAsia" w:cs="Times New Roman"/>
                      <w:color w:val="auto"/>
                      <w:sz w:val="21"/>
                      <w:szCs w:val="21"/>
                      <w:lang w:val="en-US" w:eastAsia="zh-CN" w:bidi="zh-CN"/>
                    </w:rPr>
                    <w:t>洗车平台及配套沉淀池</w:t>
                  </w:r>
                </w:p>
              </w:tc>
              <w:tc>
                <w:tcPr>
                  <w:tcW w:w="1354" w:type="dxa"/>
                  <w:tcBorders>
                    <w:tl2br w:val="nil"/>
                    <w:tr2bl w:val="nil"/>
                  </w:tcBorders>
                  <w:noWrap w:val="0"/>
                  <w:vAlign w:val="center"/>
                </w:tcPr>
                <w:p w14:paraId="302C91C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s="Times New Roman"/>
                      <w:color w:val="auto"/>
                      <w:sz w:val="21"/>
                      <w:szCs w:val="21"/>
                      <w:lang w:val="en-US" w:eastAsia="zh-CN" w:bidi="zh-CN"/>
                    </w:rPr>
                  </w:pPr>
                  <w:r>
                    <w:rPr>
                      <w:rFonts w:hint="eastAsia" w:cs="Times New Roman"/>
                      <w:color w:val="auto"/>
                      <w:sz w:val="21"/>
                      <w:szCs w:val="21"/>
                      <w:lang w:val="en-US" w:eastAsia="zh-CN" w:bidi="zh-CN"/>
                    </w:rPr>
                    <w:t>10</w:t>
                  </w:r>
                </w:p>
              </w:tc>
              <w:tc>
                <w:tcPr>
                  <w:tcW w:w="1523" w:type="dxa"/>
                  <w:tcBorders>
                    <w:tl2br w:val="nil"/>
                    <w:tr2bl w:val="nil"/>
                  </w:tcBorders>
                  <w:noWrap w:val="0"/>
                  <w:vAlign w:val="center"/>
                </w:tcPr>
                <w:p w14:paraId="51915B0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p>
              </w:tc>
              <w:tc>
                <w:tcPr>
                  <w:tcW w:w="2002" w:type="dxa"/>
                  <w:tcBorders>
                    <w:tl2br w:val="nil"/>
                    <w:tr2bl w:val="nil"/>
                  </w:tcBorders>
                  <w:noWrap w:val="0"/>
                  <w:vAlign w:val="center"/>
                </w:tcPr>
                <w:p w14:paraId="691FD3C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深</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米，砖混</w:t>
                  </w:r>
                  <w:r>
                    <w:rPr>
                      <w:rFonts w:hint="default" w:ascii="Times New Roman" w:hAnsi="Times New Roman" w:eastAsia="宋体" w:cs="Times New Roman"/>
                      <w:color w:val="auto"/>
                      <w:sz w:val="21"/>
                      <w:szCs w:val="21"/>
                      <w:highlight w:val="none"/>
                    </w:rPr>
                    <w:t>结构</w:t>
                  </w:r>
                </w:p>
              </w:tc>
              <w:tc>
                <w:tcPr>
                  <w:tcW w:w="910" w:type="dxa"/>
                  <w:tcBorders>
                    <w:tl2br w:val="nil"/>
                    <w:tr2bl w:val="nil"/>
                  </w:tcBorders>
                  <w:noWrap w:val="0"/>
                  <w:vAlign w:val="center"/>
                </w:tcPr>
                <w:p w14:paraId="0AB2C79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bl>
          <w:p w14:paraId="5FC35F7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4"/>
                <w:szCs w:val="24"/>
                <w:lang w:val="en-US" w:eastAsia="zh-CN"/>
              </w:rPr>
              <w:t>4、项目主要设备</w:t>
            </w:r>
          </w:p>
          <w:p w14:paraId="066B55B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lang w:val="en-US" w:eastAsia="zh-CN"/>
              </w:rPr>
              <w:t>主要生产设施名称一览表</w:t>
            </w:r>
          </w:p>
          <w:tbl>
            <w:tblPr>
              <w:tblStyle w:val="2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242"/>
              <w:gridCol w:w="1613"/>
              <w:gridCol w:w="2180"/>
              <w:gridCol w:w="1257"/>
              <w:gridCol w:w="1195"/>
            </w:tblGrid>
            <w:tr w14:paraId="13C3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40735C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序号</w:t>
                  </w:r>
                </w:p>
              </w:tc>
              <w:tc>
                <w:tcPr>
                  <w:tcW w:w="1242" w:type="dxa"/>
                  <w:tcBorders>
                    <w:tl2br w:val="nil"/>
                    <w:tr2bl w:val="nil"/>
                  </w:tcBorders>
                  <w:noWrap w:val="0"/>
                  <w:vAlign w:val="center"/>
                </w:tcPr>
                <w:p w14:paraId="281E84D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生产工艺</w:t>
                  </w:r>
                </w:p>
              </w:tc>
              <w:tc>
                <w:tcPr>
                  <w:tcW w:w="1613" w:type="dxa"/>
                  <w:tcBorders>
                    <w:tl2br w:val="nil"/>
                    <w:tr2bl w:val="nil"/>
                  </w:tcBorders>
                  <w:noWrap w:val="0"/>
                  <w:vAlign w:val="center"/>
                </w:tcPr>
                <w:p w14:paraId="5979B7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设备</w:t>
                  </w:r>
                </w:p>
              </w:tc>
              <w:tc>
                <w:tcPr>
                  <w:tcW w:w="2180" w:type="dxa"/>
                  <w:tcBorders>
                    <w:tl2br w:val="nil"/>
                    <w:tr2bl w:val="nil"/>
                  </w:tcBorders>
                  <w:noWrap w:val="0"/>
                  <w:vAlign w:val="center"/>
                </w:tcPr>
                <w:p w14:paraId="6041996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型号</w:t>
                  </w:r>
                </w:p>
              </w:tc>
              <w:tc>
                <w:tcPr>
                  <w:tcW w:w="1257" w:type="dxa"/>
                  <w:tcBorders>
                    <w:tl2br w:val="nil"/>
                    <w:tr2bl w:val="nil"/>
                  </w:tcBorders>
                  <w:noWrap w:val="0"/>
                  <w:vAlign w:val="center"/>
                </w:tcPr>
                <w:p w14:paraId="5DE73C3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数量</w:t>
                  </w:r>
                </w:p>
              </w:tc>
              <w:tc>
                <w:tcPr>
                  <w:tcW w:w="1195" w:type="dxa"/>
                  <w:tcBorders>
                    <w:tl2br w:val="nil"/>
                    <w:tr2bl w:val="nil"/>
                  </w:tcBorders>
                  <w:noWrap w:val="0"/>
                  <w:vAlign w:val="center"/>
                </w:tcPr>
                <w:p w14:paraId="4896463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r>
            <w:tr w14:paraId="2F56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33E0AC8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242" w:type="dxa"/>
                  <w:tcBorders>
                    <w:tl2br w:val="nil"/>
                    <w:tr2bl w:val="nil"/>
                  </w:tcBorders>
                  <w:noWrap w:val="0"/>
                  <w:vAlign w:val="center"/>
                </w:tcPr>
                <w:p w14:paraId="09F8FEC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上料</w:t>
                  </w:r>
                </w:p>
              </w:tc>
              <w:tc>
                <w:tcPr>
                  <w:tcW w:w="1613" w:type="dxa"/>
                  <w:tcBorders>
                    <w:tl2br w:val="nil"/>
                    <w:tr2bl w:val="nil"/>
                  </w:tcBorders>
                  <w:noWrap w:val="0"/>
                  <w:vAlign w:val="center"/>
                </w:tcPr>
                <w:p w14:paraId="04111C7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料仓</w:t>
                  </w:r>
                </w:p>
              </w:tc>
              <w:tc>
                <w:tcPr>
                  <w:tcW w:w="2180" w:type="dxa"/>
                  <w:tcBorders>
                    <w:tl2br w:val="nil"/>
                    <w:tr2bl w:val="nil"/>
                  </w:tcBorders>
                  <w:noWrap w:val="0"/>
                  <w:vAlign w:val="center"/>
                </w:tcPr>
                <w:p w14:paraId="191DA56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57" w:type="dxa"/>
                  <w:tcBorders>
                    <w:tl2br w:val="nil"/>
                    <w:tr2bl w:val="nil"/>
                  </w:tcBorders>
                  <w:noWrap w:val="0"/>
                  <w:vAlign w:val="center"/>
                </w:tcPr>
                <w:p w14:paraId="5AE3196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195" w:type="dxa"/>
                  <w:tcBorders>
                    <w:tl2br w:val="nil"/>
                    <w:tr2bl w:val="nil"/>
                  </w:tcBorders>
                  <w:noWrap w:val="0"/>
                  <w:vAlign w:val="center"/>
                </w:tcPr>
                <w:p w14:paraId="627701B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座</w:t>
                  </w:r>
                </w:p>
              </w:tc>
            </w:tr>
            <w:tr w14:paraId="7022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72DA1C7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242" w:type="dxa"/>
                  <w:vMerge w:val="restart"/>
                  <w:tcBorders>
                    <w:tl2br w:val="nil"/>
                    <w:tr2bl w:val="nil"/>
                  </w:tcBorders>
                  <w:noWrap w:val="0"/>
                  <w:vAlign w:val="center"/>
                </w:tcPr>
                <w:p w14:paraId="3E4BC53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分选</w:t>
                  </w:r>
                </w:p>
              </w:tc>
              <w:tc>
                <w:tcPr>
                  <w:tcW w:w="1613" w:type="dxa"/>
                  <w:tcBorders>
                    <w:tl2br w:val="nil"/>
                    <w:tr2bl w:val="nil"/>
                  </w:tcBorders>
                  <w:noWrap w:val="0"/>
                  <w:vAlign w:val="center"/>
                </w:tcPr>
                <w:p w14:paraId="79D278F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振动筛</w:t>
                  </w:r>
                </w:p>
              </w:tc>
              <w:tc>
                <w:tcPr>
                  <w:tcW w:w="2180" w:type="dxa"/>
                  <w:tcBorders>
                    <w:tl2br w:val="nil"/>
                    <w:tr2bl w:val="nil"/>
                  </w:tcBorders>
                  <w:noWrap w:val="0"/>
                  <w:vAlign w:val="center"/>
                </w:tcPr>
                <w:p w14:paraId="4F0E84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2m×4.5m</w:t>
                  </w:r>
                </w:p>
              </w:tc>
              <w:tc>
                <w:tcPr>
                  <w:tcW w:w="1257" w:type="dxa"/>
                  <w:tcBorders>
                    <w:tl2br w:val="nil"/>
                    <w:tr2bl w:val="nil"/>
                  </w:tcBorders>
                  <w:noWrap w:val="0"/>
                  <w:vAlign w:val="center"/>
                </w:tcPr>
                <w:p w14:paraId="12185F5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1</w:t>
                  </w:r>
                </w:p>
              </w:tc>
              <w:tc>
                <w:tcPr>
                  <w:tcW w:w="1195" w:type="dxa"/>
                  <w:tcBorders>
                    <w:tl2br w:val="nil"/>
                    <w:tr2bl w:val="nil"/>
                  </w:tcBorders>
                  <w:noWrap w:val="0"/>
                  <w:vAlign w:val="center"/>
                </w:tcPr>
                <w:p w14:paraId="04118DA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rPr>
                    <w:t>台</w:t>
                  </w:r>
                </w:p>
              </w:tc>
            </w:tr>
            <w:tr w14:paraId="3FC5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7D6B787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242" w:type="dxa"/>
                  <w:vMerge w:val="continue"/>
                  <w:tcBorders>
                    <w:tl2br w:val="nil"/>
                    <w:tr2bl w:val="nil"/>
                  </w:tcBorders>
                  <w:noWrap w:val="0"/>
                  <w:vAlign w:val="center"/>
                </w:tcPr>
                <w:p w14:paraId="1B96C56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3" w:type="dxa"/>
                  <w:tcBorders>
                    <w:tl2br w:val="nil"/>
                    <w:tr2bl w:val="nil"/>
                  </w:tcBorders>
                  <w:noWrap w:val="0"/>
                  <w:vAlign w:val="center"/>
                </w:tcPr>
                <w:p w14:paraId="49895AE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高频筛</w:t>
                  </w:r>
                </w:p>
              </w:tc>
              <w:tc>
                <w:tcPr>
                  <w:tcW w:w="2180" w:type="dxa"/>
                  <w:tcBorders>
                    <w:tl2br w:val="nil"/>
                    <w:tr2bl w:val="nil"/>
                  </w:tcBorders>
                  <w:noWrap w:val="0"/>
                  <w:vAlign w:val="center"/>
                </w:tcPr>
                <w:p w14:paraId="2224259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color w:val="auto"/>
                      <w:lang w:val="en-US" w:eastAsia="zh-CN"/>
                    </w:rPr>
                  </w:pPr>
                  <w:r>
                    <w:rPr>
                      <w:rFonts w:hint="eastAsia" w:cs="Times New Roman"/>
                      <w:color w:val="auto"/>
                      <w:sz w:val="21"/>
                      <w:szCs w:val="21"/>
                      <w:lang w:val="en-US" w:eastAsia="zh-CN" w:bidi="zh-CN"/>
                    </w:rPr>
                    <w:t>6m</w:t>
                  </w:r>
                  <w:r>
                    <w:rPr>
                      <w:rFonts w:hint="eastAsia" w:cs="Times New Roman"/>
                      <w:color w:val="auto"/>
                      <w:sz w:val="21"/>
                      <w:szCs w:val="21"/>
                      <w:vertAlign w:val="superscript"/>
                      <w:lang w:val="en-US" w:eastAsia="zh-CN" w:bidi="zh-CN"/>
                    </w:rPr>
                    <w:t>2</w:t>
                  </w:r>
                </w:p>
              </w:tc>
              <w:tc>
                <w:tcPr>
                  <w:tcW w:w="1257" w:type="dxa"/>
                  <w:tcBorders>
                    <w:tl2br w:val="nil"/>
                    <w:tr2bl w:val="nil"/>
                  </w:tcBorders>
                  <w:noWrap w:val="0"/>
                  <w:vAlign w:val="center"/>
                </w:tcPr>
                <w:p w14:paraId="4BF9B78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2</w:t>
                  </w:r>
                </w:p>
              </w:tc>
              <w:tc>
                <w:tcPr>
                  <w:tcW w:w="1195" w:type="dxa"/>
                  <w:tcBorders>
                    <w:tl2br w:val="nil"/>
                    <w:tr2bl w:val="nil"/>
                  </w:tcBorders>
                  <w:noWrap w:val="0"/>
                  <w:vAlign w:val="center"/>
                </w:tcPr>
                <w:p w14:paraId="0DAC1BD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rPr>
                    <w:t>台</w:t>
                  </w:r>
                </w:p>
              </w:tc>
            </w:tr>
            <w:tr w14:paraId="1692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2239ABD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242" w:type="dxa"/>
                  <w:vMerge w:val="continue"/>
                  <w:tcBorders>
                    <w:tl2br w:val="nil"/>
                    <w:tr2bl w:val="nil"/>
                  </w:tcBorders>
                  <w:noWrap w:val="0"/>
                  <w:vAlign w:val="center"/>
                </w:tcPr>
                <w:p w14:paraId="3BFFD07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3" w:type="dxa"/>
                  <w:tcBorders>
                    <w:tl2br w:val="nil"/>
                    <w:tr2bl w:val="nil"/>
                  </w:tcBorders>
                  <w:noWrap w:val="0"/>
                  <w:vAlign w:val="center"/>
                </w:tcPr>
                <w:p w14:paraId="3E7C18C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滚筒筛</w:t>
                  </w:r>
                </w:p>
              </w:tc>
              <w:tc>
                <w:tcPr>
                  <w:tcW w:w="2180" w:type="dxa"/>
                  <w:tcBorders>
                    <w:tl2br w:val="nil"/>
                    <w:tr2bl w:val="nil"/>
                  </w:tcBorders>
                  <w:noWrap w:val="0"/>
                  <w:vAlign w:val="center"/>
                </w:tcPr>
                <w:p w14:paraId="6402D11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2m×4.5m</w:t>
                  </w:r>
                </w:p>
              </w:tc>
              <w:tc>
                <w:tcPr>
                  <w:tcW w:w="1257" w:type="dxa"/>
                  <w:tcBorders>
                    <w:tl2br w:val="nil"/>
                    <w:tr2bl w:val="nil"/>
                  </w:tcBorders>
                  <w:noWrap w:val="0"/>
                  <w:vAlign w:val="center"/>
                </w:tcPr>
                <w:p w14:paraId="410B3F4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1</w:t>
                  </w:r>
                </w:p>
              </w:tc>
              <w:tc>
                <w:tcPr>
                  <w:tcW w:w="1195" w:type="dxa"/>
                  <w:tcBorders>
                    <w:tl2br w:val="nil"/>
                    <w:tr2bl w:val="nil"/>
                  </w:tcBorders>
                  <w:noWrap w:val="0"/>
                  <w:vAlign w:val="center"/>
                </w:tcPr>
                <w:p w14:paraId="0354925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rPr>
                    <w:t>台</w:t>
                  </w:r>
                </w:p>
              </w:tc>
            </w:tr>
            <w:tr w14:paraId="51D4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6DBC1C1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242" w:type="dxa"/>
                  <w:vMerge w:val="restart"/>
                  <w:tcBorders>
                    <w:tl2br w:val="nil"/>
                    <w:tr2bl w:val="nil"/>
                  </w:tcBorders>
                  <w:noWrap w:val="0"/>
                  <w:vAlign w:val="center"/>
                </w:tcPr>
                <w:p w14:paraId="56D692F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除杂</w:t>
                  </w:r>
                </w:p>
              </w:tc>
              <w:tc>
                <w:tcPr>
                  <w:tcW w:w="1613" w:type="dxa"/>
                  <w:tcBorders>
                    <w:tl2br w:val="nil"/>
                    <w:tr2bl w:val="nil"/>
                  </w:tcBorders>
                  <w:noWrap w:val="0"/>
                  <w:vAlign w:val="center"/>
                </w:tcPr>
                <w:p w14:paraId="51E63C1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磁滑轮</w:t>
                  </w:r>
                </w:p>
              </w:tc>
              <w:tc>
                <w:tcPr>
                  <w:tcW w:w="2180" w:type="dxa"/>
                  <w:tcBorders>
                    <w:tl2br w:val="nil"/>
                    <w:tr2bl w:val="nil"/>
                  </w:tcBorders>
                  <w:noWrap w:val="0"/>
                  <w:vAlign w:val="center"/>
                </w:tcPr>
                <w:p w14:paraId="21E5C82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0.75m</w:t>
                  </w:r>
                </w:p>
              </w:tc>
              <w:tc>
                <w:tcPr>
                  <w:tcW w:w="1257" w:type="dxa"/>
                  <w:tcBorders>
                    <w:tl2br w:val="nil"/>
                    <w:tr2bl w:val="nil"/>
                  </w:tcBorders>
                  <w:noWrap w:val="0"/>
                  <w:vAlign w:val="center"/>
                </w:tcPr>
                <w:p w14:paraId="5D10F80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3</w:t>
                  </w:r>
                </w:p>
              </w:tc>
              <w:tc>
                <w:tcPr>
                  <w:tcW w:w="1195" w:type="dxa"/>
                  <w:tcBorders>
                    <w:tl2br w:val="nil"/>
                    <w:tr2bl w:val="nil"/>
                  </w:tcBorders>
                  <w:noWrap w:val="0"/>
                  <w:vAlign w:val="center"/>
                </w:tcPr>
                <w:p w14:paraId="3BC3A9B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rPr>
                    <w:t>台</w:t>
                  </w:r>
                </w:p>
              </w:tc>
            </w:tr>
            <w:tr w14:paraId="67CD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2075D5E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242" w:type="dxa"/>
                  <w:vMerge w:val="continue"/>
                  <w:tcBorders>
                    <w:tl2br w:val="nil"/>
                    <w:tr2bl w:val="nil"/>
                  </w:tcBorders>
                  <w:noWrap w:val="0"/>
                  <w:vAlign w:val="center"/>
                </w:tcPr>
                <w:p w14:paraId="519889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3" w:type="dxa"/>
                  <w:tcBorders>
                    <w:tl2br w:val="nil"/>
                    <w:tr2bl w:val="nil"/>
                  </w:tcBorders>
                  <w:noWrap w:val="0"/>
                  <w:vAlign w:val="center"/>
                </w:tcPr>
                <w:p w14:paraId="28A0A0F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湿式磁选机</w:t>
                  </w:r>
                </w:p>
              </w:tc>
              <w:tc>
                <w:tcPr>
                  <w:tcW w:w="2180" w:type="dxa"/>
                  <w:tcBorders>
                    <w:tl2br w:val="nil"/>
                    <w:tr2bl w:val="nil"/>
                  </w:tcBorders>
                  <w:noWrap w:val="0"/>
                  <w:vAlign w:val="center"/>
                </w:tcPr>
                <w:p w14:paraId="6C159F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cs="Times New Roman"/>
                      <w:color w:val="auto"/>
                      <w:sz w:val="21"/>
                      <w:szCs w:val="21"/>
                      <w:lang w:val="en-US" w:eastAsia="zh-CN" w:bidi="zh-CN"/>
                    </w:rPr>
                  </w:pPr>
                  <w:r>
                    <w:rPr>
                      <w:rFonts w:hint="eastAsia" w:cs="Times New Roman"/>
                      <w:color w:val="auto"/>
                      <w:sz w:val="21"/>
                      <w:szCs w:val="21"/>
                      <w:lang w:val="en-US" w:eastAsia="zh-CN" w:bidi="zh-CN"/>
                    </w:rPr>
                    <w:t>1.05m*3m</w:t>
                  </w:r>
                </w:p>
                <w:p w14:paraId="2209375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cs="Times New Roman"/>
                      <w:color w:val="auto"/>
                      <w:sz w:val="21"/>
                      <w:szCs w:val="21"/>
                      <w:lang w:val="en-US" w:eastAsia="zh-CN" w:bidi="zh-CN"/>
                    </w:rPr>
                  </w:pPr>
                  <w:r>
                    <w:rPr>
                      <w:rFonts w:hint="eastAsia" w:cs="Times New Roman"/>
                      <w:color w:val="auto"/>
                      <w:sz w:val="21"/>
                      <w:szCs w:val="21"/>
                      <w:lang w:val="en-US" w:eastAsia="zh-CN" w:bidi="zh-CN"/>
                    </w:rPr>
                    <w:t>1.05m*2.4m</w:t>
                  </w:r>
                </w:p>
                <w:p w14:paraId="69AC731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1.05m*2.4m</w:t>
                  </w:r>
                </w:p>
              </w:tc>
              <w:tc>
                <w:tcPr>
                  <w:tcW w:w="1257" w:type="dxa"/>
                  <w:tcBorders>
                    <w:tl2br w:val="nil"/>
                    <w:tr2bl w:val="nil"/>
                  </w:tcBorders>
                  <w:noWrap w:val="0"/>
                  <w:vAlign w:val="center"/>
                </w:tcPr>
                <w:p w14:paraId="55F15B0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3</w:t>
                  </w:r>
                </w:p>
              </w:tc>
              <w:tc>
                <w:tcPr>
                  <w:tcW w:w="1195" w:type="dxa"/>
                  <w:tcBorders>
                    <w:tl2br w:val="nil"/>
                    <w:tr2bl w:val="nil"/>
                  </w:tcBorders>
                  <w:noWrap w:val="0"/>
                  <w:vAlign w:val="center"/>
                </w:tcPr>
                <w:p w14:paraId="5248F64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rPr>
                    <w:t>台</w:t>
                  </w:r>
                </w:p>
              </w:tc>
            </w:tr>
            <w:tr w14:paraId="304B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041D076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242" w:type="dxa"/>
                  <w:tcBorders>
                    <w:tl2br w:val="nil"/>
                    <w:tr2bl w:val="nil"/>
                  </w:tcBorders>
                  <w:noWrap w:val="0"/>
                  <w:vAlign w:val="center"/>
                </w:tcPr>
                <w:p w14:paraId="4601DEA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粉磨</w:t>
                  </w:r>
                </w:p>
              </w:tc>
              <w:tc>
                <w:tcPr>
                  <w:tcW w:w="1613" w:type="dxa"/>
                  <w:tcBorders>
                    <w:tl2br w:val="nil"/>
                    <w:tr2bl w:val="nil"/>
                  </w:tcBorders>
                  <w:noWrap w:val="0"/>
                  <w:vAlign w:val="center"/>
                </w:tcPr>
                <w:p w14:paraId="1DFE5BB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球磨机</w:t>
                  </w:r>
                </w:p>
              </w:tc>
              <w:tc>
                <w:tcPr>
                  <w:tcW w:w="2180" w:type="dxa"/>
                  <w:tcBorders>
                    <w:tl2br w:val="nil"/>
                    <w:tr2bl w:val="nil"/>
                  </w:tcBorders>
                  <w:noWrap w:val="0"/>
                  <w:vAlign w:val="center"/>
                </w:tcPr>
                <w:p w14:paraId="2FD5CBB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1.6*6.4m</w:t>
                  </w:r>
                </w:p>
              </w:tc>
              <w:tc>
                <w:tcPr>
                  <w:tcW w:w="1257" w:type="dxa"/>
                  <w:tcBorders>
                    <w:tl2br w:val="nil"/>
                    <w:tr2bl w:val="nil"/>
                  </w:tcBorders>
                  <w:noWrap w:val="0"/>
                  <w:vAlign w:val="center"/>
                </w:tcPr>
                <w:p w14:paraId="1A333A4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195" w:type="dxa"/>
                  <w:tcBorders>
                    <w:tl2br w:val="nil"/>
                    <w:tr2bl w:val="nil"/>
                  </w:tcBorders>
                  <w:noWrap w:val="0"/>
                  <w:vAlign w:val="center"/>
                </w:tcPr>
                <w:p w14:paraId="513303E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r>
            <w:tr w14:paraId="6225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5128026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242" w:type="dxa"/>
                  <w:tcBorders>
                    <w:tl2br w:val="nil"/>
                    <w:tr2bl w:val="nil"/>
                  </w:tcBorders>
                  <w:noWrap w:val="0"/>
                  <w:vAlign w:val="center"/>
                </w:tcPr>
                <w:p w14:paraId="00C21D3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过滤脱水</w:t>
                  </w:r>
                </w:p>
              </w:tc>
              <w:tc>
                <w:tcPr>
                  <w:tcW w:w="1613" w:type="dxa"/>
                  <w:tcBorders>
                    <w:tl2br w:val="nil"/>
                    <w:tr2bl w:val="nil"/>
                  </w:tcBorders>
                  <w:noWrap w:val="0"/>
                  <w:vAlign w:val="center"/>
                </w:tcPr>
                <w:p w14:paraId="623E674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盘式过滤机</w:t>
                  </w:r>
                </w:p>
              </w:tc>
              <w:tc>
                <w:tcPr>
                  <w:tcW w:w="2180" w:type="dxa"/>
                  <w:tcBorders>
                    <w:tl2br w:val="nil"/>
                    <w:tr2bl w:val="nil"/>
                  </w:tcBorders>
                  <w:noWrap w:val="0"/>
                  <w:vAlign w:val="center"/>
                </w:tcPr>
                <w:p w14:paraId="0F42E01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r>
                    <w:rPr>
                      <w:rFonts w:hint="eastAsia" w:cs="Times New Roman"/>
                      <w:color w:val="auto"/>
                      <w:sz w:val="21"/>
                      <w:szCs w:val="21"/>
                      <w:lang w:val="en-US" w:eastAsia="zh-CN" w:bidi="zh-CN"/>
                    </w:rPr>
                    <w:t>m</w:t>
                  </w:r>
                  <w:r>
                    <w:rPr>
                      <w:rFonts w:hint="eastAsia" w:cs="Times New Roman"/>
                      <w:color w:val="auto"/>
                      <w:sz w:val="21"/>
                      <w:szCs w:val="21"/>
                      <w:vertAlign w:val="superscript"/>
                      <w:lang w:val="en-US" w:eastAsia="zh-CN" w:bidi="zh-CN"/>
                    </w:rPr>
                    <w:t>2</w:t>
                  </w:r>
                </w:p>
              </w:tc>
              <w:tc>
                <w:tcPr>
                  <w:tcW w:w="1257" w:type="dxa"/>
                  <w:tcBorders>
                    <w:tl2br w:val="nil"/>
                    <w:tr2bl w:val="nil"/>
                  </w:tcBorders>
                  <w:noWrap w:val="0"/>
                  <w:vAlign w:val="center"/>
                </w:tcPr>
                <w:p w14:paraId="2E47AEB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195" w:type="dxa"/>
                  <w:tcBorders>
                    <w:tl2br w:val="nil"/>
                    <w:tr2bl w:val="nil"/>
                  </w:tcBorders>
                  <w:noWrap w:val="0"/>
                  <w:vAlign w:val="center"/>
                </w:tcPr>
                <w:p w14:paraId="2A75F59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r>
            <w:tr w14:paraId="6904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43394C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242" w:type="dxa"/>
                  <w:tcBorders>
                    <w:tl2br w:val="nil"/>
                    <w:tr2bl w:val="nil"/>
                  </w:tcBorders>
                  <w:noWrap w:val="0"/>
                  <w:vAlign w:val="center"/>
                </w:tcPr>
                <w:p w14:paraId="627C987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运输</w:t>
                  </w:r>
                </w:p>
              </w:tc>
              <w:tc>
                <w:tcPr>
                  <w:tcW w:w="1613" w:type="dxa"/>
                  <w:tcBorders>
                    <w:tl2br w:val="nil"/>
                    <w:tr2bl w:val="nil"/>
                  </w:tcBorders>
                  <w:noWrap w:val="0"/>
                  <w:vAlign w:val="center"/>
                </w:tcPr>
                <w:p w14:paraId="6F14543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皮带输送机</w:t>
                  </w:r>
                </w:p>
              </w:tc>
              <w:tc>
                <w:tcPr>
                  <w:tcW w:w="2180" w:type="dxa"/>
                  <w:tcBorders>
                    <w:tl2br w:val="nil"/>
                    <w:tr2bl w:val="nil"/>
                  </w:tcBorders>
                  <w:noWrap w:val="0"/>
                  <w:vAlign w:val="center"/>
                </w:tcPr>
                <w:p w14:paraId="373466C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w:t>
                  </w:r>
                </w:p>
              </w:tc>
              <w:tc>
                <w:tcPr>
                  <w:tcW w:w="1257" w:type="dxa"/>
                  <w:tcBorders>
                    <w:tl2br w:val="nil"/>
                    <w:tr2bl w:val="nil"/>
                  </w:tcBorders>
                  <w:noWrap w:val="0"/>
                  <w:vAlign w:val="center"/>
                </w:tcPr>
                <w:p w14:paraId="0A271D4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6</w:t>
                  </w:r>
                </w:p>
              </w:tc>
              <w:tc>
                <w:tcPr>
                  <w:tcW w:w="1195" w:type="dxa"/>
                  <w:tcBorders>
                    <w:tl2br w:val="nil"/>
                    <w:tr2bl w:val="nil"/>
                  </w:tcBorders>
                  <w:noWrap w:val="0"/>
                  <w:vAlign w:val="center"/>
                </w:tcPr>
                <w:p w14:paraId="6AE6CEA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条</w:t>
                  </w:r>
                </w:p>
              </w:tc>
            </w:tr>
            <w:tr w14:paraId="16E6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6358DB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242" w:type="dxa"/>
                  <w:vMerge w:val="restart"/>
                  <w:tcBorders>
                    <w:tl2br w:val="nil"/>
                    <w:tr2bl w:val="nil"/>
                  </w:tcBorders>
                  <w:noWrap w:val="0"/>
                  <w:vAlign w:val="center"/>
                </w:tcPr>
                <w:p w14:paraId="3CD9D67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公用</w:t>
                  </w:r>
                </w:p>
              </w:tc>
              <w:tc>
                <w:tcPr>
                  <w:tcW w:w="1613" w:type="dxa"/>
                  <w:tcBorders>
                    <w:tl2br w:val="nil"/>
                    <w:tr2bl w:val="nil"/>
                  </w:tcBorders>
                  <w:noWrap w:val="0"/>
                  <w:vAlign w:val="center"/>
                </w:tcPr>
                <w:p w14:paraId="457AB8C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水泵</w:t>
                  </w:r>
                </w:p>
              </w:tc>
              <w:tc>
                <w:tcPr>
                  <w:tcW w:w="2180" w:type="dxa"/>
                  <w:tcBorders>
                    <w:tl2br w:val="nil"/>
                    <w:tr2bl w:val="nil"/>
                  </w:tcBorders>
                  <w:noWrap w:val="0"/>
                  <w:vAlign w:val="center"/>
                </w:tcPr>
                <w:p w14:paraId="3204FFC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57" w:type="dxa"/>
                  <w:tcBorders>
                    <w:tl2br w:val="nil"/>
                    <w:tr2bl w:val="nil"/>
                  </w:tcBorders>
                  <w:noWrap w:val="0"/>
                  <w:vAlign w:val="center"/>
                </w:tcPr>
                <w:p w14:paraId="1D6D61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195" w:type="dxa"/>
                  <w:tcBorders>
                    <w:tl2br w:val="nil"/>
                    <w:tr2bl w:val="nil"/>
                  </w:tcBorders>
                  <w:noWrap w:val="0"/>
                  <w:vAlign w:val="center"/>
                </w:tcPr>
                <w:p w14:paraId="33F1A5F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r>
            <w:tr w14:paraId="46C1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92" w:type="dxa"/>
                  <w:tcBorders>
                    <w:tl2br w:val="nil"/>
                    <w:tr2bl w:val="nil"/>
                  </w:tcBorders>
                  <w:noWrap w:val="0"/>
                  <w:vAlign w:val="center"/>
                </w:tcPr>
                <w:p w14:paraId="3083373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1242" w:type="dxa"/>
                  <w:vMerge w:val="continue"/>
                  <w:tcBorders>
                    <w:tl2br w:val="nil"/>
                    <w:tr2bl w:val="nil"/>
                  </w:tcBorders>
                  <w:noWrap w:val="0"/>
                  <w:vAlign w:val="center"/>
                </w:tcPr>
                <w:p w14:paraId="16CE400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3" w:type="dxa"/>
                  <w:tcBorders>
                    <w:tl2br w:val="nil"/>
                    <w:tr2bl w:val="nil"/>
                  </w:tcBorders>
                  <w:noWrap w:val="0"/>
                  <w:vAlign w:val="center"/>
                </w:tcPr>
                <w:p w14:paraId="34B2C4B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布袋除尘器</w:t>
                  </w:r>
                </w:p>
              </w:tc>
              <w:tc>
                <w:tcPr>
                  <w:tcW w:w="2180" w:type="dxa"/>
                  <w:tcBorders>
                    <w:tl2br w:val="nil"/>
                    <w:tr2bl w:val="nil"/>
                  </w:tcBorders>
                  <w:noWrap w:val="0"/>
                  <w:vAlign w:val="center"/>
                </w:tcPr>
                <w:p w14:paraId="1F7E061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57" w:type="dxa"/>
                  <w:tcBorders>
                    <w:tl2br w:val="nil"/>
                    <w:tr2bl w:val="nil"/>
                  </w:tcBorders>
                  <w:noWrap w:val="0"/>
                  <w:vAlign w:val="center"/>
                </w:tcPr>
                <w:p w14:paraId="72A8977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195" w:type="dxa"/>
                  <w:tcBorders>
                    <w:tl2br w:val="nil"/>
                    <w:tr2bl w:val="nil"/>
                  </w:tcBorders>
                  <w:noWrap w:val="0"/>
                  <w:vAlign w:val="center"/>
                </w:tcPr>
                <w:p w14:paraId="3ADA6EA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r>
          </w:tbl>
          <w:p w14:paraId="4C534CC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5、主要原辅料、燃料种类及用量</w:t>
            </w:r>
          </w:p>
          <w:p w14:paraId="68F5C9F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lang w:val="en-US" w:eastAsia="zh-CN"/>
              </w:rPr>
              <w:t>主要原辅料、燃料种类及用量一览表</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358"/>
              <w:gridCol w:w="1324"/>
              <w:gridCol w:w="1670"/>
              <w:gridCol w:w="3437"/>
            </w:tblGrid>
            <w:tr w14:paraId="1ABA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90" w:type="dxa"/>
                  <w:tcBorders>
                    <w:tl2br w:val="nil"/>
                    <w:tr2bl w:val="nil"/>
                  </w:tcBorders>
                  <w:noWrap w:val="0"/>
                  <w:vAlign w:val="center"/>
                </w:tcPr>
                <w:p w14:paraId="101AFE5C">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358" w:type="dxa"/>
                  <w:tcBorders>
                    <w:tl2br w:val="nil"/>
                    <w:tr2bl w:val="nil"/>
                  </w:tcBorders>
                  <w:noWrap w:val="0"/>
                  <w:vAlign w:val="center"/>
                </w:tcPr>
                <w:p w14:paraId="67EBBA10">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1324" w:type="dxa"/>
                  <w:tcBorders>
                    <w:tl2br w:val="nil"/>
                    <w:tr2bl w:val="nil"/>
                  </w:tcBorders>
                  <w:noWrap w:val="0"/>
                  <w:vAlign w:val="center"/>
                </w:tcPr>
                <w:p w14:paraId="763B52EE">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1670" w:type="dxa"/>
                  <w:tcBorders>
                    <w:tl2br w:val="nil"/>
                    <w:tr2bl w:val="nil"/>
                  </w:tcBorders>
                  <w:noWrap w:val="0"/>
                  <w:vAlign w:val="center"/>
                </w:tcPr>
                <w:p w14:paraId="6F26D7E7">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消耗量</w:t>
                  </w:r>
                </w:p>
              </w:tc>
              <w:tc>
                <w:tcPr>
                  <w:tcW w:w="3437" w:type="dxa"/>
                  <w:tcBorders>
                    <w:tl2br w:val="nil"/>
                    <w:tr2bl w:val="nil"/>
                  </w:tcBorders>
                  <w:noWrap w:val="0"/>
                  <w:vAlign w:val="center"/>
                </w:tcPr>
                <w:p w14:paraId="4B7C9D39">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来源</w:t>
                  </w:r>
                </w:p>
              </w:tc>
            </w:tr>
            <w:tr w14:paraId="516D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90" w:type="dxa"/>
                  <w:tcBorders>
                    <w:tl2br w:val="nil"/>
                    <w:tr2bl w:val="nil"/>
                  </w:tcBorders>
                  <w:noWrap w:val="0"/>
                  <w:vAlign w:val="center"/>
                </w:tcPr>
                <w:p w14:paraId="4A94BFB2">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358" w:type="dxa"/>
                  <w:tcBorders>
                    <w:tl2br w:val="nil"/>
                    <w:tr2bl w:val="nil"/>
                  </w:tcBorders>
                  <w:noWrap w:val="0"/>
                  <w:vAlign w:val="center"/>
                </w:tcPr>
                <w:p w14:paraId="5A34D97B">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废钢渣</w:t>
                  </w:r>
                </w:p>
              </w:tc>
              <w:tc>
                <w:tcPr>
                  <w:tcW w:w="1324" w:type="dxa"/>
                  <w:tcBorders>
                    <w:tl2br w:val="nil"/>
                    <w:tr2bl w:val="nil"/>
                  </w:tcBorders>
                  <w:noWrap w:val="0"/>
                  <w:vAlign w:val="center"/>
                </w:tcPr>
                <w:p w14:paraId="41BE58CE">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万吨/a</w:t>
                  </w:r>
                </w:p>
              </w:tc>
              <w:tc>
                <w:tcPr>
                  <w:tcW w:w="1670" w:type="dxa"/>
                  <w:tcBorders>
                    <w:tl2br w:val="nil"/>
                    <w:tr2bl w:val="nil"/>
                  </w:tcBorders>
                  <w:noWrap w:val="0"/>
                  <w:vAlign w:val="center"/>
                </w:tcPr>
                <w:p w14:paraId="321BB59E">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0</w:t>
                  </w:r>
                </w:p>
              </w:tc>
              <w:tc>
                <w:tcPr>
                  <w:tcW w:w="3437" w:type="dxa"/>
                  <w:tcBorders>
                    <w:tl2br w:val="nil"/>
                    <w:tr2bl w:val="nil"/>
                  </w:tcBorders>
                  <w:noWrap w:val="0"/>
                  <w:vAlign w:val="center"/>
                </w:tcPr>
                <w:p w14:paraId="36F338D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购于</w:t>
                  </w:r>
                  <w:r>
                    <w:rPr>
                      <w:rFonts w:hint="eastAsia" w:cs="Times New Roman"/>
                      <w:color w:val="auto"/>
                      <w:sz w:val="21"/>
                      <w:szCs w:val="21"/>
                      <w:lang w:eastAsia="zh-CN"/>
                    </w:rPr>
                    <w:t>兴隆县怡洋废料加工处理有限公司，含铁率</w:t>
                  </w:r>
                  <w:r>
                    <w:rPr>
                      <w:rFonts w:hint="eastAsia" w:cs="Times New Roman"/>
                      <w:color w:val="auto"/>
                      <w:sz w:val="21"/>
                      <w:szCs w:val="21"/>
                      <w:lang w:val="en-US" w:eastAsia="zh-CN"/>
                    </w:rPr>
                    <w:t>25.5</w:t>
                  </w:r>
                  <w:r>
                    <w:rPr>
                      <w:rFonts w:hint="eastAsia" w:cs="Times New Roman"/>
                      <w:color w:val="auto"/>
                      <w:sz w:val="21"/>
                      <w:szCs w:val="21"/>
                      <w:lang w:eastAsia="zh-CN"/>
                    </w:rPr>
                    <w:t>%，粒径范围：</w:t>
                  </w:r>
                  <w:r>
                    <w:rPr>
                      <w:rFonts w:hint="eastAsia" w:cs="Times New Roman"/>
                      <w:color w:val="auto"/>
                      <w:sz w:val="21"/>
                      <w:szCs w:val="21"/>
                      <w:lang w:val="en-US" w:eastAsia="zh-CN"/>
                    </w:rPr>
                    <w:t>1</w:t>
                  </w:r>
                  <w:r>
                    <w:rPr>
                      <w:rFonts w:hint="eastAsia" w:cs="Times New Roman"/>
                      <w:color w:val="auto"/>
                      <w:sz w:val="21"/>
                      <w:szCs w:val="21"/>
                      <w:lang w:eastAsia="zh-CN"/>
                    </w:rPr>
                    <w:t>mm~</w:t>
                  </w:r>
                  <w:r>
                    <w:rPr>
                      <w:rFonts w:hint="eastAsia" w:cs="Times New Roman"/>
                      <w:color w:val="auto"/>
                      <w:sz w:val="21"/>
                      <w:szCs w:val="21"/>
                      <w:lang w:val="en-US" w:eastAsia="zh-CN"/>
                    </w:rPr>
                    <w:t>100</w:t>
                  </w:r>
                  <w:r>
                    <w:rPr>
                      <w:rFonts w:hint="eastAsia" w:cs="Times New Roman"/>
                      <w:color w:val="auto"/>
                      <w:sz w:val="21"/>
                      <w:szCs w:val="21"/>
                      <w:lang w:eastAsia="zh-CN"/>
                    </w:rPr>
                    <w:t>mm，</w:t>
                  </w:r>
                  <w:r>
                    <w:rPr>
                      <w:rFonts w:hint="eastAsia"/>
                      <w:color w:val="auto"/>
                      <w:sz w:val="21"/>
                      <w:szCs w:val="21"/>
                    </w:rPr>
                    <w:t>含水率</w:t>
                  </w:r>
                  <w:r>
                    <w:rPr>
                      <w:rFonts w:hint="eastAsia"/>
                      <w:color w:val="auto"/>
                      <w:sz w:val="21"/>
                      <w:szCs w:val="21"/>
                      <w:lang w:val="en-US" w:eastAsia="zh-CN"/>
                    </w:rPr>
                    <w:t>1.7</w:t>
                  </w:r>
                  <w:r>
                    <w:rPr>
                      <w:rFonts w:hint="eastAsia"/>
                      <w:color w:val="auto"/>
                      <w:sz w:val="21"/>
                      <w:szCs w:val="21"/>
                    </w:rPr>
                    <w:t>%</w:t>
                  </w:r>
                </w:p>
              </w:tc>
            </w:tr>
            <w:tr w14:paraId="2897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0" w:type="dxa"/>
                  <w:tcBorders>
                    <w:tl2br w:val="nil"/>
                    <w:tr2bl w:val="nil"/>
                  </w:tcBorders>
                  <w:noWrap w:val="0"/>
                  <w:vAlign w:val="center"/>
                </w:tcPr>
                <w:p w14:paraId="77387387">
                  <w:pPr>
                    <w:keepNext w:val="0"/>
                    <w:keepLines w:val="0"/>
                    <w:pageBreakBefore w:val="0"/>
                    <w:widowControl w:val="0"/>
                    <w:kinsoku/>
                    <w:wordWrap/>
                    <w:overflowPunct/>
                    <w:topLinePunct w:val="0"/>
                    <w:autoSpaceDE w:val="0"/>
                    <w:autoSpaceDN w:val="0"/>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2</w:t>
                  </w:r>
                </w:p>
              </w:tc>
              <w:tc>
                <w:tcPr>
                  <w:tcW w:w="1358" w:type="dxa"/>
                  <w:tcBorders>
                    <w:tl2br w:val="nil"/>
                    <w:tr2bl w:val="nil"/>
                  </w:tcBorders>
                  <w:noWrap w:val="0"/>
                  <w:vAlign w:val="center"/>
                </w:tcPr>
                <w:p w14:paraId="5645FF80">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润滑油</w:t>
                  </w:r>
                </w:p>
              </w:tc>
              <w:tc>
                <w:tcPr>
                  <w:tcW w:w="1324" w:type="dxa"/>
                  <w:tcBorders>
                    <w:tl2br w:val="nil"/>
                    <w:tr2bl w:val="nil"/>
                  </w:tcBorders>
                  <w:noWrap w:val="0"/>
                  <w:vAlign w:val="center"/>
                </w:tcPr>
                <w:p w14:paraId="7B495493">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吨/a</w:t>
                  </w:r>
                </w:p>
              </w:tc>
              <w:tc>
                <w:tcPr>
                  <w:tcW w:w="1670" w:type="dxa"/>
                  <w:tcBorders>
                    <w:tl2br w:val="nil"/>
                    <w:tr2bl w:val="nil"/>
                  </w:tcBorders>
                  <w:noWrap w:val="0"/>
                  <w:vAlign w:val="center"/>
                </w:tcPr>
                <w:p w14:paraId="14D1FB30">
                  <w:pPr>
                    <w:keepNext w:val="0"/>
                    <w:keepLines w:val="0"/>
                    <w:pageBreakBefore w:val="0"/>
                    <w:widowControl w:val="0"/>
                    <w:kinsoku/>
                    <w:wordWrap/>
                    <w:overflowPunct/>
                    <w:topLinePunct w:val="0"/>
                    <w:autoSpaceDE w:val="0"/>
                    <w:autoSpaceDN w:val="0"/>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0.02</w:t>
                  </w:r>
                </w:p>
              </w:tc>
              <w:tc>
                <w:tcPr>
                  <w:tcW w:w="3437" w:type="dxa"/>
                  <w:tcBorders>
                    <w:tl2br w:val="nil"/>
                    <w:tr2bl w:val="nil"/>
                  </w:tcBorders>
                  <w:noWrap w:val="0"/>
                  <w:vAlign w:val="center"/>
                </w:tcPr>
                <w:p w14:paraId="5C8835BD">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每桶</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kg</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21"/>
                      <w:szCs w:val="21"/>
                      <w:highlight w:val="none"/>
                    </w:rPr>
                    <w:t>不在厂区内储存，即买即用</w:t>
                  </w:r>
                </w:p>
              </w:tc>
            </w:tr>
            <w:tr w14:paraId="3988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0" w:type="dxa"/>
                  <w:tcBorders>
                    <w:tl2br w:val="nil"/>
                    <w:tr2bl w:val="nil"/>
                  </w:tcBorders>
                  <w:noWrap w:val="0"/>
                  <w:vAlign w:val="center"/>
                </w:tcPr>
                <w:p w14:paraId="1AE29493">
                  <w:pPr>
                    <w:keepNext w:val="0"/>
                    <w:keepLines w:val="0"/>
                    <w:pageBreakBefore w:val="0"/>
                    <w:widowControl w:val="0"/>
                    <w:kinsoku/>
                    <w:wordWrap/>
                    <w:overflowPunct/>
                    <w:topLinePunct w:val="0"/>
                    <w:autoSpaceDE w:val="0"/>
                    <w:autoSpaceDN w:val="0"/>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358" w:type="dxa"/>
                  <w:tcBorders>
                    <w:tl2br w:val="nil"/>
                    <w:tr2bl w:val="nil"/>
                  </w:tcBorders>
                  <w:noWrap w:val="0"/>
                  <w:vAlign w:val="center"/>
                </w:tcPr>
                <w:p w14:paraId="7033D9E2">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w:t>
                  </w:r>
                </w:p>
              </w:tc>
              <w:tc>
                <w:tcPr>
                  <w:tcW w:w="1324" w:type="dxa"/>
                  <w:tcBorders>
                    <w:tl2br w:val="nil"/>
                    <w:tr2bl w:val="nil"/>
                  </w:tcBorders>
                  <w:noWrap w:val="0"/>
                  <w:vAlign w:val="center"/>
                </w:tcPr>
                <w:p w14:paraId="333BFCD2">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670" w:type="dxa"/>
                  <w:tcBorders>
                    <w:tl2br w:val="nil"/>
                    <w:tr2bl w:val="nil"/>
                  </w:tcBorders>
                  <w:noWrap w:val="0"/>
                  <w:vAlign w:val="center"/>
                </w:tcPr>
                <w:p w14:paraId="142AEF7A">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91578</w:t>
                  </w:r>
                </w:p>
              </w:tc>
              <w:tc>
                <w:tcPr>
                  <w:tcW w:w="3437" w:type="dxa"/>
                  <w:tcBorders>
                    <w:tl2br w:val="nil"/>
                    <w:tr2bl w:val="nil"/>
                  </w:tcBorders>
                  <w:noWrap w:val="0"/>
                  <w:vAlign w:val="center"/>
                </w:tcPr>
                <w:p w14:paraId="307DFF3B">
                  <w:pPr>
                    <w:keepNext w:val="0"/>
                    <w:keepLines w:val="0"/>
                    <w:pageBreakBefore w:val="0"/>
                    <w:widowControl w:val="0"/>
                    <w:kinsoku/>
                    <w:wordWrap/>
                    <w:overflowPunct/>
                    <w:topLinePunct w:val="0"/>
                    <w:autoSpaceDE w:val="0"/>
                    <w:autoSpaceDN w:val="0"/>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highlight w:val="none"/>
                      <w:lang w:eastAsia="zh-CN"/>
                    </w:rPr>
                    <w:t>自备水井</w:t>
                  </w:r>
                </w:p>
              </w:tc>
            </w:tr>
            <w:tr w14:paraId="770D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90" w:type="dxa"/>
                  <w:tcBorders>
                    <w:tl2br w:val="nil"/>
                    <w:tr2bl w:val="nil"/>
                  </w:tcBorders>
                  <w:noWrap w:val="0"/>
                  <w:vAlign w:val="center"/>
                </w:tcPr>
                <w:p w14:paraId="6AF2679A">
                  <w:pPr>
                    <w:keepNext w:val="0"/>
                    <w:keepLines w:val="0"/>
                    <w:pageBreakBefore w:val="0"/>
                    <w:widowControl w:val="0"/>
                    <w:kinsoku/>
                    <w:wordWrap/>
                    <w:overflowPunct/>
                    <w:topLinePunct w:val="0"/>
                    <w:autoSpaceDE w:val="0"/>
                    <w:autoSpaceDN w:val="0"/>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358" w:type="dxa"/>
                  <w:tcBorders>
                    <w:tl2br w:val="nil"/>
                    <w:tr2bl w:val="nil"/>
                  </w:tcBorders>
                  <w:noWrap w:val="0"/>
                  <w:vAlign w:val="center"/>
                </w:tcPr>
                <w:p w14:paraId="58DA8600">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w:t>
                  </w:r>
                </w:p>
              </w:tc>
              <w:tc>
                <w:tcPr>
                  <w:tcW w:w="1324" w:type="dxa"/>
                  <w:tcBorders>
                    <w:tl2br w:val="nil"/>
                    <w:tr2bl w:val="nil"/>
                  </w:tcBorders>
                  <w:noWrap w:val="0"/>
                  <w:vAlign w:val="center"/>
                </w:tcPr>
                <w:p w14:paraId="0533AD0C">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万kwh/a</w:t>
                  </w:r>
                </w:p>
              </w:tc>
              <w:tc>
                <w:tcPr>
                  <w:tcW w:w="1670" w:type="dxa"/>
                  <w:tcBorders>
                    <w:tl2br w:val="nil"/>
                    <w:tr2bl w:val="nil"/>
                  </w:tcBorders>
                  <w:noWrap w:val="0"/>
                  <w:vAlign w:val="center"/>
                </w:tcPr>
                <w:p w14:paraId="24008493">
                  <w:pPr>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350</w:t>
                  </w:r>
                </w:p>
              </w:tc>
              <w:tc>
                <w:tcPr>
                  <w:tcW w:w="3437" w:type="dxa"/>
                  <w:tcBorders>
                    <w:tl2br w:val="nil"/>
                    <w:tr2bl w:val="nil"/>
                  </w:tcBorders>
                  <w:noWrap w:val="0"/>
                  <w:vAlign w:val="center"/>
                </w:tcPr>
                <w:p w14:paraId="799E14BF">
                  <w:pPr>
                    <w:keepNext w:val="0"/>
                    <w:keepLines w:val="0"/>
                    <w:pageBreakBefore w:val="0"/>
                    <w:widowControl w:val="0"/>
                    <w:kinsoku/>
                    <w:wordWrap/>
                    <w:overflowPunct/>
                    <w:topLinePunct w:val="0"/>
                    <w:autoSpaceDE w:val="0"/>
                    <w:autoSpaceDN w:val="0"/>
                    <w:bidi w:val="0"/>
                    <w:adjustRightInd w:val="0"/>
                    <w:snapToGrid w:val="0"/>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eastAsia="宋体" w:cs="Times New Roman"/>
                      <w:color w:val="auto"/>
                      <w:sz w:val="21"/>
                      <w:szCs w:val="21"/>
                      <w:lang w:eastAsia="zh-CN"/>
                    </w:rPr>
                    <w:t>自备变压器，</w:t>
                  </w:r>
                  <w:r>
                    <w:rPr>
                      <w:rFonts w:hint="default" w:ascii="Times New Roman" w:hAnsi="Times New Roman" w:eastAsia="宋体" w:cs="Times New Roman"/>
                      <w:color w:val="auto"/>
                      <w:sz w:val="21"/>
                      <w:szCs w:val="21"/>
                      <w:lang w:val="en-US" w:eastAsia="zh-CN"/>
                    </w:rPr>
                    <w:t>本地</w:t>
                  </w:r>
                  <w:r>
                    <w:rPr>
                      <w:rFonts w:hint="default" w:ascii="Times New Roman" w:hAnsi="Times New Roman" w:eastAsia="宋体" w:cs="Times New Roman"/>
                      <w:color w:val="auto"/>
                      <w:sz w:val="21"/>
                      <w:szCs w:val="21"/>
                      <w:lang w:eastAsia="zh-CN"/>
                    </w:rPr>
                    <w:t>电网。</w:t>
                  </w:r>
                </w:p>
              </w:tc>
            </w:tr>
          </w:tbl>
          <w:p w14:paraId="6E96B401">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b w:val="0"/>
                <w:bCs/>
                <w:color w:val="auto"/>
                <w:sz w:val="21"/>
                <w:szCs w:val="21"/>
                <w:highlight w:val="none"/>
                <w:lang w:val="en-US"/>
              </w:rPr>
            </w:pPr>
            <w:r>
              <w:rPr>
                <w:rFonts w:hint="eastAsia" w:cs="Times New Roman"/>
                <w:b w:val="0"/>
                <w:bCs/>
                <w:color w:val="auto"/>
                <w:sz w:val="24"/>
                <w:szCs w:val="24"/>
                <w:highlight w:val="none"/>
                <w:lang w:eastAsia="zh-CN"/>
              </w:rPr>
              <w:t>原料来源：项目原料来源为承德建龙特殊钢有限公司钢铁冶炼过程中产生的废渣，</w:t>
            </w:r>
            <w:r>
              <w:rPr>
                <w:rFonts w:hint="eastAsia" w:cs="Times New Roman"/>
                <w:b w:val="0"/>
                <w:bCs/>
                <w:color w:val="auto"/>
                <w:sz w:val="24"/>
                <w:szCs w:val="24"/>
                <w:highlight w:val="none"/>
                <w:lang w:val="en-US" w:eastAsia="zh-CN"/>
              </w:rPr>
              <w:t>2024年3月兴隆县怡洋废料加工处理有限公司与</w:t>
            </w:r>
            <w:r>
              <w:rPr>
                <w:rFonts w:hint="eastAsia" w:cs="Times New Roman"/>
                <w:b w:val="0"/>
                <w:bCs/>
                <w:color w:val="auto"/>
                <w:sz w:val="24"/>
                <w:szCs w:val="24"/>
                <w:highlight w:val="none"/>
                <w:lang w:eastAsia="zh-CN"/>
              </w:rPr>
              <w:t>承德建龙特殊钢有限公司</w:t>
            </w:r>
            <w:r>
              <w:rPr>
                <w:rFonts w:hint="eastAsia" w:cs="Times New Roman"/>
                <w:b w:val="0"/>
                <w:bCs/>
                <w:color w:val="auto"/>
                <w:sz w:val="24"/>
                <w:szCs w:val="24"/>
                <w:highlight w:val="none"/>
                <w:lang w:val="en-US" w:eastAsia="zh-CN"/>
              </w:rPr>
              <w:t>签订了《转炉渣销售协议》（见附件5），兴隆县怡洋废料加工处理有限公司成立于2018年4月（以下简称为怡洋），怡洋是一家从事金属废料和碎屑加工处理公司，由于</w:t>
            </w:r>
            <w:r>
              <w:rPr>
                <w:rFonts w:hint="eastAsia" w:cs="Times New Roman"/>
                <w:b w:val="0"/>
                <w:bCs/>
                <w:color w:val="auto"/>
                <w:sz w:val="24"/>
                <w:szCs w:val="24"/>
                <w:highlight w:val="none"/>
                <w:lang w:eastAsia="zh-CN"/>
              </w:rPr>
              <w:t>承德建龙特殊钢有限公司钢铁冶炼过程中产生的废渣含铁量较高，该企业未建设除杂工艺；因此，现</w:t>
            </w:r>
            <w:r>
              <w:rPr>
                <w:rFonts w:hint="eastAsia" w:cs="Times New Roman"/>
                <w:b w:val="0"/>
                <w:bCs/>
                <w:color w:val="auto"/>
                <w:sz w:val="24"/>
                <w:szCs w:val="24"/>
                <w:highlight w:val="none"/>
                <w:lang w:val="en-US" w:eastAsia="zh-CN"/>
              </w:rPr>
              <w:t>将10万吨废钢渣出售给</w:t>
            </w:r>
            <w:r>
              <w:rPr>
                <w:rFonts w:hint="eastAsia" w:cs="Times New Roman"/>
                <w:color w:val="auto"/>
                <w:highlight w:val="none"/>
                <w:lang w:val="en-US" w:eastAsia="zh-CN"/>
              </w:rPr>
              <w:t>兴隆县宜佳贸易有限公司进行预处理，采用分选、除杂、粉磨及过滤脱水等处理工艺，实现渣铁分离；</w:t>
            </w:r>
            <w:r>
              <w:rPr>
                <w:rFonts w:hint="eastAsia" w:cs="Times New Roman"/>
                <w:b w:val="0"/>
                <w:bCs/>
                <w:color w:val="auto"/>
                <w:sz w:val="24"/>
                <w:szCs w:val="24"/>
                <w:highlight w:val="none"/>
                <w:lang w:val="en-US" w:eastAsia="zh-CN"/>
              </w:rPr>
              <w:t>将</w:t>
            </w:r>
            <w:r>
              <w:rPr>
                <w:rFonts w:hint="eastAsia" w:cs="Times New Roman"/>
                <w:color w:val="auto"/>
                <w:highlight w:val="none"/>
                <w:lang w:val="en-US" w:eastAsia="zh-CN"/>
              </w:rPr>
              <w:t>渣铁</w:t>
            </w:r>
            <w:r>
              <w:rPr>
                <w:rFonts w:hint="eastAsia" w:cs="Times New Roman"/>
                <w:b w:val="0"/>
                <w:bCs/>
                <w:color w:val="auto"/>
                <w:sz w:val="24"/>
                <w:szCs w:val="24"/>
                <w:highlight w:val="none"/>
                <w:lang w:val="en-US" w:eastAsia="zh-CN"/>
              </w:rPr>
              <w:t>分离后的制砖料与怡洋自留的10万吨废钢渣进行混合加工，可以更好的</w:t>
            </w:r>
            <w:r>
              <w:rPr>
                <w:rFonts w:hint="eastAsia" w:cs="Times New Roman"/>
                <w:b w:val="0"/>
                <w:bCs/>
                <w:color w:val="auto"/>
                <w:sz w:val="24"/>
                <w:szCs w:val="24"/>
                <w:highlight w:val="none"/>
                <w:lang w:eastAsia="zh-CN"/>
              </w:rPr>
              <w:t>提高</w:t>
            </w:r>
            <w:r>
              <w:rPr>
                <w:rFonts w:hint="eastAsia" w:cs="Times New Roman"/>
                <w:color w:val="auto"/>
                <w:highlight w:val="none"/>
                <w:lang w:val="en-US" w:eastAsia="zh-CN"/>
              </w:rPr>
              <w:t>产品质量。</w:t>
            </w:r>
            <w:r>
              <w:rPr>
                <w:rFonts w:hint="eastAsia" w:cs="Times New Roman"/>
                <w:b w:val="0"/>
                <w:bCs/>
                <w:color w:val="auto"/>
                <w:sz w:val="24"/>
                <w:szCs w:val="24"/>
                <w:highlight w:val="none"/>
                <w:lang w:eastAsia="zh-CN"/>
              </w:rPr>
              <w:t>根据建龙环评文件、排污许可证明确该钢渣属于一般固体废物，</w:t>
            </w:r>
            <w:r>
              <w:rPr>
                <w:rFonts w:hint="eastAsia"/>
                <w:color w:val="auto"/>
                <w:highlight w:val="none"/>
                <w:lang w:eastAsia="zh-CN"/>
              </w:rPr>
              <w:t>废钢渣成分检测如下：</w:t>
            </w:r>
          </w:p>
          <w:p w14:paraId="4B57F932">
            <w:pPr>
              <w:ind w:firstLine="422"/>
              <w:jc w:val="center"/>
              <w:rPr>
                <w:rFonts w:hint="default" w:ascii="Times New Roman" w:hAnsi="Times New Roman" w:eastAsia="宋体" w:cs="Times New Roman"/>
                <w:color w:val="auto"/>
                <w:lang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2-</w:t>
            </w:r>
            <w:r>
              <w:rPr>
                <w:rFonts w:hint="eastAsia" w:cs="Times New Roman"/>
                <w:b/>
                <w:color w:val="auto"/>
                <w:sz w:val="21"/>
                <w:szCs w:val="21"/>
                <w:lang w:val="en-US" w:eastAsia="zh-CN"/>
              </w:rPr>
              <w:t xml:space="preserve">5 </w:t>
            </w:r>
            <w:r>
              <w:rPr>
                <w:rFonts w:hint="eastAsia"/>
                <w:b/>
                <w:bCs/>
                <w:color w:val="auto"/>
                <w:sz w:val="21"/>
                <w:szCs w:val="21"/>
                <w:lang w:eastAsia="zh-CN"/>
              </w:rPr>
              <w:t>废</w:t>
            </w:r>
            <w:r>
              <w:rPr>
                <w:rFonts w:hint="eastAsia" w:cs="Times New Roman"/>
                <w:b/>
                <w:color w:val="auto"/>
                <w:sz w:val="21"/>
                <w:szCs w:val="21"/>
                <w:lang w:val="en-US" w:eastAsia="zh-CN"/>
              </w:rPr>
              <w:t>钢渣</w:t>
            </w:r>
            <w:r>
              <w:rPr>
                <w:rFonts w:hint="default" w:ascii="Times New Roman" w:hAnsi="Times New Roman" w:eastAsia="宋体" w:cs="Times New Roman"/>
                <w:b/>
                <w:color w:val="auto"/>
                <w:sz w:val="21"/>
                <w:szCs w:val="21"/>
                <w:lang w:eastAsia="zh-CN"/>
              </w:rPr>
              <w:t>主要</w:t>
            </w:r>
            <w:r>
              <w:rPr>
                <w:rFonts w:hint="eastAsia" w:cs="Times New Roman"/>
                <w:b/>
                <w:color w:val="auto"/>
                <w:sz w:val="21"/>
                <w:szCs w:val="21"/>
                <w:lang w:eastAsia="zh-CN"/>
              </w:rPr>
              <w:t>成分组成一览表</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886"/>
              <w:gridCol w:w="1719"/>
              <w:gridCol w:w="2080"/>
              <w:gridCol w:w="1630"/>
            </w:tblGrid>
            <w:tr w14:paraId="47B5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64" w:type="dxa"/>
                  <w:vAlign w:val="center"/>
                </w:tcPr>
                <w:p w14:paraId="470B2731">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组分编号</w:t>
                  </w:r>
                </w:p>
              </w:tc>
              <w:tc>
                <w:tcPr>
                  <w:tcW w:w="1886" w:type="dxa"/>
                  <w:vAlign w:val="center"/>
                </w:tcPr>
                <w:p w14:paraId="3EB795BA">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成分名称</w:t>
                  </w:r>
                </w:p>
              </w:tc>
              <w:tc>
                <w:tcPr>
                  <w:tcW w:w="1719" w:type="dxa"/>
                  <w:vAlign w:val="center"/>
                </w:tcPr>
                <w:p w14:paraId="2F450679">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质量百分比/%</w:t>
                  </w:r>
                </w:p>
              </w:tc>
              <w:tc>
                <w:tcPr>
                  <w:tcW w:w="2080" w:type="dxa"/>
                  <w:vAlign w:val="center"/>
                </w:tcPr>
                <w:p w14:paraId="2CD78C5E">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牌号/CAS No.</w:t>
                  </w:r>
                </w:p>
              </w:tc>
              <w:tc>
                <w:tcPr>
                  <w:tcW w:w="1630" w:type="dxa"/>
                  <w:vAlign w:val="center"/>
                </w:tcPr>
                <w:p w14:paraId="6E2326E0">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作用</w:t>
                  </w:r>
                </w:p>
              </w:tc>
            </w:tr>
            <w:tr w14:paraId="6321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3DF0C88E">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w:t>
                  </w:r>
                </w:p>
              </w:tc>
              <w:tc>
                <w:tcPr>
                  <w:tcW w:w="1886" w:type="dxa"/>
                  <w:vAlign w:val="center"/>
                </w:tcPr>
                <w:p w14:paraId="66084039">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三氧化二铝</w:t>
                  </w:r>
                </w:p>
              </w:tc>
              <w:tc>
                <w:tcPr>
                  <w:tcW w:w="1719" w:type="dxa"/>
                  <w:vAlign w:val="center"/>
                </w:tcPr>
                <w:p w14:paraId="73A97BB3">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1.5-2.0</w:t>
                  </w:r>
                </w:p>
              </w:tc>
              <w:tc>
                <w:tcPr>
                  <w:tcW w:w="2080" w:type="dxa"/>
                  <w:vAlign w:val="center"/>
                </w:tcPr>
                <w:p w14:paraId="5BB8FF7D">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1344-28-1</w:t>
                  </w:r>
                </w:p>
              </w:tc>
              <w:tc>
                <w:tcPr>
                  <w:tcW w:w="1630" w:type="dxa"/>
                  <w:vAlign w:val="center"/>
                </w:tcPr>
                <w:p w14:paraId="4C8BACA2">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566D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2530BE2D">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w:t>
                  </w:r>
                </w:p>
              </w:tc>
              <w:tc>
                <w:tcPr>
                  <w:tcW w:w="1886" w:type="dxa"/>
                  <w:vAlign w:val="center"/>
                </w:tcPr>
                <w:p w14:paraId="5C5F48A5">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氧化铬</w:t>
                  </w:r>
                </w:p>
              </w:tc>
              <w:tc>
                <w:tcPr>
                  <w:tcW w:w="1719" w:type="dxa"/>
                  <w:vAlign w:val="center"/>
                </w:tcPr>
                <w:p w14:paraId="4F5C4896">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0.3-0.4</w:t>
                  </w:r>
                </w:p>
              </w:tc>
              <w:tc>
                <w:tcPr>
                  <w:tcW w:w="2080" w:type="dxa"/>
                  <w:vAlign w:val="center"/>
                </w:tcPr>
                <w:p w14:paraId="3B73D211">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1308-38-9</w:t>
                  </w:r>
                </w:p>
              </w:tc>
              <w:tc>
                <w:tcPr>
                  <w:tcW w:w="1630" w:type="dxa"/>
                  <w:vAlign w:val="center"/>
                </w:tcPr>
                <w:p w14:paraId="0B2DBBFB">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11D8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6D07283C">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3</w:t>
                  </w:r>
                </w:p>
              </w:tc>
              <w:tc>
                <w:tcPr>
                  <w:tcW w:w="1886" w:type="dxa"/>
                  <w:vAlign w:val="center"/>
                </w:tcPr>
                <w:p w14:paraId="5598F8FF">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氧化钙</w:t>
                  </w:r>
                </w:p>
              </w:tc>
              <w:tc>
                <w:tcPr>
                  <w:tcW w:w="1719" w:type="dxa"/>
                  <w:vAlign w:val="center"/>
                </w:tcPr>
                <w:p w14:paraId="7347D94C">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61.0-62.0</w:t>
                  </w:r>
                </w:p>
              </w:tc>
              <w:tc>
                <w:tcPr>
                  <w:tcW w:w="2080" w:type="dxa"/>
                  <w:vAlign w:val="center"/>
                </w:tcPr>
                <w:p w14:paraId="0A82FCC9">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1305-78-8</w:t>
                  </w:r>
                </w:p>
              </w:tc>
              <w:tc>
                <w:tcPr>
                  <w:tcW w:w="1630" w:type="dxa"/>
                  <w:vAlign w:val="center"/>
                </w:tcPr>
                <w:p w14:paraId="4DF1CB42">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10F8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0CA7214F">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w:t>
                  </w:r>
                </w:p>
              </w:tc>
              <w:tc>
                <w:tcPr>
                  <w:tcW w:w="1886" w:type="dxa"/>
                  <w:vAlign w:val="center"/>
                </w:tcPr>
                <w:p w14:paraId="75DABE72">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三氧化二铁</w:t>
                  </w:r>
                </w:p>
              </w:tc>
              <w:tc>
                <w:tcPr>
                  <w:tcW w:w="1719" w:type="dxa"/>
                  <w:vAlign w:val="center"/>
                </w:tcPr>
                <w:p w14:paraId="7B6662A8">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25.5-26.0</w:t>
                  </w:r>
                </w:p>
              </w:tc>
              <w:tc>
                <w:tcPr>
                  <w:tcW w:w="2080" w:type="dxa"/>
                  <w:vAlign w:val="center"/>
                </w:tcPr>
                <w:p w14:paraId="55F76A7E">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1309-37-1</w:t>
                  </w:r>
                </w:p>
              </w:tc>
              <w:tc>
                <w:tcPr>
                  <w:tcW w:w="1630" w:type="dxa"/>
                  <w:vAlign w:val="center"/>
                </w:tcPr>
                <w:p w14:paraId="57242A3B">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26FA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017984F1">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5</w:t>
                  </w:r>
                </w:p>
              </w:tc>
              <w:tc>
                <w:tcPr>
                  <w:tcW w:w="1886" w:type="dxa"/>
                  <w:vAlign w:val="center"/>
                </w:tcPr>
                <w:p w14:paraId="45B3EC21">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氧化镁</w:t>
                  </w:r>
                </w:p>
              </w:tc>
              <w:tc>
                <w:tcPr>
                  <w:tcW w:w="1719" w:type="dxa"/>
                  <w:vAlign w:val="center"/>
                </w:tcPr>
                <w:p w14:paraId="1CE1A3F8">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2.5-3.0</w:t>
                  </w:r>
                </w:p>
              </w:tc>
              <w:tc>
                <w:tcPr>
                  <w:tcW w:w="2080" w:type="dxa"/>
                  <w:vAlign w:val="center"/>
                </w:tcPr>
                <w:p w14:paraId="1011186B">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1309-48-4</w:t>
                  </w:r>
                </w:p>
              </w:tc>
              <w:tc>
                <w:tcPr>
                  <w:tcW w:w="1630" w:type="dxa"/>
                  <w:vAlign w:val="center"/>
                </w:tcPr>
                <w:p w14:paraId="10A5BE01">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51F3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2AF2D569">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6</w:t>
                  </w:r>
                </w:p>
              </w:tc>
              <w:tc>
                <w:tcPr>
                  <w:tcW w:w="1886" w:type="dxa"/>
                  <w:vAlign w:val="center"/>
                </w:tcPr>
                <w:p w14:paraId="3EC05306">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二氧化锰</w:t>
                  </w:r>
                </w:p>
              </w:tc>
              <w:tc>
                <w:tcPr>
                  <w:tcW w:w="1719" w:type="dxa"/>
                  <w:vAlign w:val="center"/>
                </w:tcPr>
                <w:p w14:paraId="4C523975">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2.5-3.0</w:t>
                  </w:r>
                </w:p>
              </w:tc>
              <w:tc>
                <w:tcPr>
                  <w:tcW w:w="2080" w:type="dxa"/>
                  <w:vAlign w:val="center"/>
                </w:tcPr>
                <w:p w14:paraId="6958AFDE">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1313-13-9</w:t>
                  </w:r>
                </w:p>
              </w:tc>
              <w:tc>
                <w:tcPr>
                  <w:tcW w:w="1630" w:type="dxa"/>
                  <w:vAlign w:val="center"/>
                </w:tcPr>
                <w:p w14:paraId="28FA24EE">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4F2C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6FF02F6B">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w:t>
                  </w:r>
                </w:p>
              </w:tc>
              <w:tc>
                <w:tcPr>
                  <w:tcW w:w="1886" w:type="dxa"/>
                  <w:vAlign w:val="center"/>
                </w:tcPr>
                <w:p w14:paraId="6566070C">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磷酸钙</w:t>
                  </w:r>
                </w:p>
              </w:tc>
              <w:tc>
                <w:tcPr>
                  <w:tcW w:w="1719" w:type="dxa"/>
                  <w:vAlign w:val="center"/>
                </w:tcPr>
                <w:p w14:paraId="7F36A70D">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4.0-5.0</w:t>
                  </w:r>
                </w:p>
              </w:tc>
              <w:tc>
                <w:tcPr>
                  <w:tcW w:w="2080" w:type="dxa"/>
                  <w:vAlign w:val="center"/>
                </w:tcPr>
                <w:p w14:paraId="1C6AA309">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7758-87-4</w:t>
                  </w:r>
                </w:p>
              </w:tc>
              <w:tc>
                <w:tcPr>
                  <w:tcW w:w="1630" w:type="dxa"/>
                  <w:vAlign w:val="center"/>
                </w:tcPr>
                <w:p w14:paraId="22B37BF3">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5F93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5DDBD66B">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8</w:t>
                  </w:r>
                </w:p>
              </w:tc>
              <w:tc>
                <w:tcPr>
                  <w:tcW w:w="1886" w:type="dxa"/>
                  <w:vAlign w:val="center"/>
                </w:tcPr>
                <w:p w14:paraId="712EE22F">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氧化铅</w:t>
                  </w:r>
                </w:p>
              </w:tc>
              <w:tc>
                <w:tcPr>
                  <w:tcW w:w="1719" w:type="dxa"/>
                  <w:vAlign w:val="center"/>
                </w:tcPr>
                <w:p w14:paraId="58723198">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0.1-0.3</w:t>
                  </w:r>
                </w:p>
              </w:tc>
              <w:tc>
                <w:tcPr>
                  <w:tcW w:w="2080" w:type="dxa"/>
                  <w:vAlign w:val="center"/>
                </w:tcPr>
                <w:p w14:paraId="181EDE02">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1317-36-8</w:t>
                  </w:r>
                </w:p>
              </w:tc>
              <w:tc>
                <w:tcPr>
                  <w:tcW w:w="1630" w:type="dxa"/>
                  <w:vAlign w:val="center"/>
                </w:tcPr>
                <w:p w14:paraId="0213E659">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534E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00820110">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9</w:t>
                  </w:r>
                </w:p>
              </w:tc>
              <w:tc>
                <w:tcPr>
                  <w:tcW w:w="1886" w:type="dxa"/>
                  <w:vAlign w:val="center"/>
                </w:tcPr>
                <w:p w14:paraId="7B83E63D">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氧化锡</w:t>
                  </w:r>
                </w:p>
              </w:tc>
              <w:tc>
                <w:tcPr>
                  <w:tcW w:w="1719" w:type="dxa"/>
                  <w:vAlign w:val="center"/>
                </w:tcPr>
                <w:p w14:paraId="396C49FA">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0.1-0.3</w:t>
                  </w:r>
                </w:p>
              </w:tc>
              <w:tc>
                <w:tcPr>
                  <w:tcW w:w="2080" w:type="dxa"/>
                  <w:vAlign w:val="center"/>
                </w:tcPr>
                <w:p w14:paraId="53BB2A97">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1332-29-2</w:t>
                  </w:r>
                </w:p>
              </w:tc>
              <w:tc>
                <w:tcPr>
                  <w:tcW w:w="1630" w:type="dxa"/>
                  <w:vAlign w:val="center"/>
                </w:tcPr>
                <w:p w14:paraId="710A1016">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1060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2FE7A513">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10</w:t>
                  </w:r>
                </w:p>
              </w:tc>
              <w:tc>
                <w:tcPr>
                  <w:tcW w:w="1886" w:type="dxa"/>
                  <w:vAlign w:val="center"/>
                </w:tcPr>
                <w:p w14:paraId="655E7733">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二氧化钛</w:t>
                  </w:r>
                </w:p>
              </w:tc>
              <w:tc>
                <w:tcPr>
                  <w:tcW w:w="1719" w:type="dxa"/>
                  <w:vAlign w:val="center"/>
                </w:tcPr>
                <w:p w14:paraId="6B9F4AD3">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0.1-0.3</w:t>
                  </w:r>
                </w:p>
              </w:tc>
              <w:tc>
                <w:tcPr>
                  <w:tcW w:w="2080" w:type="dxa"/>
                  <w:vAlign w:val="center"/>
                </w:tcPr>
                <w:p w14:paraId="77C84129">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1317-80-2</w:t>
                  </w:r>
                </w:p>
              </w:tc>
              <w:tc>
                <w:tcPr>
                  <w:tcW w:w="1630" w:type="dxa"/>
                  <w:vAlign w:val="center"/>
                </w:tcPr>
                <w:p w14:paraId="2168B44C">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597F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0BC5E52F">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11</w:t>
                  </w:r>
                </w:p>
              </w:tc>
              <w:tc>
                <w:tcPr>
                  <w:tcW w:w="1886" w:type="dxa"/>
                  <w:vAlign w:val="center"/>
                </w:tcPr>
                <w:p w14:paraId="69606E22">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氧化钒</w:t>
                  </w:r>
                </w:p>
              </w:tc>
              <w:tc>
                <w:tcPr>
                  <w:tcW w:w="1719" w:type="dxa"/>
                  <w:vAlign w:val="center"/>
                </w:tcPr>
                <w:p w14:paraId="7F2F8498">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0.5-0.8</w:t>
                  </w:r>
                </w:p>
              </w:tc>
              <w:tc>
                <w:tcPr>
                  <w:tcW w:w="2080" w:type="dxa"/>
                  <w:vAlign w:val="center"/>
                </w:tcPr>
                <w:p w14:paraId="42D0FFDA">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12037-42-2</w:t>
                  </w:r>
                </w:p>
              </w:tc>
              <w:tc>
                <w:tcPr>
                  <w:tcW w:w="1630" w:type="dxa"/>
                  <w:vAlign w:val="center"/>
                </w:tcPr>
                <w:p w14:paraId="3D57F17A">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r w14:paraId="30A2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64" w:type="dxa"/>
                  <w:vAlign w:val="center"/>
                </w:tcPr>
                <w:p w14:paraId="7CBA561E">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12</w:t>
                  </w:r>
                </w:p>
              </w:tc>
              <w:tc>
                <w:tcPr>
                  <w:tcW w:w="1886" w:type="dxa"/>
                  <w:vAlign w:val="center"/>
                </w:tcPr>
                <w:p w14:paraId="4E4A09ED">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二氧化硅</w:t>
                  </w:r>
                </w:p>
              </w:tc>
              <w:tc>
                <w:tcPr>
                  <w:tcW w:w="1719" w:type="dxa"/>
                  <w:vAlign w:val="center"/>
                </w:tcPr>
                <w:p w14:paraId="7A111EEB">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0.2-0.4</w:t>
                  </w:r>
                </w:p>
              </w:tc>
              <w:tc>
                <w:tcPr>
                  <w:tcW w:w="2080" w:type="dxa"/>
                  <w:vAlign w:val="center"/>
                </w:tcPr>
                <w:p w14:paraId="0A2A0B0A">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7631-86-9</w:t>
                  </w:r>
                </w:p>
              </w:tc>
              <w:tc>
                <w:tcPr>
                  <w:tcW w:w="1630" w:type="dxa"/>
                  <w:vAlign w:val="center"/>
                </w:tcPr>
                <w:p w14:paraId="440EBE02">
                  <w:pPr>
                    <w:pStyle w:val="7"/>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无机物</w:t>
                  </w:r>
                </w:p>
              </w:tc>
            </w:tr>
          </w:tbl>
          <w:p w14:paraId="41F5D6F4">
            <w:pPr>
              <w:jc w:val="center"/>
              <w:rPr>
                <w:color w:val="auto"/>
                <w:sz w:val="21"/>
                <w:szCs w:val="21"/>
              </w:rPr>
            </w:pPr>
            <w:r>
              <w:rPr>
                <w:rFonts w:hint="eastAsia"/>
                <w:b/>
                <w:bCs/>
                <w:color w:val="auto"/>
                <w:sz w:val="21"/>
                <w:szCs w:val="21"/>
              </w:rPr>
              <w:t>表2-6</w:t>
            </w:r>
            <w:r>
              <w:rPr>
                <w:rFonts w:hint="eastAsia"/>
                <w:b/>
                <w:bCs/>
                <w:color w:val="auto"/>
                <w:sz w:val="21"/>
                <w:szCs w:val="21"/>
                <w:lang w:val="en-US" w:eastAsia="zh-CN"/>
              </w:rPr>
              <w:t xml:space="preserve">  </w:t>
            </w:r>
            <w:r>
              <w:rPr>
                <w:rFonts w:hint="eastAsia"/>
                <w:b/>
                <w:bCs/>
                <w:color w:val="auto"/>
                <w:sz w:val="21"/>
                <w:szCs w:val="21"/>
              </w:rPr>
              <w:t>本项目物料平衡表</w:t>
            </w:r>
          </w:p>
          <w:tbl>
            <w:tblPr>
              <w:tblStyle w:val="21"/>
              <w:tblW w:w="48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1955"/>
              <w:gridCol w:w="2801"/>
              <w:gridCol w:w="2000"/>
            </w:tblGrid>
            <w:tr w14:paraId="2CA06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2195" w:type="pct"/>
                  <w:gridSpan w:val="2"/>
                  <w:vAlign w:val="center"/>
                </w:tcPr>
                <w:p w14:paraId="19B588FC">
                  <w:pPr>
                    <w:adjustRightInd w:val="0"/>
                    <w:snapToGrid w:val="0"/>
                    <w:jc w:val="center"/>
                    <w:rPr>
                      <w:b w:val="0"/>
                      <w:bCs w:val="0"/>
                      <w:color w:val="auto"/>
                      <w:kern w:val="24"/>
                      <w:sz w:val="21"/>
                      <w:szCs w:val="21"/>
                    </w:rPr>
                  </w:pPr>
                  <w:r>
                    <w:rPr>
                      <w:b w:val="0"/>
                      <w:bCs w:val="0"/>
                      <w:color w:val="auto"/>
                      <w:kern w:val="24"/>
                      <w:sz w:val="21"/>
                      <w:szCs w:val="21"/>
                    </w:rPr>
                    <w:t>输入</w:t>
                  </w:r>
                  <w:r>
                    <w:rPr>
                      <w:rFonts w:hint="default" w:ascii="Times New Roman" w:hAnsi="Times New Roman" w:cs="Times New Roman"/>
                      <w:b w:val="0"/>
                      <w:bCs w:val="0"/>
                      <w:color w:val="auto"/>
                      <w:sz w:val="21"/>
                      <w:szCs w:val="21"/>
                    </w:rPr>
                    <w:t>（t/a）</w:t>
                  </w:r>
                </w:p>
              </w:tc>
              <w:tc>
                <w:tcPr>
                  <w:tcW w:w="2804" w:type="pct"/>
                  <w:gridSpan w:val="2"/>
                  <w:vAlign w:val="center"/>
                </w:tcPr>
                <w:p w14:paraId="42DC29A0">
                  <w:pPr>
                    <w:adjustRightInd w:val="0"/>
                    <w:snapToGrid w:val="0"/>
                    <w:jc w:val="center"/>
                    <w:rPr>
                      <w:b w:val="0"/>
                      <w:bCs w:val="0"/>
                      <w:color w:val="auto"/>
                      <w:kern w:val="24"/>
                      <w:sz w:val="21"/>
                      <w:szCs w:val="21"/>
                    </w:rPr>
                  </w:pPr>
                  <w:r>
                    <w:rPr>
                      <w:b w:val="0"/>
                      <w:bCs w:val="0"/>
                      <w:color w:val="auto"/>
                      <w:kern w:val="24"/>
                      <w:sz w:val="21"/>
                      <w:szCs w:val="21"/>
                    </w:rPr>
                    <w:t>输出</w:t>
                  </w:r>
                  <w:r>
                    <w:rPr>
                      <w:rFonts w:hint="default" w:ascii="Times New Roman" w:hAnsi="Times New Roman" w:cs="Times New Roman"/>
                      <w:b w:val="0"/>
                      <w:bCs w:val="0"/>
                      <w:color w:val="auto"/>
                      <w:sz w:val="21"/>
                      <w:szCs w:val="21"/>
                    </w:rPr>
                    <w:t>（t/a）</w:t>
                  </w:r>
                </w:p>
              </w:tc>
            </w:tr>
            <w:tr w14:paraId="3A90F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1052" w:type="pct"/>
                  <w:vAlign w:val="center"/>
                </w:tcPr>
                <w:p w14:paraId="388894E0">
                  <w:pPr>
                    <w:adjustRightInd w:val="0"/>
                    <w:snapToGrid w:val="0"/>
                    <w:jc w:val="center"/>
                    <w:rPr>
                      <w:rFonts w:hint="default" w:ascii="Times New Roman" w:hAnsi="Times New Roman" w:cs="Times New Roman"/>
                      <w:b w:val="0"/>
                      <w:bCs w:val="0"/>
                      <w:color w:val="auto"/>
                      <w:kern w:val="24"/>
                      <w:sz w:val="21"/>
                      <w:szCs w:val="21"/>
                    </w:rPr>
                  </w:pPr>
                  <w:r>
                    <w:rPr>
                      <w:rFonts w:hint="default" w:ascii="Times New Roman" w:hAnsi="Times New Roman" w:cs="Times New Roman"/>
                      <w:b w:val="0"/>
                      <w:bCs w:val="0"/>
                      <w:color w:val="auto"/>
                      <w:kern w:val="24"/>
                      <w:sz w:val="21"/>
                      <w:szCs w:val="21"/>
                    </w:rPr>
                    <w:t>物料名称</w:t>
                  </w:r>
                </w:p>
              </w:tc>
              <w:tc>
                <w:tcPr>
                  <w:tcW w:w="1142" w:type="pct"/>
                  <w:vAlign w:val="center"/>
                </w:tcPr>
                <w:p w14:paraId="05E3BC0A">
                  <w:pPr>
                    <w:adjustRightInd w:val="0"/>
                    <w:snapToGrid w:val="0"/>
                    <w:jc w:val="center"/>
                    <w:rPr>
                      <w:rFonts w:hint="eastAsia" w:ascii="Times New Roman" w:hAnsi="Times New Roman" w:eastAsia="宋体" w:cs="Times New Roman"/>
                      <w:b w:val="0"/>
                      <w:bCs w:val="0"/>
                      <w:color w:val="auto"/>
                      <w:kern w:val="24"/>
                      <w:sz w:val="21"/>
                      <w:szCs w:val="21"/>
                      <w:lang w:eastAsia="zh-CN"/>
                    </w:rPr>
                  </w:pPr>
                  <w:r>
                    <w:rPr>
                      <w:rFonts w:hint="default" w:ascii="Times New Roman" w:hAnsi="Times New Roman" w:cs="Times New Roman"/>
                      <w:b w:val="0"/>
                      <w:bCs w:val="0"/>
                      <w:color w:val="auto"/>
                      <w:kern w:val="24"/>
                      <w:sz w:val="21"/>
                      <w:szCs w:val="21"/>
                    </w:rPr>
                    <w:t>数量</w:t>
                  </w:r>
                </w:p>
              </w:tc>
              <w:tc>
                <w:tcPr>
                  <w:tcW w:w="1636" w:type="pct"/>
                  <w:vAlign w:val="center"/>
                </w:tcPr>
                <w:p w14:paraId="56CA3FD5">
                  <w:pPr>
                    <w:adjustRightInd w:val="0"/>
                    <w:snapToGrid w:val="0"/>
                    <w:jc w:val="center"/>
                    <w:rPr>
                      <w:rFonts w:hint="default" w:ascii="Times New Roman" w:hAnsi="Times New Roman" w:cs="Times New Roman"/>
                      <w:b w:val="0"/>
                      <w:bCs w:val="0"/>
                      <w:color w:val="auto"/>
                      <w:kern w:val="24"/>
                      <w:sz w:val="21"/>
                      <w:szCs w:val="21"/>
                    </w:rPr>
                  </w:pPr>
                  <w:r>
                    <w:rPr>
                      <w:rFonts w:hint="default" w:ascii="Times New Roman" w:hAnsi="Times New Roman" w:cs="Times New Roman"/>
                      <w:b w:val="0"/>
                      <w:bCs w:val="0"/>
                      <w:color w:val="auto"/>
                      <w:kern w:val="24"/>
                      <w:sz w:val="21"/>
                      <w:szCs w:val="21"/>
                    </w:rPr>
                    <w:t>名称</w:t>
                  </w:r>
                </w:p>
              </w:tc>
              <w:tc>
                <w:tcPr>
                  <w:tcW w:w="1168" w:type="pct"/>
                  <w:vAlign w:val="center"/>
                </w:tcPr>
                <w:p w14:paraId="21CD73B8">
                  <w:pPr>
                    <w:adjustRightInd w:val="0"/>
                    <w:snapToGrid w:val="0"/>
                    <w:jc w:val="center"/>
                    <w:rPr>
                      <w:rFonts w:hint="default" w:ascii="Times New Roman" w:hAnsi="Times New Roman" w:cs="Times New Roman"/>
                      <w:b w:val="0"/>
                      <w:bCs w:val="0"/>
                      <w:color w:val="auto"/>
                      <w:kern w:val="24"/>
                      <w:sz w:val="21"/>
                      <w:szCs w:val="21"/>
                    </w:rPr>
                  </w:pPr>
                  <w:r>
                    <w:rPr>
                      <w:rFonts w:hint="default" w:ascii="Times New Roman" w:hAnsi="Times New Roman" w:cs="Times New Roman"/>
                      <w:b w:val="0"/>
                      <w:bCs w:val="0"/>
                      <w:color w:val="auto"/>
                      <w:kern w:val="24"/>
                      <w:sz w:val="21"/>
                      <w:szCs w:val="21"/>
                    </w:rPr>
                    <w:t>数量</w:t>
                  </w:r>
                </w:p>
              </w:tc>
            </w:tr>
            <w:tr w14:paraId="1224D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1052" w:type="pct"/>
                  <w:vMerge w:val="restart"/>
                  <w:vAlign w:val="center"/>
                </w:tcPr>
                <w:p w14:paraId="241697DF">
                  <w:pPr>
                    <w:keepNext/>
                    <w:keepLines/>
                    <w:adjustRightInd w:val="0"/>
                    <w:snapToGrid w:val="0"/>
                    <w:jc w:val="center"/>
                    <w:rPr>
                      <w:rFonts w:hint="eastAsia" w:ascii="Times New Roman" w:hAnsi="Times New Roman" w:eastAsia="宋体" w:cs="Times New Roman"/>
                      <w:b w:val="0"/>
                      <w:bCs w:val="0"/>
                      <w:color w:val="auto"/>
                      <w:kern w:val="24"/>
                      <w:sz w:val="21"/>
                      <w:szCs w:val="21"/>
                      <w:lang w:eastAsia="zh-CN"/>
                    </w:rPr>
                  </w:pPr>
                  <w:r>
                    <w:rPr>
                      <w:rFonts w:hint="eastAsia" w:cs="Times New Roman"/>
                      <w:b w:val="0"/>
                      <w:bCs w:val="0"/>
                      <w:color w:val="auto"/>
                      <w:kern w:val="24"/>
                      <w:sz w:val="21"/>
                      <w:szCs w:val="21"/>
                      <w:lang w:eastAsia="zh-CN"/>
                    </w:rPr>
                    <w:t>废钢渣</w:t>
                  </w:r>
                </w:p>
              </w:tc>
              <w:tc>
                <w:tcPr>
                  <w:tcW w:w="1142" w:type="pct"/>
                  <w:vMerge w:val="restart"/>
                  <w:vAlign w:val="center"/>
                </w:tcPr>
                <w:p w14:paraId="5C95F5CE">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100000</w:t>
                  </w:r>
                </w:p>
              </w:tc>
              <w:tc>
                <w:tcPr>
                  <w:tcW w:w="1636" w:type="pct"/>
                  <w:vAlign w:val="center"/>
                </w:tcPr>
                <w:p w14:paraId="74E230A8">
                  <w:pPr>
                    <w:adjustRightInd w:val="0"/>
                    <w:snapToGrid w:val="0"/>
                    <w:jc w:val="center"/>
                    <w:rPr>
                      <w:rFonts w:hint="eastAsia" w:ascii="Times New Roman" w:hAnsi="Times New Roman" w:eastAsia="宋体" w:cs="Times New Roman"/>
                      <w:b w:val="0"/>
                      <w:bCs w:val="0"/>
                      <w:color w:val="auto"/>
                      <w:kern w:val="24"/>
                      <w:sz w:val="21"/>
                      <w:szCs w:val="21"/>
                      <w:lang w:eastAsia="zh-CN"/>
                    </w:rPr>
                  </w:pPr>
                  <w:r>
                    <w:rPr>
                      <w:rFonts w:hint="eastAsia" w:cs="Times New Roman"/>
                      <w:b w:val="0"/>
                      <w:bCs w:val="0"/>
                      <w:color w:val="auto"/>
                      <w:kern w:val="24"/>
                      <w:sz w:val="21"/>
                      <w:szCs w:val="21"/>
                      <w:lang w:eastAsia="zh-CN"/>
                    </w:rPr>
                    <w:t>制砖料</w:t>
                  </w:r>
                </w:p>
              </w:tc>
              <w:tc>
                <w:tcPr>
                  <w:tcW w:w="1168" w:type="pct"/>
                  <w:vAlign w:val="center"/>
                </w:tcPr>
                <w:p w14:paraId="4A3B5D5A">
                  <w:pPr>
                    <w:adjustRightInd w:val="0"/>
                    <w:snapToGrid w:val="0"/>
                    <w:jc w:val="center"/>
                    <w:rPr>
                      <w:rFonts w:hint="default" w:ascii="Times New Roman" w:hAnsi="Times New Roman" w:eastAsia="宋体" w:cs="Times New Roman"/>
                      <w:b w:val="0"/>
                      <w:bCs w:val="0"/>
                      <w:color w:val="auto"/>
                      <w:kern w:val="24"/>
                      <w:sz w:val="21"/>
                      <w:szCs w:val="21"/>
                      <w:lang w:val="en-US" w:eastAsia="zh-CN"/>
                    </w:rPr>
                  </w:pPr>
                  <w:r>
                    <w:rPr>
                      <w:rFonts w:hint="eastAsia"/>
                      <w:b w:val="0"/>
                      <w:bCs w:val="0"/>
                      <w:color w:val="auto"/>
                      <w:sz w:val="21"/>
                      <w:szCs w:val="21"/>
                      <w:lang w:val="en-US" w:eastAsia="zh-CN"/>
                    </w:rPr>
                    <w:t>78990</w:t>
                  </w:r>
                </w:p>
              </w:tc>
            </w:tr>
            <w:tr w14:paraId="7305F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1052" w:type="pct"/>
                  <w:vMerge w:val="continue"/>
                  <w:vAlign w:val="center"/>
                </w:tcPr>
                <w:p w14:paraId="47B9559D">
                  <w:pPr>
                    <w:keepNext/>
                    <w:keepLines/>
                    <w:adjustRightInd w:val="0"/>
                    <w:snapToGrid w:val="0"/>
                    <w:jc w:val="center"/>
                    <w:rPr>
                      <w:rFonts w:hint="default" w:ascii="Times New Roman" w:hAnsi="Times New Roman" w:cs="Times New Roman"/>
                      <w:b w:val="0"/>
                      <w:bCs w:val="0"/>
                      <w:color w:val="auto"/>
                      <w:kern w:val="24"/>
                      <w:sz w:val="21"/>
                      <w:szCs w:val="21"/>
                    </w:rPr>
                  </w:pPr>
                </w:p>
              </w:tc>
              <w:tc>
                <w:tcPr>
                  <w:tcW w:w="1142" w:type="pct"/>
                  <w:vMerge w:val="continue"/>
                  <w:vAlign w:val="center"/>
                </w:tcPr>
                <w:p w14:paraId="42A00221">
                  <w:pPr>
                    <w:adjustRightInd w:val="0"/>
                    <w:snapToGrid w:val="0"/>
                    <w:jc w:val="center"/>
                    <w:rPr>
                      <w:rFonts w:hint="default" w:ascii="Times New Roman" w:hAnsi="Times New Roman" w:cs="Times New Roman"/>
                      <w:b w:val="0"/>
                      <w:bCs w:val="0"/>
                      <w:color w:val="auto"/>
                      <w:kern w:val="24"/>
                      <w:sz w:val="21"/>
                      <w:szCs w:val="21"/>
                    </w:rPr>
                  </w:pPr>
                </w:p>
              </w:tc>
              <w:tc>
                <w:tcPr>
                  <w:tcW w:w="1636" w:type="pct"/>
                  <w:vAlign w:val="center"/>
                </w:tcPr>
                <w:p w14:paraId="6AC15DE4">
                  <w:pPr>
                    <w:adjustRightInd w:val="0"/>
                    <w:snapToGrid w:val="0"/>
                    <w:jc w:val="center"/>
                    <w:rPr>
                      <w:rFonts w:hint="eastAsia" w:ascii="Times New Roman" w:hAnsi="Times New Roman" w:eastAsia="宋体" w:cs="Times New Roman"/>
                      <w:b w:val="0"/>
                      <w:bCs w:val="0"/>
                      <w:color w:val="auto"/>
                      <w:kern w:val="24"/>
                      <w:sz w:val="21"/>
                      <w:szCs w:val="21"/>
                      <w:lang w:eastAsia="zh-CN"/>
                    </w:rPr>
                  </w:pPr>
                  <w:r>
                    <w:rPr>
                      <w:rFonts w:hint="eastAsia" w:cs="Times New Roman"/>
                      <w:b w:val="0"/>
                      <w:bCs w:val="0"/>
                      <w:color w:val="auto"/>
                      <w:kern w:val="24"/>
                      <w:sz w:val="21"/>
                      <w:szCs w:val="21"/>
                      <w:lang w:eastAsia="zh-CN"/>
                    </w:rPr>
                    <w:t>铁渣</w:t>
                  </w:r>
                </w:p>
              </w:tc>
              <w:tc>
                <w:tcPr>
                  <w:tcW w:w="1168" w:type="pct"/>
                  <w:vAlign w:val="center"/>
                </w:tcPr>
                <w:p w14:paraId="4D233F22">
                  <w:pPr>
                    <w:adjustRightInd w:val="0"/>
                    <w:snapToGrid w:val="0"/>
                    <w:jc w:val="center"/>
                    <w:rPr>
                      <w:rFonts w:hint="default" w:ascii="Times New Roman" w:hAnsi="Times New Roman" w:eastAsia="宋体" w:cs="Times New Roman"/>
                      <w:b w:val="0"/>
                      <w:bCs w:val="0"/>
                      <w:color w:val="auto"/>
                      <w:kern w:val="24"/>
                      <w:sz w:val="21"/>
                      <w:szCs w:val="21"/>
                      <w:lang w:val="en-US" w:eastAsia="zh-CN"/>
                    </w:rPr>
                  </w:pPr>
                  <w:r>
                    <w:rPr>
                      <w:rFonts w:hint="eastAsia" w:cs="Times New Roman"/>
                      <w:b w:val="0"/>
                      <w:bCs w:val="0"/>
                      <w:color w:val="auto"/>
                      <w:kern w:val="24"/>
                      <w:sz w:val="21"/>
                      <w:szCs w:val="21"/>
                      <w:lang w:val="en-US" w:eastAsia="zh-CN"/>
                    </w:rPr>
                    <w:t>20400</w:t>
                  </w:r>
                </w:p>
              </w:tc>
            </w:tr>
            <w:tr w14:paraId="7CC1B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2" w:type="pct"/>
                  <w:vMerge w:val="continue"/>
                  <w:vAlign w:val="center"/>
                </w:tcPr>
                <w:p w14:paraId="28063C4C">
                  <w:pPr>
                    <w:keepNext/>
                    <w:keepLines/>
                    <w:adjustRightInd w:val="0"/>
                    <w:snapToGrid w:val="0"/>
                    <w:jc w:val="center"/>
                    <w:rPr>
                      <w:rFonts w:hint="default" w:ascii="Times New Roman" w:hAnsi="Times New Roman" w:cs="Times New Roman"/>
                      <w:b w:val="0"/>
                      <w:bCs w:val="0"/>
                      <w:color w:val="auto"/>
                      <w:kern w:val="24"/>
                      <w:sz w:val="21"/>
                      <w:szCs w:val="21"/>
                    </w:rPr>
                  </w:pPr>
                </w:p>
              </w:tc>
              <w:tc>
                <w:tcPr>
                  <w:tcW w:w="1142" w:type="pct"/>
                  <w:vMerge w:val="continue"/>
                  <w:vAlign w:val="center"/>
                </w:tcPr>
                <w:p w14:paraId="4CFB258C">
                  <w:pPr>
                    <w:adjustRightInd w:val="0"/>
                    <w:snapToGrid w:val="0"/>
                    <w:jc w:val="center"/>
                    <w:rPr>
                      <w:rFonts w:hint="default" w:ascii="Times New Roman" w:hAnsi="Times New Roman" w:eastAsia="宋体" w:cs="Times New Roman"/>
                      <w:b w:val="0"/>
                      <w:bCs w:val="0"/>
                      <w:color w:val="auto"/>
                      <w:kern w:val="24"/>
                      <w:sz w:val="21"/>
                      <w:szCs w:val="21"/>
                      <w:lang w:val="en-US" w:eastAsia="zh-CN"/>
                    </w:rPr>
                  </w:pPr>
                </w:p>
              </w:tc>
              <w:tc>
                <w:tcPr>
                  <w:tcW w:w="1636" w:type="pct"/>
                  <w:vAlign w:val="center"/>
                </w:tcPr>
                <w:p w14:paraId="2C79F194">
                  <w:pPr>
                    <w:adjustRightInd w:val="0"/>
                    <w:snapToGrid w:val="0"/>
                    <w:jc w:val="center"/>
                    <w:rPr>
                      <w:rFonts w:hint="eastAsia" w:ascii="Times New Roman" w:hAnsi="Times New Roman" w:eastAsia="宋体" w:cs="Times New Roman"/>
                      <w:b w:val="0"/>
                      <w:bCs w:val="0"/>
                      <w:color w:val="auto"/>
                      <w:kern w:val="24"/>
                      <w:sz w:val="21"/>
                      <w:szCs w:val="21"/>
                      <w:lang w:eastAsia="zh-CN"/>
                    </w:rPr>
                  </w:pPr>
                  <w:r>
                    <w:rPr>
                      <w:rFonts w:hint="eastAsia" w:cs="Times New Roman"/>
                      <w:b w:val="0"/>
                      <w:bCs w:val="0"/>
                      <w:color w:val="auto"/>
                      <w:kern w:val="24"/>
                      <w:sz w:val="21"/>
                      <w:szCs w:val="21"/>
                      <w:lang w:eastAsia="zh-CN"/>
                    </w:rPr>
                    <w:t>除尘灰</w:t>
                  </w:r>
                </w:p>
              </w:tc>
              <w:tc>
                <w:tcPr>
                  <w:tcW w:w="1168" w:type="pct"/>
                  <w:vAlign w:val="center"/>
                </w:tcPr>
                <w:p w14:paraId="07D3AA48">
                  <w:pPr>
                    <w:adjustRightInd w:val="0"/>
                    <w:snapToGrid w:val="0"/>
                    <w:jc w:val="center"/>
                    <w:rPr>
                      <w:rFonts w:hint="default" w:ascii="Times New Roman" w:hAnsi="Times New Roman" w:eastAsia="宋体" w:cs="Times New Roman"/>
                      <w:b w:val="0"/>
                      <w:bCs w:val="0"/>
                      <w:color w:val="auto"/>
                      <w:kern w:val="24"/>
                      <w:sz w:val="21"/>
                      <w:szCs w:val="21"/>
                      <w:lang w:val="en-US" w:eastAsia="zh-CN"/>
                    </w:rPr>
                  </w:pPr>
                  <w:r>
                    <w:rPr>
                      <w:rFonts w:hint="eastAsia" w:cs="Times New Roman"/>
                      <w:b w:val="0"/>
                      <w:bCs w:val="0"/>
                      <w:color w:val="auto"/>
                      <w:kern w:val="24"/>
                      <w:sz w:val="21"/>
                      <w:szCs w:val="21"/>
                      <w:lang w:val="en-US" w:eastAsia="zh-CN"/>
                    </w:rPr>
                    <w:t>55.539</w:t>
                  </w:r>
                </w:p>
              </w:tc>
            </w:tr>
            <w:tr w14:paraId="1B175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52" w:type="pct"/>
                  <w:vMerge w:val="continue"/>
                  <w:vAlign w:val="center"/>
                </w:tcPr>
                <w:p w14:paraId="46EE41AE">
                  <w:pPr>
                    <w:keepNext/>
                    <w:keepLines/>
                    <w:adjustRightInd w:val="0"/>
                    <w:snapToGrid w:val="0"/>
                    <w:jc w:val="center"/>
                    <w:rPr>
                      <w:rFonts w:hint="default" w:ascii="Times New Roman" w:hAnsi="Times New Roman" w:cs="Times New Roman"/>
                      <w:b w:val="0"/>
                      <w:bCs w:val="0"/>
                      <w:color w:val="auto"/>
                      <w:kern w:val="24"/>
                      <w:sz w:val="21"/>
                      <w:szCs w:val="21"/>
                    </w:rPr>
                  </w:pPr>
                </w:p>
              </w:tc>
              <w:tc>
                <w:tcPr>
                  <w:tcW w:w="1142" w:type="pct"/>
                  <w:vMerge w:val="continue"/>
                  <w:vAlign w:val="center"/>
                </w:tcPr>
                <w:p w14:paraId="19F820C2">
                  <w:pPr>
                    <w:adjustRightInd w:val="0"/>
                    <w:snapToGrid w:val="0"/>
                    <w:jc w:val="center"/>
                    <w:rPr>
                      <w:rFonts w:hint="default" w:ascii="Times New Roman" w:hAnsi="Times New Roman" w:cs="Times New Roman"/>
                      <w:b w:val="0"/>
                      <w:bCs w:val="0"/>
                      <w:color w:val="auto"/>
                      <w:kern w:val="24"/>
                      <w:sz w:val="21"/>
                      <w:szCs w:val="21"/>
                    </w:rPr>
                  </w:pPr>
                </w:p>
              </w:tc>
              <w:tc>
                <w:tcPr>
                  <w:tcW w:w="1636" w:type="pct"/>
                  <w:vAlign w:val="center"/>
                </w:tcPr>
                <w:p w14:paraId="150FDA98">
                  <w:pPr>
                    <w:adjustRightInd w:val="0"/>
                    <w:snapToGrid w:val="0"/>
                    <w:ind w:left="0" w:leftChars="0" w:right="0" w:rightChars="0"/>
                    <w:jc w:val="center"/>
                    <w:rPr>
                      <w:rFonts w:hint="eastAsia" w:cs="Times New Roman"/>
                      <w:b w:val="0"/>
                      <w:bCs w:val="0"/>
                      <w:color w:val="auto"/>
                      <w:kern w:val="24"/>
                      <w:sz w:val="21"/>
                      <w:szCs w:val="21"/>
                      <w:lang w:eastAsia="zh-CN"/>
                    </w:rPr>
                  </w:pPr>
                  <w:r>
                    <w:rPr>
                      <w:rFonts w:hint="eastAsia" w:cs="Times New Roman"/>
                      <w:b w:val="0"/>
                      <w:bCs w:val="0"/>
                      <w:color w:val="auto"/>
                      <w:kern w:val="24"/>
                      <w:sz w:val="21"/>
                      <w:szCs w:val="21"/>
                      <w:lang w:eastAsia="zh-CN"/>
                    </w:rPr>
                    <w:t>沉淀池底砂</w:t>
                  </w:r>
                </w:p>
              </w:tc>
              <w:tc>
                <w:tcPr>
                  <w:tcW w:w="1168" w:type="pct"/>
                  <w:vAlign w:val="center"/>
                </w:tcPr>
                <w:p w14:paraId="32914A7E">
                  <w:pPr>
                    <w:adjustRightInd w:val="0"/>
                    <w:snapToGrid w:val="0"/>
                    <w:ind w:left="0" w:leftChars="0" w:right="0" w:rightChars="0"/>
                    <w:jc w:val="center"/>
                    <w:rPr>
                      <w:rFonts w:hint="default" w:cs="Times New Roman"/>
                      <w:b w:val="0"/>
                      <w:bCs w:val="0"/>
                      <w:color w:val="auto"/>
                      <w:kern w:val="24"/>
                      <w:sz w:val="21"/>
                      <w:szCs w:val="21"/>
                      <w:lang w:val="en-US" w:eastAsia="zh-CN" w:bidi="zh-CN"/>
                    </w:rPr>
                  </w:pPr>
                  <w:r>
                    <w:rPr>
                      <w:rFonts w:hint="eastAsia" w:cs="Times New Roman"/>
                      <w:b w:val="0"/>
                      <w:bCs w:val="0"/>
                      <w:color w:val="auto"/>
                      <w:kern w:val="24"/>
                      <w:sz w:val="21"/>
                      <w:szCs w:val="21"/>
                      <w:lang w:val="en-US" w:eastAsia="zh-CN" w:bidi="zh-CN"/>
                    </w:rPr>
                    <w:t>8.564</w:t>
                  </w:r>
                </w:p>
              </w:tc>
            </w:tr>
            <w:tr w14:paraId="7DA26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52" w:type="pct"/>
                  <w:vMerge w:val="continue"/>
                  <w:vAlign w:val="center"/>
                </w:tcPr>
                <w:p w14:paraId="42375952">
                  <w:pPr>
                    <w:keepNext/>
                    <w:keepLines/>
                    <w:adjustRightInd w:val="0"/>
                    <w:snapToGrid w:val="0"/>
                    <w:jc w:val="center"/>
                    <w:rPr>
                      <w:rFonts w:hint="default" w:ascii="Times New Roman" w:hAnsi="Times New Roman" w:cs="Times New Roman"/>
                      <w:b w:val="0"/>
                      <w:bCs w:val="0"/>
                      <w:color w:val="auto"/>
                      <w:kern w:val="24"/>
                      <w:sz w:val="21"/>
                      <w:szCs w:val="21"/>
                    </w:rPr>
                  </w:pPr>
                </w:p>
              </w:tc>
              <w:tc>
                <w:tcPr>
                  <w:tcW w:w="1142" w:type="pct"/>
                  <w:vMerge w:val="continue"/>
                  <w:vAlign w:val="center"/>
                </w:tcPr>
                <w:p w14:paraId="1DD7FD96">
                  <w:pPr>
                    <w:adjustRightInd w:val="0"/>
                    <w:snapToGrid w:val="0"/>
                    <w:jc w:val="center"/>
                    <w:rPr>
                      <w:rFonts w:hint="default" w:ascii="Times New Roman" w:hAnsi="Times New Roman" w:cs="Times New Roman"/>
                      <w:b w:val="0"/>
                      <w:bCs w:val="0"/>
                      <w:color w:val="auto"/>
                      <w:kern w:val="24"/>
                      <w:sz w:val="21"/>
                      <w:szCs w:val="21"/>
                    </w:rPr>
                  </w:pPr>
                </w:p>
              </w:tc>
              <w:tc>
                <w:tcPr>
                  <w:tcW w:w="1636" w:type="pct"/>
                  <w:vAlign w:val="center"/>
                </w:tcPr>
                <w:p w14:paraId="3CF8A091">
                  <w:pPr>
                    <w:adjustRightInd w:val="0"/>
                    <w:snapToGrid w:val="0"/>
                    <w:ind w:left="0" w:leftChars="0" w:right="0" w:rightChars="0"/>
                    <w:jc w:val="center"/>
                    <w:rPr>
                      <w:rFonts w:hint="eastAsia" w:ascii="Times New Roman" w:hAnsi="Times New Roman" w:eastAsia="宋体" w:cs="Times New Roman"/>
                      <w:b w:val="0"/>
                      <w:bCs w:val="0"/>
                      <w:color w:val="auto"/>
                      <w:kern w:val="24"/>
                      <w:sz w:val="21"/>
                      <w:szCs w:val="21"/>
                      <w:lang w:val="zh-CN" w:eastAsia="zh-CN" w:bidi="zh-CN"/>
                    </w:rPr>
                  </w:pPr>
                  <w:r>
                    <w:rPr>
                      <w:rFonts w:hint="eastAsia" w:cs="Times New Roman"/>
                      <w:b w:val="0"/>
                      <w:bCs w:val="0"/>
                      <w:color w:val="auto"/>
                      <w:kern w:val="24"/>
                      <w:sz w:val="21"/>
                      <w:szCs w:val="21"/>
                      <w:lang w:eastAsia="zh-CN"/>
                    </w:rPr>
                    <w:t>无组织颗粒物</w:t>
                  </w:r>
                </w:p>
              </w:tc>
              <w:tc>
                <w:tcPr>
                  <w:tcW w:w="1168" w:type="pct"/>
                  <w:vAlign w:val="center"/>
                </w:tcPr>
                <w:p w14:paraId="004C6866">
                  <w:pPr>
                    <w:adjustRightInd w:val="0"/>
                    <w:snapToGrid w:val="0"/>
                    <w:ind w:left="0" w:leftChars="0" w:right="0" w:rightChars="0"/>
                    <w:jc w:val="center"/>
                    <w:rPr>
                      <w:rFonts w:hint="default" w:ascii="Times New Roman" w:hAnsi="Times New Roman" w:eastAsia="宋体" w:cs="Times New Roman"/>
                      <w:b w:val="0"/>
                      <w:bCs w:val="0"/>
                      <w:color w:val="auto"/>
                      <w:kern w:val="24"/>
                      <w:sz w:val="21"/>
                      <w:szCs w:val="21"/>
                      <w:lang w:val="en-US" w:eastAsia="zh-CN" w:bidi="zh-CN"/>
                    </w:rPr>
                  </w:pPr>
                  <w:r>
                    <w:rPr>
                      <w:rFonts w:hint="eastAsia" w:cs="Times New Roman"/>
                      <w:b w:val="0"/>
                      <w:bCs w:val="0"/>
                      <w:color w:val="auto"/>
                      <w:kern w:val="24"/>
                      <w:sz w:val="21"/>
                      <w:szCs w:val="21"/>
                      <w:lang w:val="en-US" w:eastAsia="zh-CN" w:bidi="zh-CN"/>
                    </w:rPr>
                    <w:t>545.897</w:t>
                  </w:r>
                </w:p>
              </w:tc>
            </w:tr>
            <w:tr w14:paraId="58D2A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52" w:type="pct"/>
                  <w:vAlign w:val="center"/>
                </w:tcPr>
                <w:p w14:paraId="5E215AD7">
                  <w:pPr>
                    <w:adjustRightInd w:val="0"/>
                    <w:snapToGrid w:val="0"/>
                    <w:jc w:val="center"/>
                    <w:rPr>
                      <w:rFonts w:hint="default" w:ascii="Times New Roman" w:hAnsi="Times New Roman" w:cs="Times New Roman"/>
                      <w:b w:val="0"/>
                      <w:bCs w:val="0"/>
                      <w:color w:val="auto"/>
                      <w:kern w:val="24"/>
                      <w:sz w:val="21"/>
                      <w:szCs w:val="21"/>
                    </w:rPr>
                  </w:pPr>
                  <w:r>
                    <w:rPr>
                      <w:rFonts w:hint="default" w:ascii="Times New Roman" w:hAnsi="Times New Roman" w:cs="Times New Roman"/>
                      <w:b w:val="0"/>
                      <w:bCs w:val="0"/>
                      <w:color w:val="auto"/>
                      <w:kern w:val="24"/>
                      <w:sz w:val="21"/>
                      <w:szCs w:val="21"/>
                    </w:rPr>
                    <w:t>合计</w:t>
                  </w:r>
                </w:p>
              </w:tc>
              <w:tc>
                <w:tcPr>
                  <w:tcW w:w="1142" w:type="pct"/>
                  <w:vAlign w:val="center"/>
                </w:tcPr>
                <w:p w14:paraId="51C81F57">
                  <w:pPr>
                    <w:widowControl/>
                    <w:jc w:val="center"/>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sz w:val="21"/>
                      <w:szCs w:val="21"/>
                      <w:lang w:val="en-US" w:eastAsia="zh-CN"/>
                    </w:rPr>
                    <w:t>100000</w:t>
                  </w:r>
                </w:p>
              </w:tc>
              <w:tc>
                <w:tcPr>
                  <w:tcW w:w="1636" w:type="pct"/>
                  <w:vAlign w:val="center"/>
                </w:tcPr>
                <w:p w14:paraId="52359C79">
                  <w:pPr>
                    <w:widowControl/>
                    <w:jc w:val="center"/>
                    <w:textAlignment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合计</w:t>
                  </w:r>
                </w:p>
              </w:tc>
              <w:tc>
                <w:tcPr>
                  <w:tcW w:w="1168" w:type="pct"/>
                  <w:vAlign w:val="center"/>
                </w:tcPr>
                <w:p w14:paraId="3DB64FF0">
                  <w:pPr>
                    <w:widowControl/>
                    <w:jc w:val="center"/>
                    <w:textAlignment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100000</w:t>
                  </w:r>
                </w:p>
              </w:tc>
            </w:tr>
          </w:tbl>
          <w:p w14:paraId="787A61A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注：根据废钢渣主要成分组成一览表可知：原料含铁量为25.5%，按照设备的选铁能力，本项目铁渣量产量按含量的80%计。</w:t>
            </w:r>
          </w:p>
          <w:p w14:paraId="5067F35F">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6、给排水</w:t>
            </w:r>
          </w:p>
          <w:p w14:paraId="5296893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default" w:ascii="Times New Roman" w:hAnsi="Times New Roman" w:eastAsia="宋体" w:cs="Times New Roman"/>
                <w:color w:val="auto"/>
                <w:szCs w:val="22"/>
                <w:highlight w:val="yellow"/>
                <w:lang w:val="en-US" w:eastAsia="zh-CN"/>
              </w:rPr>
            </w:pPr>
            <w:r>
              <w:rPr>
                <w:rFonts w:hint="default" w:ascii="Times New Roman" w:hAnsi="Times New Roman" w:eastAsia="宋体" w:cs="Times New Roman"/>
                <w:b/>
                <w:bCs/>
                <w:color w:val="auto"/>
                <w:szCs w:val="22"/>
                <w:lang w:val="en-US" w:eastAsia="zh-CN"/>
              </w:rPr>
              <w:t>给水</w:t>
            </w:r>
            <w:r>
              <w:rPr>
                <w:rFonts w:hint="default" w:ascii="Times New Roman" w:hAnsi="Times New Roman" w:eastAsia="宋体" w:cs="Times New Roman"/>
                <w:color w:val="auto"/>
                <w:szCs w:val="22"/>
                <w:lang w:val="en-US" w:eastAsia="zh-CN"/>
              </w:rPr>
              <w:t>：</w:t>
            </w:r>
            <w:r>
              <w:rPr>
                <w:rFonts w:hint="default" w:ascii="Times New Roman" w:hAnsi="Times New Roman" w:eastAsia="宋体" w:cs="Times New Roman"/>
                <w:color w:val="auto"/>
                <w:sz w:val="24"/>
                <w:szCs w:val="24"/>
                <w:highlight w:val="none"/>
                <w:lang w:val="en-US"/>
              </w:rPr>
              <w:t>本项目用水全部由</w:t>
            </w:r>
            <w:r>
              <w:rPr>
                <w:rFonts w:hint="default" w:ascii="Times New Roman" w:hAnsi="Times New Roman" w:eastAsia="宋体" w:cs="Times New Roman"/>
                <w:color w:val="auto"/>
                <w:sz w:val="24"/>
                <w:szCs w:val="24"/>
                <w:highlight w:val="none"/>
                <w:lang w:val="en-US" w:eastAsia="zh-CN"/>
              </w:rPr>
              <w:t>自备水井</w:t>
            </w:r>
            <w:r>
              <w:rPr>
                <w:rFonts w:hint="default" w:ascii="Times New Roman" w:hAnsi="Times New Roman" w:eastAsia="宋体" w:cs="Times New Roman"/>
                <w:color w:val="auto"/>
                <w:sz w:val="24"/>
                <w:szCs w:val="24"/>
                <w:highlight w:val="none"/>
                <w:lang w:val="en-US"/>
              </w:rPr>
              <w:t>提供。</w:t>
            </w:r>
            <w:r>
              <w:rPr>
                <w:rFonts w:hint="default" w:ascii="Times New Roman" w:hAnsi="Times New Roman" w:cs="Times New Roman"/>
                <w:color w:val="auto"/>
                <w:szCs w:val="22"/>
                <w:lang w:val="en-US" w:eastAsia="zh-CN"/>
              </w:rPr>
              <w:t>本项目用水为生产用水及生活用水</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kern w:val="24"/>
                <w:highlight w:val="none"/>
              </w:rPr>
              <w:t>本项目投入使用后，</w:t>
            </w:r>
            <w:r>
              <w:rPr>
                <w:rFonts w:hint="default" w:ascii="Times New Roman" w:hAnsi="Times New Roman" w:eastAsia="宋体" w:cs="Times New Roman"/>
                <w:color w:val="auto"/>
                <w:szCs w:val="22"/>
                <w:lang w:val="en-US" w:eastAsia="zh-CN"/>
              </w:rPr>
              <w:t>生产</w:t>
            </w:r>
            <w:r>
              <w:rPr>
                <w:rFonts w:hint="default" w:ascii="Times New Roman" w:hAnsi="Times New Roman" w:eastAsia="宋体" w:cs="Times New Roman"/>
                <w:color w:val="auto"/>
                <w:kern w:val="24"/>
                <w:highlight w:val="none"/>
              </w:rPr>
              <w:t>用水主要来源于</w:t>
            </w:r>
            <w:r>
              <w:rPr>
                <w:rFonts w:hint="eastAsia"/>
                <w:color w:val="auto"/>
                <w:kern w:val="24"/>
                <w:szCs w:val="28"/>
                <w:highlight w:val="none"/>
              </w:rPr>
              <w:t>上料仓喷淋</w:t>
            </w:r>
            <w:r>
              <w:rPr>
                <w:rFonts w:hint="default" w:ascii="Times New Roman" w:hAnsi="Times New Roman" w:eastAsia="宋体" w:cs="Times New Roman"/>
                <w:color w:val="auto"/>
                <w:kern w:val="24"/>
                <w:highlight w:val="none"/>
              </w:rPr>
              <w:t>、</w:t>
            </w:r>
            <w:r>
              <w:rPr>
                <w:rFonts w:hint="eastAsia" w:cs="Times New Roman"/>
                <w:color w:val="auto"/>
                <w:kern w:val="24"/>
                <w:highlight w:val="none"/>
                <w:lang w:eastAsia="zh-CN"/>
              </w:rPr>
              <w:t>车间及厂区内抑尘</w:t>
            </w:r>
            <w:r>
              <w:rPr>
                <w:rFonts w:hint="default" w:ascii="Times New Roman" w:hAnsi="Times New Roman" w:eastAsia="宋体" w:cs="Times New Roman"/>
                <w:color w:val="auto"/>
                <w:kern w:val="24"/>
                <w:highlight w:val="none"/>
              </w:rPr>
              <w:t>、</w:t>
            </w:r>
            <w:r>
              <w:rPr>
                <w:rFonts w:hint="eastAsia" w:cs="Times New Roman"/>
                <w:color w:val="auto"/>
                <w:kern w:val="24"/>
                <w:highlight w:val="none"/>
                <w:lang w:eastAsia="zh-CN"/>
              </w:rPr>
              <w:t>球磨用水、车辆清洗</w:t>
            </w:r>
            <w:r>
              <w:rPr>
                <w:rFonts w:hint="default" w:ascii="Times New Roman" w:hAnsi="Times New Roman" w:eastAsia="宋体" w:cs="Times New Roman"/>
                <w:color w:val="auto"/>
                <w:kern w:val="24"/>
                <w:highlight w:val="none"/>
              </w:rPr>
              <w:t>等</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2"/>
                <w:highlight w:val="none"/>
                <w:lang w:val="en-US" w:eastAsia="zh-CN"/>
              </w:rPr>
              <w:t>项目总用水量为</w:t>
            </w:r>
            <w:r>
              <w:rPr>
                <w:rFonts w:hint="eastAsia" w:cs="Times New Roman"/>
                <w:color w:val="auto"/>
                <w:highlight w:val="none"/>
                <w:lang w:val="en-US" w:eastAsia="zh-CN"/>
              </w:rPr>
              <w:t>305.26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d</w:t>
            </w:r>
            <w:r>
              <w:rPr>
                <w:rFonts w:hint="default" w:ascii="Times New Roman" w:hAnsi="Times New Roman" w:eastAsia="宋体" w:cs="Times New Roman"/>
                <w:color w:val="auto"/>
                <w:highlight w:val="none"/>
                <w:lang w:val="en-US" w:eastAsia="zh-CN"/>
              </w:rPr>
              <w:t>（</w:t>
            </w:r>
            <w:r>
              <w:rPr>
                <w:rFonts w:hint="eastAsia" w:cs="Times New Roman"/>
                <w:color w:val="auto"/>
                <w:kern w:val="0"/>
                <w:sz w:val="24"/>
                <w:szCs w:val="24"/>
                <w:lang w:val="en-US" w:eastAsia="zh-CN" w:bidi="ar"/>
              </w:rPr>
              <w:t>91578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），其中新水量为</w:t>
            </w:r>
            <w:r>
              <w:rPr>
                <w:rFonts w:hint="eastAsia" w:cs="Times New Roman"/>
                <w:color w:val="auto"/>
                <w:highlight w:val="none"/>
                <w:lang w:val="en-US" w:eastAsia="zh-CN"/>
              </w:rPr>
              <w:t>31.808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eastAsia" w:cs="Times New Roman"/>
                <w:color w:val="auto"/>
                <w:highlight w:val="none"/>
                <w:lang w:val="en-US" w:eastAsia="zh-CN"/>
              </w:rPr>
              <w:t>d</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9542.4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），循环水量为</w:t>
            </w:r>
            <w:r>
              <w:rPr>
                <w:rFonts w:hint="eastAsia" w:cs="Times New Roman"/>
                <w:color w:val="auto"/>
                <w:highlight w:val="none"/>
                <w:lang w:val="en-US" w:eastAsia="zh-CN"/>
              </w:rPr>
              <w:t>276.002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d</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82800.6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w:t>
            </w:r>
          </w:p>
          <w:p w14:paraId="3B35A47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default" w:ascii="Times New Roman" w:hAnsi="Times New Roman" w:eastAsia="宋体" w:cs="Times New Roman"/>
                <w:color w:val="auto"/>
                <w:kern w:val="24"/>
                <w:highlight w:val="none"/>
              </w:rPr>
            </w:pPr>
            <w:r>
              <w:rPr>
                <w:rFonts w:hint="default" w:ascii="Times New Roman" w:hAnsi="Times New Roman" w:eastAsia="宋体" w:cs="Times New Roman"/>
                <w:color w:val="auto"/>
                <w:szCs w:val="22"/>
                <w:lang w:val="en-US" w:eastAsia="zh-CN"/>
              </w:rPr>
              <w:t>用水：生产</w:t>
            </w:r>
            <w:r>
              <w:rPr>
                <w:rFonts w:hint="default" w:ascii="Times New Roman" w:hAnsi="Times New Roman" w:eastAsia="宋体" w:cs="Times New Roman"/>
                <w:color w:val="auto"/>
                <w:kern w:val="24"/>
                <w:highlight w:val="none"/>
              </w:rPr>
              <w:t>用水主要来源于</w:t>
            </w:r>
            <w:r>
              <w:rPr>
                <w:rFonts w:hint="eastAsia"/>
                <w:color w:val="auto"/>
                <w:kern w:val="24"/>
                <w:szCs w:val="28"/>
                <w:highlight w:val="none"/>
              </w:rPr>
              <w:t>上料仓喷淋</w:t>
            </w:r>
            <w:r>
              <w:rPr>
                <w:rFonts w:hint="default" w:ascii="Times New Roman" w:hAnsi="Times New Roman" w:eastAsia="宋体" w:cs="Times New Roman"/>
                <w:color w:val="auto"/>
                <w:kern w:val="24"/>
                <w:highlight w:val="none"/>
              </w:rPr>
              <w:t>、</w:t>
            </w:r>
            <w:r>
              <w:rPr>
                <w:rFonts w:hint="eastAsia" w:cs="Times New Roman"/>
                <w:color w:val="auto"/>
                <w:kern w:val="24"/>
                <w:highlight w:val="none"/>
                <w:lang w:eastAsia="zh-CN"/>
              </w:rPr>
              <w:t>车间及厂区内抑尘</w:t>
            </w:r>
            <w:r>
              <w:rPr>
                <w:rFonts w:hint="default" w:ascii="Times New Roman" w:hAnsi="Times New Roman" w:eastAsia="宋体" w:cs="Times New Roman"/>
                <w:color w:val="auto"/>
                <w:kern w:val="24"/>
                <w:highlight w:val="none"/>
              </w:rPr>
              <w:t>、</w:t>
            </w:r>
            <w:r>
              <w:rPr>
                <w:rFonts w:hint="eastAsia" w:cs="Times New Roman"/>
                <w:color w:val="auto"/>
                <w:kern w:val="24"/>
                <w:highlight w:val="none"/>
                <w:lang w:eastAsia="zh-CN"/>
              </w:rPr>
              <w:t>球磨、车辆清洗</w:t>
            </w:r>
            <w:r>
              <w:rPr>
                <w:rFonts w:hint="default" w:ascii="Times New Roman" w:hAnsi="Times New Roman" w:eastAsia="宋体" w:cs="Times New Roman"/>
                <w:color w:val="auto"/>
                <w:kern w:val="24"/>
                <w:highlight w:val="none"/>
              </w:rPr>
              <w:t>等</w:t>
            </w:r>
          </w:p>
          <w:p w14:paraId="47666C62">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lang w:eastAsia="zh-CN"/>
              </w:rPr>
            </w:pPr>
            <w:r>
              <w:rPr>
                <w:rFonts w:hint="eastAsia"/>
                <w:color w:val="auto"/>
                <w:lang w:val="en-US" w:eastAsia="zh-CN"/>
              </w:rPr>
              <w:t>①</w:t>
            </w:r>
            <w:r>
              <w:rPr>
                <w:rFonts w:hint="eastAsia"/>
                <w:color w:val="auto"/>
              </w:rPr>
              <w:t>上料仓喷淋</w:t>
            </w:r>
            <w:r>
              <w:rPr>
                <w:rFonts w:hint="default"/>
                <w:color w:val="auto"/>
                <w:lang w:val="en-US" w:eastAsia="zh-CN"/>
              </w:rPr>
              <w:t>用水</w:t>
            </w:r>
            <w:r>
              <w:rPr>
                <w:rFonts w:hint="default"/>
                <w:color w:val="auto"/>
                <w:lang w:eastAsia="zh-CN"/>
              </w:rPr>
              <w:t>为</w:t>
            </w:r>
            <w:r>
              <w:rPr>
                <w:rFonts w:hint="eastAsia"/>
                <w:color w:val="auto"/>
                <w:lang w:val="en-US" w:eastAsia="zh-CN"/>
              </w:rPr>
              <w:t>3</w:t>
            </w:r>
            <w:r>
              <w:rPr>
                <w:color w:val="auto"/>
              </w:rPr>
              <w:t>m</w:t>
            </w:r>
            <w:r>
              <w:rPr>
                <w:color w:val="auto"/>
                <w:vertAlign w:val="superscript"/>
              </w:rPr>
              <w:t>3</w:t>
            </w:r>
            <w:r>
              <w:rPr>
                <w:color w:val="auto"/>
              </w:rPr>
              <w:t>/</w:t>
            </w:r>
            <w:r>
              <w:rPr>
                <w:rFonts w:hint="eastAsia"/>
                <w:color w:val="auto"/>
                <w:lang w:val="en-US" w:eastAsia="zh-CN"/>
              </w:rPr>
              <w:t>d（900</w:t>
            </w:r>
            <w:r>
              <w:rPr>
                <w:rFonts w:hint="default"/>
                <w:color w:val="auto"/>
                <w:lang w:val="en-US" w:eastAsia="zh-CN"/>
              </w:rPr>
              <w:t>m</w:t>
            </w:r>
            <w:r>
              <w:rPr>
                <w:rFonts w:hint="default"/>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14:paraId="1C4C83A4">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lang w:val="en-US" w:eastAsia="zh-CN"/>
              </w:rPr>
            </w:pPr>
            <w:r>
              <w:rPr>
                <w:rFonts w:hint="eastAsia"/>
                <w:color w:val="auto"/>
                <w:lang w:val="en-US" w:eastAsia="zh-CN"/>
              </w:rPr>
              <w:t>②</w:t>
            </w:r>
            <w:r>
              <w:rPr>
                <w:rFonts w:hint="eastAsia"/>
                <w:color w:val="auto"/>
                <w:lang w:eastAsia="zh-CN"/>
              </w:rPr>
              <w:t>车间及厂区内抑尘</w:t>
            </w:r>
            <w:r>
              <w:rPr>
                <w:rFonts w:hint="default"/>
                <w:color w:val="auto"/>
                <w:lang w:val="en-US" w:eastAsia="zh-CN"/>
              </w:rPr>
              <w:t>用水</w:t>
            </w:r>
            <w:r>
              <w:rPr>
                <w:rFonts w:hint="default"/>
                <w:color w:val="auto"/>
                <w:lang w:eastAsia="zh-CN"/>
              </w:rPr>
              <w:t>为</w:t>
            </w:r>
            <w:r>
              <w:rPr>
                <w:rFonts w:hint="eastAsia"/>
                <w:color w:val="auto"/>
                <w:lang w:val="en-US" w:eastAsia="zh-CN"/>
              </w:rPr>
              <w:t>1</w:t>
            </w:r>
            <w:r>
              <w:rPr>
                <w:color w:val="auto"/>
              </w:rPr>
              <w:t>m</w:t>
            </w:r>
            <w:r>
              <w:rPr>
                <w:color w:val="auto"/>
                <w:vertAlign w:val="superscript"/>
              </w:rPr>
              <w:t>3</w:t>
            </w:r>
            <w:r>
              <w:rPr>
                <w:color w:val="auto"/>
              </w:rPr>
              <w:t>/</w:t>
            </w:r>
            <w:r>
              <w:rPr>
                <w:rFonts w:hint="eastAsia"/>
                <w:color w:val="auto"/>
                <w:lang w:val="en-US" w:eastAsia="zh-CN"/>
              </w:rPr>
              <w:t>d（300</w:t>
            </w:r>
            <w:r>
              <w:rPr>
                <w:rFonts w:hint="default"/>
                <w:color w:val="auto"/>
                <w:lang w:val="en-US" w:eastAsia="zh-CN"/>
              </w:rPr>
              <w:t>m</w:t>
            </w:r>
            <w:r>
              <w:rPr>
                <w:rFonts w:hint="default"/>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14:paraId="12AAE4A4">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eastAsia="宋体"/>
                <w:color w:val="auto"/>
                <w:kern w:val="24"/>
                <w:szCs w:val="28"/>
                <w:highlight w:val="none"/>
                <w:lang w:val="en-US" w:eastAsia="zh-CN"/>
              </w:rPr>
            </w:pPr>
            <w:r>
              <w:rPr>
                <w:rFonts w:hint="eastAsia"/>
                <w:color w:val="auto"/>
                <w:lang w:val="en-US" w:eastAsia="zh-CN"/>
              </w:rPr>
              <w:t>③</w:t>
            </w:r>
            <w:r>
              <w:rPr>
                <w:rFonts w:hint="eastAsia"/>
                <w:color w:val="auto"/>
                <w:lang w:eastAsia="zh-CN"/>
              </w:rPr>
              <w:t>球磨用水按</w:t>
            </w:r>
            <w:r>
              <w:rPr>
                <w:rFonts w:hint="eastAsia"/>
                <w:color w:val="auto"/>
                <w:lang w:val="en-US" w:eastAsia="zh-CN"/>
              </w:rPr>
              <w:t>2</w:t>
            </w:r>
            <w:r>
              <w:rPr>
                <w:rFonts w:hint="eastAsia"/>
                <w:color w:val="auto"/>
                <w:lang w:eastAsia="zh-CN"/>
              </w:rPr>
              <w:t>m</w:t>
            </w:r>
            <w:r>
              <w:rPr>
                <w:rFonts w:hint="eastAsia"/>
                <w:color w:val="auto"/>
                <w:vertAlign w:val="superscript"/>
                <w:lang w:eastAsia="zh-CN"/>
              </w:rPr>
              <w:t>3</w:t>
            </w:r>
            <w:r>
              <w:rPr>
                <w:rFonts w:hint="eastAsia"/>
                <w:color w:val="auto"/>
                <w:lang w:eastAsia="zh-CN"/>
              </w:rPr>
              <w:t>/t入磨料，根据企业提供资料可知：</w:t>
            </w:r>
            <w:r>
              <w:rPr>
                <w:rFonts w:hint="default"/>
                <w:color w:val="auto"/>
                <w:lang w:val="en-US" w:eastAsia="zh-CN"/>
              </w:rPr>
              <w:t>项目</w:t>
            </w:r>
            <w:r>
              <w:rPr>
                <w:rFonts w:hint="eastAsia"/>
                <w:color w:val="auto"/>
                <w:lang w:val="en-US" w:eastAsia="zh-CN"/>
              </w:rPr>
              <w:t>湿式处理物料</w:t>
            </w:r>
            <w:r>
              <w:rPr>
                <w:rFonts w:hint="default"/>
                <w:color w:val="auto"/>
                <w:lang w:val="en-US" w:eastAsia="zh-CN"/>
              </w:rPr>
              <w:t>年处理</w:t>
            </w:r>
            <w:r>
              <w:rPr>
                <w:rFonts w:hint="eastAsia"/>
                <w:color w:val="auto"/>
                <w:lang w:val="en-US" w:eastAsia="zh-CN"/>
              </w:rPr>
              <w:t>4.5</w:t>
            </w:r>
            <w:r>
              <w:rPr>
                <w:rFonts w:hint="default"/>
                <w:color w:val="auto"/>
                <w:lang w:val="en-US" w:eastAsia="zh-CN"/>
              </w:rPr>
              <w:t>万吨</w:t>
            </w:r>
            <w:r>
              <w:rPr>
                <w:rFonts w:hint="eastAsia"/>
                <w:color w:val="auto"/>
                <w:lang w:val="en-US" w:eastAsia="zh-CN"/>
              </w:rPr>
              <w:t>钢</w:t>
            </w:r>
            <w:r>
              <w:rPr>
                <w:rFonts w:hint="default"/>
                <w:color w:val="auto"/>
                <w:lang w:val="en-US" w:eastAsia="zh-CN"/>
              </w:rPr>
              <w:t>渣</w:t>
            </w:r>
            <w:r>
              <w:rPr>
                <w:rFonts w:hint="eastAsia"/>
                <w:color w:val="auto"/>
                <w:lang w:val="en-US" w:eastAsia="zh-CN"/>
              </w:rPr>
              <w:t>，</w:t>
            </w:r>
            <w:r>
              <w:rPr>
                <w:rFonts w:hint="default"/>
                <w:color w:val="auto"/>
                <w:lang w:val="en-US" w:eastAsia="zh-CN"/>
              </w:rPr>
              <w:t>则</w:t>
            </w:r>
            <w:r>
              <w:rPr>
                <w:rFonts w:hint="eastAsia"/>
                <w:color w:val="auto"/>
                <w:lang w:val="en-US" w:eastAsia="zh-CN"/>
              </w:rPr>
              <w:t>总</w:t>
            </w:r>
            <w:r>
              <w:rPr>
                <w:rFonts w:hint="default"/>
                <w:color w:val="auto"/>
                <w:lang w:val="en-US" w:eastAsia="zh-CN"/>
              </w:rPr>
              <w:t>用水量为</w:t>
            </w:r>
            <w:r>
              <w:rPr>
                <w:rFonts w:hint="eastAsia"/>
                <w:color w:val="auto"/>
                <w:lang w:val="en-US" w:eastAsia="zh-CN"/>
              </w:rPr>
              <w:t>300</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rFonts w:hint="default"/>
                <w:color w:val="auto"/>
                <w:lang w:val="en-US" w:eastAsia="zh-CN"/>
              </w:rPr>
              <w:t>（</w:t>
            </w:r>
            <w:r>
              <w:rPr>
                <w:rFonts w:hint="eastAsia"/>
                <w:color w:val="auto"/>
                <w:lang w:val="en-US" w:eastAsia="zh-CN"/>
              </w:rPr>
              <w:t>90000</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a</w:t>
            </w:r>
            <w:r>
              <w:rPr>
                <w:rFonts w:hint="default"/>
                <w:color w:val="auto"/>
                <w:lang w:eastAsia="zh-CN"/>
              </w:rPr>
              <w:t>）</w:t>
            </w:r>
            <w:r>
              <w:rPr>
                <w:rFonts w:hint="eastAsia"/>
                <w:color w:val="auto"/>
                <w:lang w:eastAsia="zh-CN"/>
              </w:rPr>
              <w:t>，</w:t>
            </w:r>
            <w:r>
              <w:rPr>
                <w:rFonts w:hint="eastAsia"/>
                <w:color w:val="auto"/>
              </w:rPr>
              <w:t>球磨后物料进入</w:t>
            </w:r>
            <w:r>
              <w:rPr>
                <w:rFonts w:hint="default"/>
                <w:color w:val="auto"/>
              </w:rPr>
              <w:t>盘式过滤机过滤</w:t>
            </w:r>
            <w:r>
              <w:rPr>
                <w:rFonts w:hint="eastAsia"/>
                <w:color w:val="auto"/>
              </w:rPr>
              <w:t>，循环水通过水泵</w:t>
            </w:r>
            <w:r>
              <w:rPr>
                <w:rFonts w:hint="eastAsia"/>
                <w:color w:val="auto"/>
                <w:lang w:eastAsia="zh-CN"/>
              </w:rPr>
              <w:t>抽</w:t>
            </w:r>
            <w:r>
              <w:rPr>
                <w:rFonts w:hint="eastAsia"/>
                <w:color w:val="auto"/>
              </w:rPr>
              <w:t>入球磨机，其中球磨机</w:t>
            </w:r>
            <w:r>
              <w:rPr>
                <w:color w:val="auto"/>
              </w:rPr>
              <w:t>新水</w:t>
            </w:r>
            <w:r>
              <w:rPr>
                <w:rFonts w:hint="eastAsia"/>
                <w:color w:val="auto"/>
              </w:rPr>
              <w:t>为</w:t>
            </w:r>
            <w:r>
              <w:rPr>
                <w:rFonts w:hint="eastAsia"/>
                <w:color w:val="auto"/>
                <w:lang w:val="en-US" w:eastAsia="zh-CN"/>
              </w:rPr>
              <w:t>16.926</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color w:val="auto"/>
              </w:rPr>
              <w:t>（</w:t>
            </w:r>
            <w:r>
              <w:rPr>
                <w:rFonts w:hint="eastAsia"/>
                <w:color w:val="auto"/>
                <w:lang w:val="en-US" w:eastAsia="zh-CN"/>
              </w:rPr>
              <w:t>5077.8</w:t>
            </w:r>
            <w:r>
              <w:rPr>
                <w:rFonts w:hint="default"/>
                <w:color w:val="auto"/>
              </w:rPr>
              <w:t>m</w:t>
            </w:r>
            <w:r>
              <w:rPr>
                <w:rFonts w:hint="default"/>
                <w:color w:val="auto"/>
                <w:vertAlign w:val="superscript"/>
              </w:rPr>
              <w:t>3</w:t>
            </w:r>
            <w:r>
              <w:rPr>
                <w:rFonts w:hint="default"/>
                <w:color w:val="auto"/>
              </w:rPr>
              <w:t>/a</w:t>
            </w:r>
            <w:r>
              <w:rPr>
                <w:rFonts w:hint="eastAsia"/>
                <w:color w:val="auto"/>
                <w:lang w:eastAsia="zh-CN"/>
              </w:rPr>
              <w:t>）</w:t>
            </w:r>
            <w:r>
              <w:rPr>
                <w:rFonts w:hint="eastAsia"/>
                <w:color w:val="auto"/>
              </w:rPr>
              <w:t>，废钢渣含水率</w:t>
            </w:r>
            <w:r>
              <w:rPr>
                <w:rFonts w:hint="eastAsia"/>
                <w:color w:val="auto"/>
                <w:lang w:val="en-US" w:eastAsia="zh-CN"/>
              </w:rPr>
              <w:t>1.7</w:t>
            </w:r>
            <w:r>
              <w:rPr>
                <w:rFonts w:hint="eastAsia"/>
                <w:color w:val="auto"/>
              </w:rPr>
              <w:t>%，原料带入水量</w:t>
            </w:r>
            <w:r>
              <w:rPr>
                <w:rFonts w:hint="eastAsia"/>
                <w:color w:val="auto"/>
                <w:lang w:val="en-US" w:eastAsia="zh-CN"/>
              </w:rPr>
              <w:t>2.55</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rFonts w:hint="eastAsia"/>
                <w:color w:val="auto"/>
              </w:rPr>
              <w:t>（</w:t>
            </w:r>
            <w:r>
              <w:rPr>
                <w:rFonts w:hint="eastAsia"/>
                <w:color w:val="auto"/>
                <w:lang w:val="en-US" w:eastAsia="zh-CN"/>
              </w:rPr>
              <w:t>765</w:t>
            </w:r>
            <w:r>
              <w:rPr>
                <w:rFonts w:hint="default"/>
                <w:color w:val="auto"/>
              </w:rPr>
              <w:t>m</w:t>
            </w:r>
            <w:r>
              <w:rPr>
                <w:rFonts w:hint="default"/>
                <w:color w:val="auto"/>
                <w:vertAlign w:val="superscript"/>
              </w:rPr>
              <w:t>3</w:t>
            </w:r>
            <w:r>
              <w:rPr>
                <w:rFonts w:hint="default"/>
                <w:color w:val="auto"/>
              </w:rPr>
              <w:t>/a</w:t>
            </w:r>
            <w:r>
              <w:rPr>
                <w:rFonts w:hint="eastAsia"/>
                <w:color w:val="auto"/>
              </w:rPr>
              <w:t>），产品带走水量</w:t>
            </w:r>
            <w:r>
              <w:rPr>
                <w:rFonts w:hint="eastAsia"/>
                <w:color w:val="auto"/>
                <w:lang w:eastAsia="zh-CN"/>
              </w:rPr>
              <w:t>（</w:t>
            </w:r>
            <w:r>
              <w:rPr>
                <w:rFonts w:hint="eastAsia"/>
                <w:color w:val="auto"/>
              </w:rPr>
              <w:t>含水率</w:t>
            </w:r>
            <w:r>
              <w:rPr>
                <w:rFonts w:hint="eastAsia"/>
                <w:color w:val="auto"/>
                <w:lang w:val="en-US" w:eastAsia="zh-CN"/>
              </w:rPr>
              <w:t>8</w:t>
            </w:r>
            <w:r>
              <w:rPr>
                <w:rFonts w:hint="eastAsia"/>
                <w:color w:val="auto"/>
              </w:rPr>
              <w:t>%</w:t>
            </w:r>
            <w:r>
              <w:rPr>
                <w:rFonts w:hint="eastAsia"/>
                <w:color w:val="auto"/>
                <w:lang w:eastAsia="zh-CN"/>
              </w:rPr>
              <w:t>计）约为</w:t>
            </w:r>
            <w:r>
              <w:rPr>
                <w:rFonts w:hint="eastAsia"/>
                <w:color w:val="auto"/>
                <w:lang w:val="en-US" w:eastAsia="zh-CN"/>
              </w:rPr>
              <w:t>11.94</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rFonts w:hint="eastAsia"/>
                <w:color w:val="auto"/>
              </w:rPr>
              <w:t>（</w:t>
            </w:r>
            <w:r>
              <w:rPr>
                <w:rFonts w:hint="eastAsia"/>
                <w:color w:val="auto"/>
                <w:lang w:val="en-US" w:eastAsia="zh-CN"/>
              </w:rPr>
              <w:t>3582</w:t>
            </w:r>
            <w:r>
              <w:rPr>
                <w:rFonts w:hint="default"/>
                <w:color w:val="auto"/>
              </w:rPr>
              <w:t>m</w:t>
            </w:r>
            <w:r>
              <w:rPr>
                <w:rFonts w:hint="default"/>
                <w:color w:val="auto"/>
                <w:vertAlign w:val="superscript"/>
              </w:rPr>
              <w:t>3</w:t>
            </w:r>
            <w:r>
              <w:rPr>
                <w:rFonts w:hint="default"/>
                <w:color w:val="auto"/>
              </w:rPr>
              <w:t>/a</w:t>
            </w:r>
            <w:r>
              <w:rPr>
                <w:rFonts w:hint="eastAsia"/>
                <w:color w:val="auto"/>
              </w:rPr>
              <w:t>），</w:t>
            </w:r>
            <w:r>
              <w:rPr>
                <w:rFonts w:hint="eastAsia"/>
                <w:color w:val="auto"/>
                <w:lang w:eastAsia="zh-CN"/>
              </w:rPr>
              <w:t>球磨</w:t>
            </w:r>
            <w:r>
              <w:rPr>
                <w:rFonts w:hint="eastAsia"/>
                <w:color w:val="auto"/>
              </w:rPr>
              <w:t>过程蒸发损耗</w:t>
            </w:r>
            <w:r>
              <w:rPr>
                <w:rFonts w:hint="eastAsia"/>
                <w:color w:val="auto"/>
                <w:lang w:val="en-US" w:eastAsia="zh-CN"/>
              </w:rPr>
              <w:t>15</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color w:val="auto"/>
              </w:rPr>
              <w:t>（</w:t>
            </w:r>
            <w:r>
              <w:rPr>
                <w:rFonts w:hint="eastAsia"/>
                <w:color w:val="auto"/>
                <w:lang w:val="en-US" w:eastAsia="zh-CN"/>
              </w:rPr>
              <w:t>4500</w:t>
            </w:r>
            <w:r>
              <w:rPr>
                <w:rFonts w:hint="default"/>
                <w:color w:val="auto"/>
              </w:rPr>
              <w:t>m</w:t>
            </w:r>
            <w:r>
              <w:rPr>
                <w:rFonts w:hint="default"/>
                <w:color w:val="auto"/>
                <w:vertAlign w:val="superscript"/>
              </w:rPr>
              <w:t>3</w:t>
            </w:r>
            <w:r>
              <w:rPr>
                <w:rFonts w:hint="default"/>
                <w:color w:val="auto"/>
              </w:rPr>
              <w:t>/a</w:t>
            </w:r>
            <w:r>
              <w:rPr>
                <w:rFonts w:hint="eastAsia"/>
                <w:color w:val="auto"/>
                <w:lang w:eastAsia="zh-CN"/>
              </w:rPr>
              <w:t>），</w:t>
            </w:r>
            <w:r>
              <w:rPr>
                <w:color w:val="auto"/>
              </w:rPr>
              <w:t>循环水</w:t>
            </w:r>
            <w:r>
              <w:rPr>
                <w:rFonts w:hint="eastAsia"/>
                <w:color w:val="auto"/>
              </w:rPr>
              <w:t>为</w:t>
            </w:r>
            <w:r>
              <w:rPr>
                <w:rFonts w:hint="eastAsia"/>
                <w:color w:val="auto"/>
                <w:lang w:val="en-US" w:eastAsia="zh-CN"/>
              </w:rPr>
              <w:t>275.61</w:t>
            </w:r>
            <w:r>
              <w:rPr>
                <w:rFonts w:hint="default"/>
                <w:color w:val="auto"/>
              </w:rPr>
              <w:t>m</w:t>
            </w:r>
            <w:r>
              <w:rPr>
                <w:rFonts w:hint="default"/>
                <w:color w:val="auto"/>
                <w:vertAlign w:val="superscript"/>
              </w:rPr>
              <w:t>3</w:t>
            </w:r>
            <w:r>
              <w:rPr>
                <w:color w:val="auto"/>
              </w:rPr>
              <w:t>/</w:t>
            </w:r>
            <w:r>
              <w:rPr>
                <w:rFonts w:hint="eastAsia"/>
                <w:color w:val="auto"/>
                <w:lang w:val="en-US" w:eastAsia="zh-CN"/>
              </w:rPr>
              <w:t>d</w:t>
            </w:r>
            <w:r>
              <w:rPr>
                <w:color w:val="auto"/>
              </w:rPr>
              <w:t>（</w:t>
            </w:r>
            <w:r>
              <w:rPr>
                <w:rFonts w:hint="eastAsia"/>
                <w:color w:val="auto"/>
                <w:lang w:val="en-US" w:eastAsia="zh-CN"/>
              </w:rPr>
              <w:t>82683</w:t>
            </w:r>
            <w:r>
              <w:rPr>
                <w:rFonts w:hint="default"/>
                <w:color w:val="auto"/>
              </w:rPr>
              <w:t>m</w:t>
            </w:r>
            <w:r>
              <w:rPr>
                <w:rFonts w:hint="default"/>
                <w:color w:val="auto"/>
                <w:vertAlign w:val="superscript"/>
              </w:rPr>
              <w:t>3</w:t>
            </w:r>
            <w:r>
              <w:rPr>
                <w:color w:val="auto"/>
              </w:rPr>
              <w:t>/a）</w:t>
            </w:r>
            <w:r>
              <w:rPr>
                <w:rFonts w:hint="eastAsia"/>
                <w:color w:val="auto"/>
                <w:lang w:eastAsia="zh-CN"/>
              </w:rPr>
              <w:t>，废水排入沉淀池</w:t>
            </w:r>
            <w:r>
              <w:rPr>
                <w:color w:val="auto"/>
              </w:rPr>
              <w:t>后</w:t>
            </w:r>
            <w:r>
              <w:rPr>
                <w:rFonts w:hint="eastAsia"/>
                <w:color w:val="auto"/>
                <w:lang w:eastAsia="zh-CN"/>
              </w:rPr>
              <w:t>循环使用</w:t>
            </w:r>
            <w:r>
              <w:rPr>
                <w:color w:val="auto"/>
              </w:rPr>
              <w:t>，无废水外排</w:t>
            </w:r>
            <w:r>
              <w:rPr>
                <w:rFonts w:hint="eastAsia" w:ascii="Times New Roman" w:hAnsi="Times New Roman" w:eastAsia="宋体" w:cs="Times New Roman"/>
                <w:color w:val="auto"/>
                <w:sz w:val="24"/>
                <w:szCs w:val="24"/>
                <w:lang w:eastAsia="zh-CN"/>
              </w:rPr>
              <w:t>。</w:t>
            </w:r>
          </w:p>
          <w:p w14:paraId="27949ED4">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④</w:t>
            </w:r>
            <w:r>
              <w:rPr>
                <w:rFonts w:hint="default" w:ascii="Times New Roman" w:hAnsi="Times New Roman" w:eastAsia="宋体" w:cs="Times New Roman"/>
                <w:color w:val="auto"/>
                <w:sz w:val="24"/>
                <w:szCs w:val="24"/>
              </w:rPr>
              <w:t>项目</w:t>
            </w:r>
            <w:r>
              <w:rPr>
                <w:rFonts w:hint="eastAsia" w:cs="Times New Roman"/>
                <w:color w:val="auto"/>
                <w:kern w:val="24"/>
                <w:highlight w:val="none"/>
                <w:lang w:eastAsia="zh-CN"/>
              </w:rPr>
              <w:t>车辆清洗</w:t>
            </w:r>
            <w:r>
              <w:rPr>
                <w:rFonts w:hint="default" w:ascii="Times New Roman" w:hAnsi="Times New Roman" w:eastAsia="宋体" w:cs="Times New Roman"/>
                <w:color w:val="auto"/>
                <w:sz w:val="24"/>
                <w:szCs w:val="24"/>
              </w:rPr>
              <w:t>参照《河北省用水定额第3部分生活用水》（DB13/T1161.3-2016）中的相关规定，大型车辆冲洗用水：按40L/辆·次计，项目日冲洗车辆按</w:t>
            </w:r>
            <w:r>
              <w:rPr>
                <w:rFonts w:hint="eastAsia" w:cs="Times New Roman"/>
                <w:color w:val="auto"/>
                <w:sz w:val="24"/>
                <w:szCs w:val="24"/>
                <w:lang w:val="en-US" w:eastAsia="zh-CN"/>
              </w:rPr>
              <w:t>14</w:t>
            </w:r>
            <w:r>
              <w:rPr>
                <w:rFonts w:hint="default" w:ascii="Times New Roman" w:hAnsi="Times New Roman" w:eastAsia="宋体" w:cs="Times New Roman"/>
                <w:color w:val="auto"/>
                <w:sz w:val="24"/>
                <w:szCs w:val="24"/>
              </w:rPr>
              <w:t>辆计，单次洗车飞溅及车辆带走的水量按用水量的30%计，则新鲜用水量为</w:t>
            </w:r>
            <w:r>
              <w:rPr>
                <w:rFonts w:hint="eastAsia" w:cs="Times New Roman"/>
                <w:color w:val="auto"/>
                <w:sz w:val="24"/>
                <w:szCs w:val="24"/>
                <w:lang w:val="en-US" w:eastAsia="zh-CN"/>
              </w:rPr>
              <w:t>0.168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color w:val="auto"/>
                <w:lang w:val="en-US" w:eastAsia="zh-CN"/>
              </w:rPr>
              <w:t>d</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50.4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/a），循环水量为</w:t>
            </w:r>
            <w:r>
              <w:rPr>
                <w:rFonts w:hint="eastAsia" w:cs="Times New Roman"/>
                <w:color w:val="auto"/>
                <w:sz w:val="24"/>
                <w:szCs w:val="24"/>
                <w:lang w:val="en-US" w:eastAsia="zh-CN"/>
              </w:rPr>
              <w:t>0.392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color w:val="auto"/>
                <w:lang w:val="en-US" w:eastAsia="zh-CN"/>
              </w:rPr>
              <w:t>d</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117.6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14:paraId="7205092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eastAsia" w:ascii="Times New Roman" w:hAnsi="Times New Roman" w:eastAsia="宋体" w:cs="Times New Roman"/>
                <w:b/>
                <w:bCs/>
                <w:color w:val="auto"/>
                <w:sz w:val="24"/>
                <w:highlight w:val="none"/>
                <w:lang w:eastAsia="zh-CN"/>
              </w:rPr>
            </w:pPr>
            <w:r>
              <w:rPr>
                <w:rFonts w:hint="eastAsia" w:cs="Times New Roman"/>
                <w:b/>
                <w:bCs/>
                <w:color w:val="auto"/>
                <w:sz w:val="24"/>
                <w:highlight w:val="none"/>
                <w:lang w:eastAsia="zh-CN"/>
              </w:rPr>
              <w:t>⑤</w:t>
            </w:r>
            <w:r>
              <w:rPr>
                <w:rFonts w:hint="eastAsia" w:cs="Times New Roman"/>
                <w:color w:val="auto"/>
                <w:sz w:val="24"/>
                <w:szCs w:val="24"/>
                <w:highlight w:val="none"/>
                <w:lang w:val="en-US" w:eastAsia="zh-CN"/>
              </w:rPr>
              <w:t>职工生活用水取</w:t>
            </w:r>
            <w:r>
              <w:rPr>
                <w:rFonts w:hint="default" w:ascii="Times New Roman" w:hAnsi="Times New Roman" w:eastAsia="宋体" w:cs="Times New Roman"/>
                <w:color w:val="auto"/>
                <w:highlight w:val="none"/>
                <w:lang w:val="en-US" w:eastAsia="zh-CN"/>
              </w:rPr>
              <w:t>《生活与服务业用水定额 第1部分：居民生活》（DB13/T 5450.1-2021）</w:t>
            </w:r>
            <w:r>
              <w:rPr>
                <w:rFonts w:hint="eastAsia" w:cs="Times New Roman"/>
                <w:color w:val="auto"/>
                <w:highlight w:val="none"/>
                <w:lang w:val="en-US" w:eastAsia="zh-CN"/>
              </w:rPr>
              <w:t>21</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/人·a，</w:t>
            </w:r>
            <w:r>
              <w:rPr>
                <w:rFonts w:hint="eastAsia" w:cs="Times New Roman"/>
                <w:color w:val="auto"/>
                <w:sz w:val="24"/>
                <w:szCs w:val="24"/>
                <w:lang w:eastAsia="zh-CN"/>
              </w:rPr>
              <w:t>用水量为</w:t>
            </w:r>
            <w:r>
              <w:rPr>
                <w:rFonts w:hint="eastAsia" w:cs="Times New Roman"/>
                <w:color w:val="auto"/>
                <w:sz w:val="24"/>
                <w:szCs w:val="24"/>
                <w:lang w:val="en-US" w:eastAsia="zh-CN"/>
              </w:rPr>
              <w:t>0.7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color w:val="auto"/>
                <w:lang w:val="en-US" w:eastAsia="zh-CN"/>
              </w:rPr>
              <w:t>d</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210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cs="Times New Roman"/>
                <w:color w:val="auto"/>
                <w:sz w:val="24"/>
                <w:szCs w:val="24"/>
                <w:lang w:eastAsia="zh-CN"/>
              </w:rPr>
              <w:t>。</w:t>
            </w:r>
          </w:p>
          <w:p w14:paraId="18BBC9B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eastAsia"/>
                <w:color w:val="auto"/>
                <w:kern w:val="24"/>
                <w:szCs w:val="28"/>
                <w:highlight w:val="none"/>
                <w:lang w:eastAsia="zh-CN"/>
              </w:rPr>
            </w:pPr>
            <w:r>
              <w:rPr>
                <w:rFonts w:hint="default" w:ascii="Times New Roman" w:hAnsi="Times New Roman" w:eastAsia="宋体" w:cs="Times New Roman"/>
                <w:b/>
                <w:bCs/>
                <w:color w:val="auto"/>
                <w:sz w:val="24"/>
                <w:highlight w:val="none"/>
              </w:rPr>
              <w:t>排水</w:t>
            </w:r>
            <w:r>
              <w:rPr>
                <w:rFonts w:hint="default" w:ascii="Times New Roman" w:hAnsi="Times New Roman" w:eastAsia="宋体" w:cs="Times New Roman"/>
                <w:color w:val="auto"/>
                <w:sz w:val="24"/>
                <w:highlight w:val="none"/>
              </w:rPr>
              <w:t>：</w:t>
            </w:r>
            <w:r>
              <w:rPr>
                <w:rFonts w:hint="eastAsia"/>
                <w:color w:val="auto"/>
                <w:kern w:val="24"/>
                <w:szCs w:val="28"/>
                <w:highlight w:val="none"/>
                <w:lang w:eastAsia="zh-CN"/>
              </w:rPr>
              <w:t>上料仓喷淋用水，全部进入物料；厂区及车间内抑尘用水，全部蒸发。</w:t>
            </w:r>
          </w:p>
          <w:p w14:paraId="386F57C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kern w:val="24"/>
                <w:highlight w:val="none"/>
                <w:lang w:eastAsia="zh-CN"/>
              </w:rPr>
              <w:t>钢渣除杂</w:t>
            </w:r>
            <w:r>
              <w:rPr>
                <w:rFonts w:hint="default" w:ascii="Times New Roman" w:hAnsi="Times New Roman" w:eastAsia="宋体" w:cs="Times New Roman"/>
                <w:color w:val="auto"/>
                <w:kern w:val="24"/>
                <w:highlight w:val="none"/>
                <w:lang w:eastAsia="zh-CN"/>
              </w:rPr>
              <w:t>废</w:t>
            </w:r>
            <w:r>
              <w:rPr>
                <w:rFonts w:hint="default" w:ascii="Times New Roman" w:hAnsi="Times New Roman" w:eastAsia="宋体" w:cs="Times New Roman"/>
                <w:color w:val="auto"/>
                <w:kern w:val="24"/>
                <w:highlight w:val="none"/>
              </w:rPr>
              <w:t>水</w:t>
            </w:r>
            <w:r>
              <w:rPr>
                <w:rFonts w:hint="eastAsia" w:cs="Times New Roman"/>
                <w:color w:val="auto"/>
                <w:kern w:val="24"/>
                <w:highlight w:val="none"/>
                <w:lang w:eastAsia="zh-CN"/>
              </w:rPr>
              <w:t>排放量</w:t>
            </w:r>
            <w:r>
              <w:rPr>
                <w:rFonts w:hint="default" w:ascii="Times New Roman" w:hAnsi="Times New Roman" w:eastAsia="宋体" w:cs="Times New Roman"/>
                <w:color w:val="auto"/>
                <w:highlight w:val="none"/>
                <w:lang w:eastAsia="zh-CN"/>
              </w:rPr>
              <w:t>按用水量</w:t>
            </w:r>
            <w:r>
              <w:rPr>
                <w:rFonts w:hint="eastAsia" w:cs="Times New Roman"/>
                <w:color w:val="auto"/>
                <w:highlight w:val="none"/>
                <w:lang w:val="en-US" w:eastAsia="zh-CN"/>
              </w:rPr>
              <w:t>95</w:t>
            </w:r>
            <w:r>
              <w:rPr>
                <w:rFonts w:hint="default" w:ascii="Times New Roman" w:hAnsi="Times New Roman" w:eastAsia="宋体" w:cs="Times New Roman"/>
                <w:color w:val="auto"/>
                <w:kern w:val="24"/>
                <w:highlight w:val="none"/>
                <w:lang w:val="en-US" w:eastAsia="zh-CN"/>
              </w:rPr>
              <w:t>%，</w:t>
            </w:r>
            <w:r>
              <w:rPr>
                <w:rFonts w:hint="eastAsia"/>
                <w:color w:val="auto"/>
              </w:rPr>
              <w:t>球磨后物料进入</w:t>
            </w:r>
            <w:r>
              <w:rPr>
                <w:rFonts w:hint="default" w:ascii="Times New Roman" w:hAnsi="Times New Roman" w:eastAsia="宋体" w:cs="Times New Roman"/>
                <w:color w:val="auto"/>
                <w:sz w:val="24"/>
                <w:highlight w:val="none"/>
              </w:rPr>
              <w:t>盘式过滤机过滤</w:t>
            </w:r>
            <w:r>
              <w:rPr>
                <w:rFonts w:hint="eastAsia"/>
                <w:color w:val="auto"/>
              </w:rPr>
              <w:t>，循环水通过水泵泵入球磨机，废钢渣含水率</w:t>
            </w:r>
            <w:r>
              <w:rPr>
                <w:rFonts w:hint="eastAsia"/>
                <w:color w:val="auto"/>
                <w:lang w:val="en-US" w:eastAsia="zh-CN"/>
              </w:rPr>
              <w:t>1.7</w:t>
            </w:r>
            <w:r>
              <w:rPr>
                <w:rFonts w:hint="eastAsia"/>
                <w:color w:val="auto"/>
              </w:rPr>
              <w:t>%，原料带入水量</w:t>
            </w:r>
            <w:r>
              <w:rPr>
                <w:rFonts w:hint="eastAsia"/>
                <w:color w:val="auto"/>
                <w:lang w:val="en-US" w:eastAsia="zh-CN"/>
              </w:rPr>
              <w:t>2.55</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rFonts w:hint="eastAsia"/>
                <w:color w:val="auto"/>
              </w:rPr>
              <w:t>（</w:t>
            </w:r>
            <w:r>
              <w:rPr>
                <w:rFonts w:hint="eastAsia"/>
                <w:color w:val="auto"/>
                <w:lang w:val="en-US" w:eastAsia="zh-CN"/>
              </w:rPr>
              <w:t>765</w:t>
            </w:r>
            <w:r>
              <w:rPr>
                <w:rFonts w:hint="default"/>
                <w:color w:val="auto"/>
              </w:rPr>
              <w:t>m</w:t>
            </w:r>
            <w:r>
              <w:rPr>
                <w:rFonts w:hint="default"/>
                <w:color w:val="auto"/>
                <w:vertAlign w:val="superscript"/>
              </w:rPr>
              <w:t>3</w:t>
            </w:r>
            <w:r>
              <w:rPr>
                <w:rFonts w:hint="default"/>
                <w:color w:val="auto"/>
              </w:rPr>
              <w:t>/a</w:t>
            </w:r>
            <w:r>
              <w:rPr>
                <w:rFonts w:hint="eastAsia"/>
                <w:color w:val="auto"/>
              </w:rPr>
              <w:t>），</w:t>
            </w:r>
            <w:r>
              <w:rPr>
                <w:rFonts w:hint="eastAsia"/>
                <w:color w:val="auto"/>
                <w:lang w:eastAsia="zh-CN"/>
              </w:rPr>
              <w:t>球磨</w:t>
            </w:r>
            <w:r>
              <w:rPr>
                <w:rFonts w:hint="eastAsia"/>
                <w:color w:val="auto"/>
              </w:rPr>
              <w:t>过程蒸发损耗</w:t>
            </w:r>
            <w:r>
              <w:rPr>
                <w:rFonts w:hint="eastAsia"/>
                <w:color w:val="auto"/>
                <w:lang w:val="en-US" w:eastAsia="zh-CN"/>
              </w:rPr>
              <w:t>15</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color w:val="auto"/>
              </w:rPr>
              <w:t>（</w:t>
            </w:r>
            <w:r>
              <w:rPr>
                <w:rFonts w:hint="eastAsia"/>
                <w:color w:val="auto"/>
                <w:lang w:val="en-US" w:eastAsia="zh-CN"/>
              </w:rPr>
              <w:t>4500</w:t>
            </w:r>
            <w:r>
              <w:rPr>
                <w:rFonts w:hint="default"/>
                <w:color w:val="auto"/>
              </w:rPr>
              <w:t>m</w:t>
            </w:r>
            <w:r>
              <w:rPr>
                <w:rFonts w:hint="default"/>
                <w:color w:val="auto"/>
                <w:vertAlign w:val="superscript"/>
              </w:rPr>
              <w:t>3</w:t>
            </w:r>
            <w:r>
              <w:rPr>
                <w:rFonts w:hint="default"/>
                <w:color w:val="auto"/>
              </w:rPr>
              <w:t>/a</w:t>
            </w:r>
            <w:r>
              <w:rPr>
                <w:rFonts w:hint="eastAsia"/>
                <w:color w:val="auto"/>
                <w:lang w:eastAsia="zh-CN"/>
              </w:rPr>
              <w:t>）</w:t>
            </w:r>
            <w:r>
              <w:rPr>
                <w:rFonts w:hint="eastAsia"/>
                <w:color w:val="auto"/>
              </w:rPr>
              <w:t>，产品带走水量</w:t>
            </w:r>
            <w:r>
              <w:rPr>
                <w:rFonts w:hint="eastAsia"/>
                <w:color w:val="auto"/>
                <w:lang w:eastAsia="zh-CN"/>
              </w:rPr>
              <w:t>（</w:t>
            </w:r>
            <w:r>
              <w:rPr>
                <w:rFonts w:hint="eastAsia"/>
                <w:color w:val="auto"/>
              </w:rPr>
              <w:t>含水率</w:t>
            </w:r>
            <w:r>
              <w:rPr>
                <w:rFonts w:hint="eastAsia"/>
                <w:color w:val="auto"/>
                <w:lang w:val="en-US" w:eastAsia="zh-CN"/>
              </w:rPr>
              <w:t>8</w:t>
            </w:r>
            <w:r>
              <w:rPr>
                <w:rFonts w:hint="eastAsia"/>
                <w:color w:val="auto"/>
              </w:rPr>
              <w:t>%</w:t>
            </w:r>
            <w:r>
              <w:rPr>
                <w:rFonts w:hint="eastAsia"/>
                <w:color w:val="auto"/>
                <w:lang w:eastAsia="zh-CN"/>
              </w:rPr>
              <w:t>计）约为</w:t>
            </w:r>
            <w:r>
              <w:rPr>
                <w:rFonts w:hint="eastAsia"/>
                <w:color w:val="auto"/>
                <w:lang w:val="en-US" w:eastAsia="zh-CN"/>
              </w:rPr>
              <w:t>11.94</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rFonts w:hint="eastAsia"/>
                <w:color w:val="auto"/>
              </w:rPr>
              <w:t>（</w:t>
            </w:r>
            <w:r>
              <w:rPr>
                <w:rFonts w:hint="eastAsia"/>
                <w:color w:val="auto"/>
                <w:lang w:val="en-US" w:eastAsia="zh-CN"/>
              </w:rPr>
              <w:t>3582</w:t>
            </w:r>
            <w:r>
              <w:rPr>
                <w:rFonts w:hint="default"/>
                <w:color w:val="auto"/>
              </w:rPr>
              <w:t>m</w:t>
            </w:r>
            <w:r>
              <w:rPr>
                <w:rFonts w:hint="default"/>
                <w:color w:val="auto"/>
                <w:vertAlign w:val="superscript"/>
              </w:rPr>
              <w:t>3</w:t>
            </w:r>
            <w:r>
              <w:rPr>
                <w:rFonts w:hint="default"/>
                <w:color w:val="auto"/>
              </w:rPr>
              <w:t>/a</w:t>
            </w:r>
            <w:r>
              <w:rPr>
                <w:rFonts w:hint="eastAsia"/>
                <w:color w:val="auto"/>
              </w:rPr>
              <w:t>），</w:t>
            </w:r>
            <w:r>
              <w:rPr>
                <w:color w:val="auto"/>
              </w:rPr>
              <w:t>循环水</w:t>
            </w:r>
            <w:r>
              <w:rPr>
                <w:rFonts w:hint="eastAsia"/>
                <w:color w:val="auto"/>
              </w:rPr>
              <w:t>为</w:t>
            </w:r>
            <w:r>
              <w:rPr>
                <w:rFonts w:hint="eastAsia"/>
                <w:color w:val="auto"/>
                <w:lang w:val="en-US" w:eastAsia="zh-CN"/>
              </w:rPr>
              <w:t>275.61</w:t>
            </w:r>
            <w:r>
              <w:rPr>
                <w:rFonts w:hint="default"/>
                <w:color w:val="auto"/>
              </w:rPr>
              <w:t>m</w:t>
            </w:r>
            <w:r>
              <w:rPr>
                <w:rFonts w:hint="default"/>
                <w:color w:val="auto"/>
                <w:vertAlign w:val="superscript"/>
              </w:rPr>
              <w:t>3</w:t>
            </w:r>
            <w:r>
              <w:rPr>
                <w:color w:val="auto"/>
              </w:rPr>
              <w:t>/</w:t>
            </w:r>
            <w:r>
              <w:rPr>
                <w:rFonts w:hint="eastAsia"/>
                <w:color w:val="auto"/>
                <w:lang w:val="en-US" w:eastAsia="zh-CN"/>
              </w:rPr>
              <w:t>d</w:t>
            </w:r>
            <w:r>
              <w:rPr>
                <w:color w:val="auto"/>
              </w:rPr>
              <w:t>（</w:t>
            </w:r>
            <w:r>
              <w:rPr>
                <w:rFonts w:hint="eastAsia"/>
                <w:color w:val="auto"/>
                <w:lang w:val="en-US" w:eastAsia="zh-CN"/>
              </w:rPr>
              <w:t>82683</w:t>
            </w:r>
            <w:r>
              <w:rPr>
                <w:rFonts w:hint="default"/>
                <w:color w:val="auto"/>
              </w:rPr>
              <w:t>m</w:t>
            </w:r>
            <w:r>
              <w:rPr>
                <w:rFonts w:hint="default"/>
                <w:color w:val="auto"/>
                <w:vertAlign w:val="superscript"/>
              </w:rPr>
              <w:t>3</w:t>
            </w:r>
            <w:r>
              <w:rPr>
                <w:color w:val="auto"/>
              </w:rPr>
              <w:t>/a）</w:t>
            </w:r>
            <w:r>
              <w:rPr>
                <w:rFonts w:hint="eastAsia"/>
                <w:color w:val="auto"/>
                <w:lang w:eastAsia="zh-CN"/>
              </w:rPr>
              <w:t>；</w:t>
            </w:r>
            <w:r>
              <w:rPr>
                <w:color w:val="auto"/>
              </w:rPr>
              <w:t>经</w:t>
            </w:r>
            <w:r>
              <w:rPr>
                <w:rFonts w:hint="eastAsia"/>
                <w:color w:val="auto"/>
                <w:lang w:eastAsia="zh-CN"/>
              </w:rPr>
              <w:t>沉淀池</w:t>
            </w:r>
            <w:r>
              <w:rPr>
                <w:color w:val="auto"/>
              </w:rPr>
              <w:t>后回用于生产，无废水外排</w:t>
            </w:r>
            <w:r>
              <w:rPr>
                <w:rFonts w:hint="eastAsia"/>
                <w:color w:val="auto"/>
                <w:highlight w:val="none"/>
                <w:lang w:eastAsia="zh-CN"/>
              </w:rPr>
              <w:t>；</w:t>
            </w:r>
            <w:r>
              <w:rPr>
                <w:rFonts w:hint="eastAsia" w:ascii="Times New Roman" w:hAnsi="Times New Roman" w:cs="Times New Roman"/>
                <w:color w:val="auto"/>
                <w:kern w:val="24"/>
                <w:sz w:val="24"/>
                <w:szCs w:val="24"/>
                <w:highlight w:val="none"/>
                <w:lang w:eastAsia="zh-CN"/>
              </w:rPr>
              <w:t>车辆清洗废水</w:t>
            </w:r>
            <w:r>
              <w:rPr>
                <w:rFonts w:hint="eastAsia" w:cs="Times New Roman"/>
                <w:color w:val="auto"/>
                <w:sz w:val="24"/>
                <w:szCs w:val="24"/>
                <w:lang w:val="en-US" w:eastAsia="zh-CN"/>
              </w:rPr>
              <w:t>0.392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color w:val="auto"/>
                <w:lang w:val="en-US" w:eastAsia="zh-CN"/>
              </w:rPr>
              <w:t>d</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117.6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cs="Times New Roman"/>
                <w:color w:val="auto"/>
                <w:sz w:val="24"/>
                <w:szCs w:val="24"/>
                <w:lang w:eastAsia="zh-CN"/>
              </w:rPr>
              <w:t>，</w:t>
            </w:r>
            <w:r>
              <w:rPr>
                <w:color w:val="auto"/>
                <w:kern w:val="24"/>
                <w:highlight w:val="none"/>
              </w:rPr>
              <w:t>主要污染因子为SS，</w:t>
            </w:r>
            <w:r>
              <w:rPr>
                <w:rFonts w:hint="eastAsia"/>
                <w:color w:val="auto"/>
                <w:highlight w:val="none"/>
                <w:lang w:eastAsia="zh-CN"/>
              </w:rPr>
              <w:t>排入</w:t>
            </w:r>
            <w:r>
              <w:rPr>
                <w:rFonts w:hint="eastAsia"/>
                <w:color w:val="auto"/>
                <w:highlight w:val="none"/>
                <w:lang w:val="en-US" w:eastAsia="zh-CN"/>
              </w:rPr>
              <w:t>配套</w:t>
            </w:r>
            <w:r>
              <w:rPr>
                <w:rFonts w:hint="eastAsia"/>
                <w:color w:val="auto"/>
                <w:highlight w:val="none"/>
                <w:lang w:eastAsia="zh-CN"/>
              </w:rPr>
              <w:t>沉淀池，沉淀后回用于车辆清洗</w:t>
            </w:r>
            <w:r>
              <w:rPr>
                <w:rFonts w:hint="default" w:ascii="Times New Roman" w:hAnsi="Times New Roman" w:eastAsia="宋体" w:cs="Times New Roman"/>
                <w:color w:val="auto"/>
                <w:kern w:val="24"/>
                <w:sz w:val="24"/>
                <w:szCs w:val="24"/>
                <w:highlight w:val="none"/>
              </w:rPr>
              <w:t>，无废水</w:t>
            </w:r>
            <w:r>
              <w:rPr>
                <w:rFonts w:hint="eastAsia" w:cs="Times New Roman"/>
                <w:color w:val="auto"/>
                <w:kern w:val="24"/>
                <w:sz w:val="24"/>
                <w:szCs w:val="24"/>
                <w:highlight w:val="none"/>
                <w:lang w:eastAsia="zh-CN"/>
              </w:rPr>
              <w:t>外排。</w:t>
            </w:r>
            <w:r>
              <w:rPr>
                <w:rFonts w:hint="eastAsia" w:cs="Times New Roman"/>
                <w:color w:val="auto"/>
                <w:kern w:val="24"/>
                <w:highlight w:val="none"/>
                <w:lang w:val="en-US" w:eastAsia="zh-CN"/>
              </w:rPr>
              <w:t xml:space="preserve">                                                                                                                                                                                                                                                                                                                                                                                                                                                                                                                       </w:t>
            </w:r>
          </w:p>
          <w:p w14:paraId="7D7579B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kern w:val="24"/>
                <w:highlight w:val="none"/>
                <w:lang w:val="en-US" w:eastAsia="zh-CN"/>
              </w:rPr>
              <w:t>生活污水按排放系数0.8计算，产生量为</w:t>
            </w:r>
            <w:r>
              <w:rPr>
                <w:rFonts w:hint="eastAsia" w:cs="Times New Roman"/>
                <w:color w:val="auto"/>
                <w:kern w:val="24"/>
                <w:highlight w:val="none"/>
                <w:lang w:val="en-US" w:eastAsia="zh-CN"/>
              </w:rPr>
              <w:t>0.56</w:t>
            </w:r>
            <w:r>
              <w:rPr>
                <w:rFonts w:hint="default" w:ascii="Times New Roman" w:hAnsi="Times New Roman" w:eastAsia="宋体" w:cs="Times New Roman"/>
                <w:color w:val="auto"/>
                <w:kern w:val="24"/>
                <w:highlight w:val="none"/>
                <w:lang w:val="en-US" w:eastAsia="zh-CN"/>
              </w:rPr>
              <w:t>m</w:t>
            </w:r>
            <w:r>
              <w:rPr>
                <w:rFonts w:hint="default" w:ascii="Times New Roman" w:hAnsi="Times New Roman" w:eastAsia="宋体" w:cs="Times New Roman"/>
                <w:color w:val="auto"/>
                <w:kern w:val="24"/>
                <w:highlight w:val="none"/>
                <w:vertAlign w:val="superscript"/>
                <w:lang w:val="en-US" w:eastAsia="zh-CN"/>
              </w:rPr>
              <w:t>3</w:t>
            </w:r>
            <w:r>
              <w:rPr>
                <w:rFonts w:hint="default" w:ascii="Times New Roman" w:hAnsi="Times New Roman" w:eastAsia="宋体" w:cs="Times New Roman"/>
                <w:color w:val="auto"/>
                <w:kern w:val="24"/>
                <w:highlight w:val="none"/>
                <w:lang w:val="en-US" w:eastAsia="zh-CN"/>
              </w:rPr>
              <w:t>/</w:t>
            </w:r>
            <w:r>
              <w:rPr>
                <w:rFonts w:hint="eastAsia"/>
                <w:color w:val="auto"/>
                <w:lang w:val="en-US" w:eastAsia="zh-CN"/>
              </w:rPr>
              <w:t>d</w:t>
            </w:r>
            <w:r>
              <w:rPr>
                <w:rFonts w:hint="default" w:ascii="Times New Roman" w:hAnsi="Times New Roman" w:eastAsia="宋体" w:cs="Times New Roman"/>
                <w:color w:val="auto"/>
                <w:kern w:val="24"/>
                <w:highlight w:val="none"/>
                <w:lang w:val="en-US" w:eastAsia="zh-CN"/>
              </w:rPr>
              <w:t>（</w:t>
            </w:r>
            <w:r>
              <w:rPr>
                <w:rFonts w:hint="eastAsia" w:cs="Times New Roman"/>
                <w:color w:val="auto"/>
                <w:kern w:val="24"/>
                <w:highlight w:val="none"/>
                <w:lang w:val="en-US" w:eastAsia="zh-CN"/>
              </w:rPr>
              <w:t>168</w:t>
            </w:r>
            <w:r>
              <w:rPr>
                <w:rFonts w:hint="default" w:ascii="Times New Roman" w:hAnsi="Times New Roman" w:eastAsia="宋体" w:cs="Times New Roman"/>
                <w:color w:val="auto"/>
                <w:kern w:val="24"/>
                <w:highlight w:val="none"/>
                <w:lang w:val="en-US" w:eastAsia="zh-CN"/>
              </w:rPr>
              <w:t>m</w:t>
            </w:r>
            <w:r>
              <w:rPr>
                <w:rFonts w:hint="default" w:ascii="Times New Roman" w:hAnsi="Times New Roman" w:eastAsia="宋体" w:cs="Times New Roman"/>
                <w:color w:val="auto"/>
                <w:kern w:val="24"/>
                <w:highlight w:val="none"/>
                <w:vertAlign w:val="superscript"/>
                <w:lang w:val="en-US" w:eastAsia="zh-CN"/>
              </w:rPr>
              <w:t>3</w:t>
            </w:r>
            <w:r>
              <w:rPr>
                <w:rFonts w:hint="default" w:ascii="Times New Roman" w:hAnsi="Times New Roman" w:eastAsia="宋体" w:cs="Times New Roman"/>
                <w:color w:val="auto"/>
                <w:kern w:val="24"/>
                <w:highlight w:val="none"/>
                <w:lang w:val="en-US" w:eastAsia="zh-CN"/>
              </w:rPr>
              <w:t>/a），主要污染因子为pH、COD、BOD</w:t>
            </w:r>
            <w:r>
              <w:rPr>
                <w:rFonts w:hint="default" w:ascii="Times New Roman" w:hAnsi="Times New Roman" w:eastAsia="宋体" w:cs="Times New Roman"/>
                <w:color w:val="auto"/>
                <w:kern w:val="24"/>
                <w:highlight w:val="none"/>
                <w:vertAlign w:val="subscript"/>
                <w:lang w:val="en-US" w:eastAsia="zh-CN"/>
              </w:rPr>
              <w:t>5</w:t>
            </w:r>
            <w:r>
              <w:rPr>
                <w:rFonts w:hint="default" w:ascii="Times New Roman" w:hAnsi="Times New Roman" w:eastAsia="宋体" w:cs="Times New Roman"/>
                <w:color w:val="auto"/>
                <w:kern w:val="24"/>
                <w:highlight w:val="none"/>
                <w:lang w:val="en-US" w:eastAsia="zh-CN"/>
              </w:rPr>
              <w:t>、SS、NH</w:t>
            </w:r>
            <w:r>
              <w:rPr>
                <w:rFonts w:hint="default" w:ascii="Times New Roman" w:hAnsi="Times New Roman" w:eastAsia="宋体" w:cs="Times New Roman"/>
                <w:color w:val="auto"/>
                <w:kern w:val="24"/>
                <w:highlight w:val="none"/>
                <w:vertAlign w:val="subscript"/>
                <w:lang w:val="en-US" w:eastAsia="zh-CN"/>
              </w:rPr>
              <w:t>3</w:t>
            </w:r>
            <w:r>
              <w:rPr>
                <w:rFonts w:hint="default" w:ascii="Times New Roman" w:hAnsi="Times New Roman" w:eastAsia="宋体" w:cs="Times New Roman"/>
                <w:color w:val="auto"/>
                <w:kern w:val="24"/>
                <w:highlight w:val="none"/>
                <w:lang w:val="en-US" w:eastAsia="zh-CN"/>
              </w:rPr>
              <w:t>-N、总磷等，生活污水产生量较少，</w:t>
            </w:r>
            <w:r>
              <w:rPr>
                <w:rFonts w:hint="eastAsia" w:cs="Times New Roman"/>
                <w:color w:val="auto"/>
                <w:kern w:val="24"/>
                <w:highlight w:val="none"/>
                <w:lang w:val="en-US" w:eastAsia="zh-CN"/>
              </w:rPr>
              <w:t>排入化粪池，定期清掏用作农肥</w:t>
            </w:r>
            <w:r>
              <w:rPr>
                <w:rFonts w:hint="default" w:ascii="Times New Roman" w:hAnsi="Times New Roman" w:eastAsia="宋体" w:cs="Times New Roman"/>
                <w:color w:val="auto"/>
                <w:kern w:val="24"/>
                <w:highlight w:val="none"/>
                <w:lang w:val="en-US" w:eastAsia="zh-CN"/>
              </w:rPr>
              <w:t>。</w:t>
            </w:r>
          </w:p>
          <w:p w14:paraId="6C31BE35">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default" w:ascii="Times New Roman" w:hAnsi="Times New Roman" w:eastAsia="宋体" w:cs="Times New Roman"/>
                <w:b/>
                <w:bCs/>
                <w:color w:val="auto"/>
                <w:szCs w:val="22"/>
                <w:lang w:val="en-US" w:eastAsia="zh-CN"/>
              </w:rPr>
            </w:pPr>
            <w:r>
              <w:rPr>
                <w:rFonts w:hint="default" w:ascii="Times New Roman" w:hAnsi="Times New Roman" w:eastAsia="宋体" w:cs="Times New Roman"/>
                <w:color w:val="auto"/>
                <w:w w:val="100"/>
                <w:kern w:val="2"/>
                <w:sz w:val="24"/>
                <w:szCs w:val="22"/>
                <w:lang w:val="en-US" w:eastAsia="zh-CN" w:bidi="ar-SA"/>
              </w:rPr>
              <w:t>本项目生产废水</w:t>
            </w:r>
            <w:r>
              <w:rPr>
                <w:rFonts w:hint="eastAsia" w:cs="Times New Roman"/>
                <w:color w:val="auto"/>
                <w:w w:val="100"/>
                <w:kern w:val="2"/>
                <w:sz w:val="24"/>
                <w:szCs w:val="22"/>
                <w:lang w:val="en-US" w:eastAsia="zh-CN" w:bidi="ar-SA"/>
              </w:rPr>
              <w:t>不</w:t>
            </w:r>
            <w:r>
              <w:rPr>
                <w:rFonts w:hint="default" w:ascii="Times New Roman" w:hAnsi="Times New Roman" w:eastAsia="宋体" w:cs="Times New Roman"/>
                <w:color w:val="auto"/>
                <w:w w:val="100"/>
                <w:kern w:val="2"/>
                <w:sz w:val="24"/>
                <w:szCs w:val="22"/>
                <w:lang w:val="en-US" w:eastAsia="zh-CN" w:bidi="ar-SA"/>
              </w:rPr>
              <w:t>外排。项目给排水平衡图见图</w:t>
            </w:r>
            <w:r>
              <w:rPr>
                <w:rFonts w:hint="eastAsia" w:cs="Times New Roman"/>
                <w:color w:val="auto"/>
                <w:w w:val="100"/>
                <w:kern w:val="2"/>
                <w:sz w:val="24"/>
                <w:szCs w:val="22"/>
                <w:lang w:val="en-US" w:eastAsia="zh-CN" w:bidi="ar-SA"/>
              </w:rPr>
              <w:t>2</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eastAsia="zh-CN"/>
              </w:rPr>
              <w:t>具体如下：</w:t>
            </w:r>
          </w:p>
          <w:p w14:paraId="74004F0D">
            <w:pPr>
              <w:pStyle w:val="7"/>
              <w:rPr>
                <w:rFonts w:hint="default" w:ascii="Times New Roman" w:hAnsi="Times New Roman" w:eastAsia="宋体" w:cs="Times New Roman"/>
                <w:color w:val="auto"/>
                <w:w w:val="100"/>
                <w:kern w:val="2"/>
                <w:sz w:val="24"/>
                <w:szCs w:val="22"/>
                <w:lang w:val="en-US" w:eastAsia="zh-CN" w:bidi="ar-SA"/>
              </w:rPr>
            </w:pPr>
          </w:p>
          <w:p w14:paraId="2C01810F">
            <w:pPr>
              <w:rPr>
                <w:rFonts w:hint="default" w:ascii="Times New Roman" w:hAnsi="Times New Roman" w:eastAsia="宋体" w:cs="Times New Roman"/>
                <w:color w:val="auto"/>
                <w:w w:val="100"/>
                <w:kern w:val="2"/>
                <w:sz w:val="24"/>
                <w:szCs w:val="22"/>
                <w:lang w:val="en-US" w:eastAsia="zh-CN" w:bidi="ar-SA"/>
              </w:rPr>
            </w:pPr>
          </w:p>
          <w:p w14:paraId="5FB377C6">
            <w:pPr>
              <w:pStyle w:val="7"/>
              <w:rPr>
                <w:rFonts w:hint="default" w:ascii="Times New Roman" w:hAnsi="Times New Roman" w:eastAsia="宋体" w:cs="Times New Roman"/>
                <w:color w:val="auto"/>
                <w:w w:val="100"/>
                <w:kern w:val="2"/>
                <w:sz w:val="24"/>
                <w:szCs w:val="22"/>
                <w:lang w:val="en-US" w:eastAsia="zh-CN" w:bidi="ar-SA"/>
              </w:rPr>
            </w:pPr>
          </w:p>
          <w:p w14:paraId="4CC059B5">
            <w:pPr>
              <w:rPr>
                <w:rFonts w:hint="default" w:ascii="Times New Roman" w:hAnsi="Times New Roman" w:eastAsia="宋体" w:cs="Times New Roman"/>
                <w:color w:val="auto"/>
                <w:w w:val="100"/>
                <w:kern w:val="2"/>
                <w:sz w:val="24"/>
                <w:szCs w:val="22"/>
                <w:lang w:val="en-US" w:eastAsia="zh-CN" w:bidi="ar-SA"/>
              </w:rPr>
            </w:pPr>
          </w:p>
          <w:p w14:paraId="032239B5">
            <w:pPr>
              <w:pStyle w:val="7"/>
              <w:rPr>
                <w:rFonts w:hint="default" w:ascii="Times New Roman" w:hAnsi="Times New Roman" w:eastAsia="宋体" w:cs="Times New Roman"/>
                <w:color w:val="auto"/>
                <w:w w:val="100"/>
                <w:kern w:val="2"/>
                <w:sz w:val="24"/>
                <w:szCs w:val="22"/>
                <w:lang w:val="en-US" w:eastAsia="zh-CN" w:bidi="ar-SA"/>
              </w:rPr>
            </w:pPr>
            <w:r>
              <w:rPr>
                <w:rFonts w:hint="default" w:ascii="Times New Roman" w:hAnsi="Times New Roman" w:eastAsia="宋体" w:cs="Times New Roman"/>
                <w:color w:val="auto"/>
              </w:rPr>
              <w:pict>
                <v:shape id="_x0000_s1041" o:spid="_x0000_s1041" o:spt="75" type="#_x0000_t75" style="position:absolute;left:0pt;margin-left:8.25pt;margin-top:2.75pt;height:251.6pt;width:436.25pt;z-index:251674624;mso-width-relative:page;mso-height-relative:page;" o:ole="t" filled="f" o:preferrelative="t" stroked="f" coordsize="21600,21600">
                  <v:path/>
                  <v:fill on="f" focussize="0,0"/>
                  <v:stroke on="f"/>
                  <v:imagedata r:id="rId14" o:title=""/>
                  <o:lock v:ext="edit" aspectratio="t"/>
                </v:shape>
                <o:OLEObject Type="Embed" ProgID="Visio.Drawing.11" ShapeID="_x0000_s1041" DrawAspect="Content" ObjectID="_1468075726" r:id="rId13">
                  <o:LockedField>false</o:LockedField>
                </o:OLEObject>
              </w:pict>
            </w:r>
          </w:p>
          <w:p w14:paraId="11D0E4B5">
            <w:pPr>
              <w:rPr>
                <w:rFonts w:hint="default" w:ascii="Times New Roman" w:hAnsi="Times New Roman" w:eastAsia="宋体" w:cs="Times New Roman"/>
                <w:color w:val="auto"/>
                <w:w w:val="100"/>
                <w:kern w:val="2"/>
                <w:sz w:val="24"/>
                <w:szCs w:val="22"/>
                <w:lang w:val="en-US" w:eastAsia="zh-CN" w:bidi="ar-SA"/>
              </w:rPr>
            </w:pPr>
          </w:p>
          <w:p w14:paraId="3D48203E">
            <w:pPr>
              <w:pStyle w:val="7"/>
              <w:rPr>
                <w:rFonts w:hint="default" w:ascii="Times New Roman" w:hAnsi="Times New Roman" w:eastAsia="宋体" w:cs="Times New Roman"/>
                <w:color w:val="auto"/>
                <w:lang w:val="en-US" w:eastAsia="zh-CN"/>
              </w:rPr>
            </w:pPr>
          </w:p>
          <w:p w14:paraId="0DFD06FF">
            <w:pPr>
              <w:pStyle w:val="6"/>
              <w:rPr>
                <w:rFonts w:hint="default" w:ascii="Times New Roman" w:hAnsi="Times New Roman" w:eastAsia="宋体" w:cs="Times New Roman"/>
                <w:color w:val="auto"/>
                <w:lang w:val="en-US" w:eastAsia="zh-CN"/>
              </w:rPr>
            </w:pPr>
          </w:p>
          <w:p w14:paraId="073E7CA3">
            <w:pPr>
              <w:rPr>
                <w:rFonts w:hint="default" w:ascii="Times New Roman" w:hAnsi="Times New Roman" w:eastAsia="宋体" w:cs="Times New Roman"/>
                <w:color w:val="auto"/>
                <w:lang w:val="en-US" w:eastAsia="zh-CN"/>
              </w:rPr>
            </w:pPr>
          </w:p>
          <w:p w14:paraId="4A33BDE3">
            <w:pPr>
              <w:pStyle w:val="20"/>
              <w:rPr>
                <w:rFonts w:hint="default"/>
                <w:color w:val="auto"/>
                <w:lang w:val="en-US" w:eastAsia="zh-CN"/>
              </w:rPr>
            </w:pPr>
          </w:p>
          <w:p w14:paraId="75D13363">
            <w:pPr>
              <w:rPr>
                <w:rFonts w:hint="default" w:ascii="Times New Roman" w:hAnsi="Times New Roman" w:eastAsia="宋体" w:cs="Times New Roman"/>
                <w:color w:val="auto"/>
                <w:lang w:val="en-US" w:eastAsia="zh-CN"/>
              </w:rPr>
            </w:pPr>
          </w:p>
          <w:p w14:paraId="10600086">
            <w:pPr>
              <w:pStyle w:val="10"/>
              <w:rPr>
                <w:rFonts w:hint="default"/>
                <w:color w:val="auto"/>
                <w:lang w:val="en-US" w:eastAsia="zh-CN"/>
              </w:rPr>
            </w:pPr>
          </w:p>
          <w:p w14:paraId="7843F8D4">
            <w:pPr>
              <w:pStyle w:val="10"/>
              <w:rPr>
                <w:rFonts w:hint="default"/>
                <w:color w:val="auto"/>
                <w:lang w:val="en-US" w:eastAsia="zh-CN"/>
              </w:rPr>
            </w:pPr>
          </w:p>
          <w:p w14:paraId="130D7599">
            <w:pPr>
              <w:rPr>
                <w:rFonts w:hint="default" w:ascii="Times New Roman" w:hAnsi="Times New Roman" w:eastAsia="宋体" w:cs="Times New Roman"/>
                <w:color w:val="auto"/>
                <w:lang w:val="en-US" w:eastAsia="zh-CN"/>
              </w:rPr>
            </w:pPr>
          </w:p>
          <w:p w14:paraId="714727C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mc:AlternateContent>
                <mc:Choice Requires="wps">
                  <w:drawing>
                    <wp:anchor distT="0" distB="0" distL="114300" distR="114300" simplePos="0" relativeHeight="251671552" behindDoc="0" locked="0" layoutInCell="1" allowOverlap="1">
                      <wp:simplePos x="0" y="0"/>
                      <wp:positionH relativeFrom="column">
                        <wp:posOffset>1207135</wp:posOffset>
                      </wp:positionH>
                      <wp:positionV relativeFrom="paragraph">
                        <wp:posOffset>206375</wp:posOffset>
                      </wp:positionV>
                      <wp:extent cx="2762250" cy="4000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762250" cy="400050"/>
                              </a:xfrm>
                              <a:prstGeom prst="rect">
                                <a:avLst/>
                              </a:prstGeom>
                              <a:noFill/>
                              <a:ln w="12700">
                                <a:noFill/>
                              </a:ln>
                            </wps:spPr>
                            <wps:txbx>
                              <w:txbxContent>
                                <w:p w14:paraId="398BA12F">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2 给排水水平衡图 m</w:t>
                                  </w:r>
                                  <w:r>
                                    <w:rPr>
                                      <w:rFonts w:hint="eastAsia"/>
                                      <w:b/>
                                      <w:bCs/>
                                      <w:sz w:val="21"/>
                                      <w:szCs w:val="21"/>
                                      <w:vertAlign w:val="superscript"/>
                                      <w:lang w:val="en-US" w:eastAsia="zh-CN"/>
                                    </w:rPr>
                                    <w:t>3/</w:t>
                                  </w:r>
                                  <w:r>
                                    <w:rPr>
                                      <w:rFonts w:hint="eastAsia"/>
                                      <w:b/>
                                      <w:bCs/>
                                      <w:sz w:val="21"/>
                                      <w:szCs w:val="21"/>
                                      <w:lang w:val="en-US" w:eastAsia="zh-CN"/>
                                    </w:rPr>
                                    <w:t>8h</w:t>
                                  </w:r>
                                </w:p>
                              </w:txbxContent>
                            </wps:txbx>
                            <wps:bodyPr upright="1"/>
                          </wps:wsp>
                        </a:graphicData>
                      </a:graphic>
                    </wp:anchor>
                  </w:drawing>
                </mc:Choice>
                <mc:Fallback>
                  <w:pict>
                    <v:shape id="_x0000_s1026" o:spid="_x0000_s1026" o:spt="202" type="#_x0000_t202" style="position:absolute;left:0pt;margin-left:95.05pt;margin-top:16.25pt;height:31.5pt;width:217.5pt;z-index:251671552;mso-width-relative:page;mso-height-relative:page;" filled="f" stroked="f" coordsize="21600,21600" o:gfxdata="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ymtPXAAAACQEAAA8AAAAAAAAAAQAgAAAAIgAAAGRycy9kb3ducmV2LnhtbFBLAQIUABQAAAAI&#10;AIdO4kCJOSEdtQEAAFoDAAAOAAAAAAAAAAEAIAAAACYBAABkcnMvZTJvRG9jLnhtbFBLBQYAAAAA&#10;BgAGAFkBAABNBQAAAAA=&#10;">
                      <v:fill on="f" focussize="0,0"/>
                      <v:stroke on="f" weight="1pt"/>
                      <v:imagedata o:title=""/>
                      <o:lock v:ext="edit" aspectratio="f"/>
                      <v:textbox>
                        <w:txbxContent>
                          <w:p w14:paraId="398BA12F">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2 给排水水平衡图 m</w:t>
                            </w:r>
                            <w:r>
                              <w:rPr>
                                <w:rFonts w:hint="eastAsia"/>
                                <w:b/>
                                <w:bCs/>
                                <w:sz w:val="21"/>
                                <w:szCs w:val="21"/>
                                <w:vertAlign w:val="superscript"/>
                                <w:lang w:val="en-US" w:eastAsia="zh-CN"/>
                              </w:rPr>
                              <w:t>3/</w:t>
                            </w:r>
                            <w:r>
                              <w:rPr>
                                <w:rFonts w:hint="eastAsia"/>
                                <w:b/>
                                <w:bCs/>
                                <w:sz w:val="21"/>
                                <w:szCs w:val="21"/>
                                <w:lang w:val="en-US" w:eastAsia="zh-CN"/>
                              </w:rPr>
                              <w:t>8h</w:t>
                            </w:r>
                          </w:p>
                        </w:txbxContent>
                      </v:textbox>
                    </v:shape>
                  </w:pict>
                </mc:Fallback>
              </mc:AlternateContent>
            </w:r>
          </w:p>
          <w:p w14:paraId="4C70DAE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right="0" w:rightChars="0"/>
              <w:jc w:val="left"/>
              <w:textAlignment w:val="auto"/>
              <w:rPr>
                <w:rFonts w:hint="default" w:ascii="Times New Roman" w:hAnsi="Times New Roman" w:eastAsia="宋体" w:cs="Times New Roman"/>
                <w:b/>
                <w:bCs/>
                <w:color w:val="auto"/>
                <w:lang w:val="en-US" w:eastAsia="zh-CN"/>
              </w:rPr>
            </w:pPr>
          </w:p>
          <w:p w14:paraId="3B7CD61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0" w:leftChars="0" w:right="0" w:rightChars="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8、劳动定员及工作制度</w:t>
            </w:r>
          </w:p>
          <w:p w14:paraId="744161D7">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color w:val="auto"/>
                <w:highlight w:val="none"/>
              </w:rPr>
              <w:t>项目劳动定员</w:t>
            </w:r>
            <w:r>
              <w:rPr>
                <w:rFonts w:hint="eastAsia" w:cs="Times New Roman"/>
                <w:b w:val="0"/>
                <w:bCs/>
                <w:color w:val="auto"/>
                <w:highlight w:val="none"/>
                <w:lang w:val="en-US" w:eastAsia="zh-CN"/>
              </w:rPr>
              <w:t>1</w:t>
            </w:r>
            <w:r>
              <w:rPr>
                <w:rFonts w:hint="default" w:ascii="Times New Roman" w:hAnsi="Times New Roman" w:eastAsia="宋体" w:cs="Times New Roman"/>
                <w:b w:val="0"/>
                <w:bCs/>
                <w:color w:val="auto"/>
                <w:highlight w:val="none"/>
                <w:lang w:val="en-US" w:eastAsia="zh-CN"/>
              </w:rPr>
              <w:t>0</w:t>
            </w:r>
            <w:r>
              <w:rPr>
                <w:rFonts w:hint="default" w:ascii="Times New Roman" w:hAnsi="Times New Roman" w:eastAsia="宋体" w:cs="Times New Roman"/>
                <w:b w:val="0"/>
                <w:bCs/>
                <w:color w:val="auto"/>
                <w:highlight w:val="none"/>
              </w:rPr>
              <w:t>人，年工作</w:t>
            </w:r>
            <w:r>
              <w:rPr>
                <w:rFonts w:hint="default" w:ascii="Times New Roman" w:hAnsi="Times New Roman" w:eastAsia="宋体" w:cs="Times New Roman"/>
                <w:b w:val="0"/>
                <w:bCs/>
                <w:color w:val="auto"/>
                <w:highlight w:val="none"/>
                <w:lang w:val="en-US" w:eastAsia="zh-CN"/>
              </w:rPr>
              <w:t>300</w:t>
            </w:r>
            <w:r>
              <w:rPr>
                <w:rFonts w:hint="default" w:ascii="Times New Roman" w:hAnsi="Times New Roman" w:eastAsia="宋体" w:cs="Times New Roman"/>
                <w:b w:val="0"/>
                <w:bCs/>
                <w:color w:val="auto"/>
                <w:highlight w:val="none"/>
              </w:rPr>
              <w:t>天，采用</w:t>
            </w:r>
            <w:r>
              <w:rPr>
                <w:rFonts w:hint="eastAsia" w:cs="Times New Roman"/>
                <w:b w:val="0"/>
                <w:bCs/>
                <w:color w:val="auto"/>
                <w:highlight w:val="none"/>
                <w:lang w:val="en-US" w:eastAsia="zh-CN"/>
              </w:rPr>
              <w:t>2</w:t>
            </w:r>
            <w:r>
              <w:rPr>
                <w:rFonts w:hint="default" w:ascii="Times New Roman" w:hAnsi="Times New Roman" w:eastAsia="宋体" w:cs="Times New Roman"/>
                <w:b w:val="0"/>
                <w:bCs/>
                <w:color w:val="auto"/>
                <w:highlight w:val="none"/>
              </w:rPr>
              <w:t>班制，工</w:t>
            </w:r>
            <w:r>
              <w:rPr>
                <w:rFonts w:hint="default" w:ascii="Times New Roman" w:hAnsi="Times New Roman" w:eastAsia="宋体" w:cs="Times New Roman"/>
                <w:color w:val="auto"/>
                <w:highlight w:val="none"/>
              </w:rPr>
              <w:t>作</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小时。</w:t>
            </w:r>
          </w:p>
          <w:p w14:paraId="6A35324D">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9、厂区平面布置</w:t>
            </w:r>
          </w:p>
          <w:p w14:paraId="1E7F4699">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（1）项目厂区平面布置</w:t>
            </w:r>
          </w:p>
          <w:p w14:paraId="6E93C3EE">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项目厂区位于</w:t>
            </w:r>
            <w:r>
              <w:rPr>
                <w:rFonts w:hint="default" w:ascii="Times New Roman" w:hAnsi="Times New Roman" w:eastAsia="宋体" w:cs="Times New Roman"/>
                <w:color w:val="auto"/>
                <w:highlight w:val="none"/>
                <w:lang w:eastAsia="zh-CN"/>
              </w:rPr>
              <w:t>河北省承德市兴隆县平安堡镇平安堡村。具体布置如下：厂区</w:t>
            </w:r>
            <w:r>
              <w:rPr>
                <w:rFonts w:hint="eastAsia" w:cs="Times New Roman"/>
                <w:color w:val="auto"/>
                <w:highlight w:val="none"/>
                <w:lang w:eastAsia="zh-CN"/>
              </w:rPr>
              <w:t>进出口</w:t>
            </w:r>
            <w:r>
              <w:rPr>
                <w:rFonts w:hint="default" w:ascii="Times New Roman" w:hAnsi="Times New Roman" w:eastAsia="宋体" w:cs="Times New Roman"/>
                <w:color w:val="auto"/>
                <w:highlight w:val="none"/>
                <w:lang w:eastAsia="zh-CN"/>
              </w:rPr>
              <w:t>位于</w:t>
            </w:r>
            <w:r>
              <w:rPr>
                <w:rFonts w:hint="eastAsia" w:cs="Times New Roman"/>
                <w:color w:val="auto"/>
                <w:highlight w:val="none"/>
                <w:lang w:eastAsia="zh-CN"/>
              </w:rPr>
              <w:t>北</w:t>
            </w:r>
            <w:r>
              <w:rPr>
                <w:rFonts w:hint="default" w:ascii="Times New Roman" w:hAnsi="Times New Roman" w:eastAsia="宋体" w:cs="Times New Roman"/>
                <w:color w:val="auto"/>
                <w:highlight w:val="none"/>
                <w:lang w:eastAsia="zh-CN"/>
              </w:rPr>
              <w:t>侧，</w:t>
            </w:r>
            <w:r>
              <w:rPr>
                <w:rFonts w:hint="eastAsia" w:cs="Times New Roman"/>
                <w:color w:val="auto"/>
                <w:highlight w:val="none"/>
                <w:lang w:eastAsia="zh-CN"/>
              </w:rPr>
              <w:t>从北到南依次为洗车平台及配套沉淀池、封闭式原料车间、封闭式成品车间、封闭式生产车间及沉淀池；危险废物贮存间位于生产车间内部</w:t>
            </w:r>
            <w:r>
              <w:rPr>
                <w:rFonts w:hint="default" w:ascii="Times New Roman" w:hAnsi="Times New Roman" w:eastAsia="宋体" w:cs="Times New Roman"/>
                <w:color w:val="auto"/>
                <w:highlight w:val="none"/>
                <w:lang w:eastAsia="zh-CN"/>
              </w:rPr>
              <w:t>。</w:t>
            </w:r>
          </w:p>
          <w:p w14:paraId="76A45DBB">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val="en-US" w:eastAsia="zh-CN"/>
              </w:rPr>
              <w:t>（2）项</w:t>
            </w:r>
            <w:r>
              <w:rPr>
                <w:rFonts w:hint="default" w:ascii="Times New Roman" w:hAnsi="Times New Roman" w:eastAsia="宋体" w:cs="Times New Roman"/>
                <w:color w:val="auto"/>
                <w:lang w:val="en-US" w:eastAsia="zh-CN"/>
              </w:rPr>
              <w:t>目厂区周边关系</w:t>
            </w:r>
          </w:p>
          <w:p w14:paraId="11B48372">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both"/>
              <w:textAlignment w:val="auto"/>
              <w:rPr>
                <w:color w:val="auto"/>
                <w:lang w:val="en-US"/>
              </w:rPr>
            </w:pPr>
            <w:r>
              <w:rPr>
                <w:rFonts w:hint="default" w:ascii="Times New Roman" w:hAnsi="Times New Roman" w:eastAsia="宋体" w:cs="Times New Roman"/>
                <w:color w:val="auto"/>
                <w:highlight w:val="none"/>
                <w:lang w:val="en-US" w:eastAsia="zh-CN"/>
              </w:rPr>
              <w:t>厂区</w:t>
            </w:r>
            <w:r>
              <w:rPr>
                <w:rFonts w:hint="eastAsia" w:cs="Times New Roman"/>
                <w:color w:val="auto"/>
                <w:highlight w:val="none"/>
                <w:lang w:val="en-US" w:eastAsia="zh-CN"/>
              </w:rPr>
              <w:t>北侧为空地、西侧为柳河、东侧为山、南侧为</w:t>
            </w:r>
            <w:r>
              <w:rPr>
                <w:rFonts w:hint="default" w:ascii="Times New Roman" w:hAnsi="Times New Roman" w:eastAsia="宋体" w:cs="Times New Roman"/>
                <w:color w:val="auto"/>
                <w:highlight w:val="none"/>
                <w:lang w:val="en-US" w:eastAsia="zh-CN"/>
              </w:rPr>
              <w:t>兴隆县瑞隆矿业有限公司</w:t>
            </w:r>
            <w:r>
              <w:rPr>
                <w:rFonts w:hint="eastAsia" w:cs="Times New Roman"/>
                <w:color w:val="auto"/>
                <w:highlight w:val="none"/>
                <w:lang w:val="en-US" w:eastAsia="zh-CN"/>
              </w:rPr>
              <w:t>及兴隆县怡洋废料加工处理有限公司</w:t>
            </w:r>
            <w:r>
              <w:rPr>
                <w:rFonts w:hint="default" w:ascii="Times New Roman" w:hAnsi="Times New Roman" w:eastAsia="宋体" w:cs="Times New Roman"/>
                <w:color w:val="auto"/>
                <w:highlight w:val="none"/>
                <w:lang w:val="en-US" w:eastAsia="zh-CN"/>
              </w:rPr>
              <w:t>。</w:t>
            </w:r>
          </w:p>
          <w:p w14:paraId="755922F6">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2"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项目地理位置图、平面布置图、周边关系图分别见附图1-3。</w:t>
            </w:r>
          </w:p>
        </w:tc>
      </w:tr>
      <w:tr w14:paraId="1FC3E6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5" w:hRule="atLeast"/>
        </w:trPr>
        <w:tc>
          <w:tcPr>
            <w:tcW w:w="347" w:type="pct"/>
            <w:tcBorders>
              <w:top w:val="single" w:color="000000" w:sz="4" w:space="0"/>
              <w:bottom w:val="single" w:color="000000" w:sz="4" w:space="0"/>
              <w:right w:val="single" w:color="000000" w:sz="4" w:space="0"/>
            </w:tcBorders>
            <w:vAlign w:val="center"/>
          </w:tcPr>
          <w:p w14:paraId="3F8416C0">
            <w:pPr>
              <w:bidi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4652" w:type="pct"/>
            <w:tcBorders>
              <w:top w:val="single" w:color="000000" w:sz="4" w:space="0"/>
              <w:left w:val="single" w:color="000000" w:sz="4" w:space="0"/>
              <w:bottom w:val="single" w:color="000000" w:sz="4" w:space="0"/>
            </w:tcBorders>
            <w:vAlign w:val="center"/>
          </w:tcPr>
          <w:p w14:paraId="1F823B9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施工期</w:t>
            </w:r>
          </w:p>
          <w:p w14:paraId="46164D8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本项目施工期工艺流程及产污节点如下：</w:t>
            </w:r>
          </w:p>
          <w:p w14:paraId="4AD5D509">
            <w:pPr>
              <w:pStyle w:val="7"/>
              <w:rPr>
                <w:rFonts w:hint="default" w:ascii="Times New Roman" w:hAnsi="Times New Roman" w:eastAsia="宋体" w:cs="Times New Roman"/>
                <w:color w:val="auto"/>
              </w:rPr>
            </w:pPr>
            <w:r>
              <w:rPr>
                <w:rFonts w:hint="default" w:ascii="Times New Roman" w:hAnsi="Times New Roman" w:eastAsia="宋体" w:cs="Times New Roman"/>
                <w:color w:val="auto"/>
              </w:rPr>
              <w:pict>
                <v:shape id="_x0000_s1027" o:spid="_x0000_s1027" o:spt="75" type="#_x0000_t75" style="position:absolute;left:0pt;margin-left:36.3pt;margin-top:0.95pt;height:197.25pt;width:337.55pt;z-index:-251651072;mso-width-relative:page;mso-height-relative:page;" o:ole="t" filled="f" o:preferrelative="t" stroked="f" coordsize="21600,21600">
                  <v:path/>
                  <v:fill on="f" focussize="0,0"/>
                  <v:stroke on="f"/>
                  <v:imagedata r:id="rId16" o:title=""/>
                  <o:lock v:ext="edit" aspectratio="t"/>
                </v:shape>
                <o:OLEObject Type="Embed" ProgID="Visio.Drawing.11" ShapeID="_x0000_s1027" DrawAspect="Content" ObjectID="_1468075727" r:id="rId15">
                  <o:LockedField>false</o:LockedField>
                </o:OLEObject>
              </w:pict>
            </w:r>
          </w:p>
          <w:p w14:paraId="60651423">
            <w:pPr>
              <w:rPr>
                <w:rFonts w:hint="default" w:ascii="Times New Roman" w:hAnsi="Times New Roman" w:eastAsia="宋体" w:cs="Times New Roman"/>
                <w:color w:val="auto"/>
              </w:rPr>
            </w:pPr>
          </w:p>
          <w:p w14:paraId="3FCD7316">
            <w:pPr>
              <w:pStyle w:val="7"/>
              <w:rPr>
                <w:rFonts w:hint="default" w:ascii="Times New Roman" w:hAnsi="Times New Roman" w:eastAsia="宋体" w:cs="Times New Roman"/>
                <w:color w:val="auto"/>
              </w:rPr>
            </w:pPr>
          </w:p>
          <w:p w14:paraId="1E3DECBC">
            <w:pPr>
              <w:pStyle w:val="7"/>
              <w:rPr>
                <w:rFonts w:hint="default" w:ascii="Times New Roman" w:hAnsi="Times New Roman" w:eastAsia="宋体" w:cs="Times New Roman"/>
                <w:color w:val="auto"/>
              </w:rPr>
            </w:pPr>
          </w:p>
          <w:p w14:paraId="0789E8EF">
            <w:pPr>
              <w:rPr>
                <w:rFonts w:hint="default" w:ascii="Times New Roman" w:hAnsi="Times New Roman" w:eastAsia="宋体" w:cs="Times New Roman"/>
                <w:color w:val="auto"/>
              </w:rPr>
            </w:pPr>
          </w:p>
          <w:p w14:paraId="6E9D6E0C">
            <w:pPr>
              <w:pStyle w:val="2"/>
              <w:rPr>
                <w:rFonts w:hint="default" w:ascii="Times New Roman" w:hAnsi="Times New Roman" w:eastAsia="宋体" w:cs="Times New Roman"/>
                <w:color w:val="auto"/>
              </w:rPr>
            </w:pPr>
          </w:p>
          <w:p w14:paraId="21AF1273">
            <w:pPr>
              <w:pStyle w:val="2"/>
              <w:rPr>
                <w:rFonts w:hint="default" w:ascii="Times New Roman" w:hAnsi="Times New Roman" w:eastAsia="宋体" w:cs="Times New Roman"/>
                <w:color w:val="auto"/>
              </w:rPr>
            </w:pPr>
          </w:p>
          <w:p w14:paraId="05E257B7">
            <w:pPr>
              <w:rPr>
                <w:rFonts w:hint="default" w:ascii="Times New Roman" w:hAnsi="Times New Roman" w:eastAsia="宋体" w:cs="Times New Roman"/>
                <w:color w:val="auto"/>
              </w:rPr>
            </w:pPr>
          </w:p>
          <w:p w14:paraId="3872EDF3">
            <w:pPr>
              <w:pStyle w:val="10"/>
              <w:rPr>
                <w:rFonts w:hint="default" w:ascii="Times New Roman" w:hAnsi="Times New Roman" w:eastAsia="宋体" w:cs="Times New Roman"/>
                <w:color w:val="auto"/>
              </w:rPr>
            </w:pPr>
          </w:p>
          <w:p w14:paraId="5A6626B0">
            <w:pPr>
              <w:rPr>
                <w:rFonts w:hint="default" w:ascii="Times New Roman" w:hAnsi="Times New Roman" w:eastAsia="宋体" w:cs="Times New Roman"/>
                <w:color w:val="auto"/>
              </w:rPr>
            </w:pPr>
            <w:r>
              <w:rPr>
                <w:rFonts w:hint="default" w:ascii="Times New Roman" w:hAnsi="Times New Roman" w:eastAsia="宋体" w:cs="Times New Roman"/>
                <w:color w:val="auto"/>
              </w:rPr>
              <mc:AlternateContent>
                <mc:Choice Requires="wps">
                  <w:drawing>
                    <wp:anchor distT="0" distB="0" distL="114300" distR="114300" simplePos="0" relativeHeight="251664384" behindDoc="0" locked="0" layoutInCell="1" allowOverlap="1">
                      <wp:simplePos x="0" y="0"/>
                      <wp:positionH relativeFrom="column">
                        <wp:posOffset>1034415</wp:posOffset>
                      </wp:positionH>
                      <wp:positionV relativeFrom="paragraph">
                        <wp:posOffset>113030</wp:posOffset>
                      </wp:positionV>
                      <wp:extent cx="2762250" cy="4000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762250" cy="400050"/>
                              </a:xfrm>
                              <a:prstGeom prst="rect">
                                <a:avLst/>
                              </a:prstGeom>
                              <a:noFill/>
                              <a:ln w="12700">
                                <a:noFill/>
                              </a:ln>
                            </wps:spPr>
                            <wps:txbx>
                              <w:txbxContent>
                                <w:p w14:paraId="2D6FB8FF">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3 施工期工艺流程图</w:t>
                                  </w:r>
                                </w:p>
                              </w:txbxContent>
                            </wps:txbx>
                            <wps:bodyPr upright="1"/>
                          </wps:wsp>
                        </a:graphicData>
                      </a:graphic>
                    </wp:anchor>
                  </w:drawing>
                </mc:Choice>
                <mc:Fallback>
                  <w:pict>
                    <v:shape id="_x0000_s1026" o:spid="_x0000_s1026" o:spt="202" type="#_x0000_t202" style="position:absolute;left:0pt;margin-left:81.45pt;margin-top:8.9pt;height:31.5pt;width:217.5pt;z-index:251664384;mso-width-relative:page;mso-height-relative:page;" filled="f" stroked="f" coordsize="21600,21600" o:gfxdata="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SQ&#10;8NfVAAAACQEAAA8AAAAAAAAAAQAgAAAAIgAAAGRycy9kb3ducmV2LnhtbFBLAQIUABQAAAAIAIdO&#10;4kDS9nGJtAEAAFgDAAAOAAAAAAAAAAEAIAAAACQBAABkcnMvZTJvRG9jLnhtbFBLBQYAAAAABgAG&#10;AFkBAABKBQAAAAA=&#10;">
                      <v:fill on="f" focussize="0,0"/>
                      <v:stroke on="f" weight="1pt"/>
                      <v:imagedata o:title=""/>
                      <o:lock v:ext="edit" aspectratio="f"/>
                      <v:textbox>
                        <w:txbxContent>
                          <w:p w14:paraId="2D6FB8FF">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3 施工期工艺流程图</w:t>
                            </w:r>
                          </w:p>
                        </w:txbxContent>
                      </v:textbox>
                    </v:shape>
                  </w:pict>
                </mc:Fallback>
              </mc:AlternateContent>
            </w:r>
          </w:p>
          <w:p w14:paraId="18BC8A05">
            <w:pPr>
              <w:pStyle w:val="2"/>
              <w:rPr>
                <w:rFonts w:hint="default" w:ascii="Times New Roman" w:hAnsi="Times New Roman" w:eastAsia="宋体" w:cs="Times New Roman"/>
                <w:color w:val="auto"/>
              </w:rPr>
            </w:pPr>
          </w:p>
          <w:p w14:paraId="5A8C22B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工艺简介：</w:t>
            </w:r>
          </w:p>
          <w:p w14:paraId="4E85A40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场地清理阶段：包括</w:t>
            </w:r>
            <w:r>
              <w:rPr>
                <w:rFonts w:hint="default" w:ascii="Times New Roman" w:hAnsi="Times New Roman" w:eastAsia="宋体" w:cs="Times New Roman"/>
                <w:color w:val="auto"/>
                <w:lang w:eastAsia="zh-CN"/>
              </w:rPr>
              <w:t>土地平整、</w:t>
            </w:r>
            <w:r>
              <w:rPr>
                <w:rFonts w:hint="default" w:ascii="Times New Roman" w:hAnsi="Times New Roman" w:eastAsia="宋体" w:cs="Times New Roman"/>
                <w:color w:val="auto"/>
              </w:rPr>
              <w:t>清运工程</w:t>
            </w: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垃圾等；</w:t>
            </w:r>
          </w:p>
          <w:p w14:paraId="402BE33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基础工程</w:t>
            </w:r>
            <w:r>
              <w:rPr>
                <w:rFonts w:hint="default" w:ascii="Times New Roman" w:hAnsi="Times New Roman" w:eastAsia="宋体" w:cs="Times New Roman"/>
                <w:color w:val="auto"/>
              </w:rPr>
              <w:t>阶段：包括挖掘、打桩、砌筑基础等；</w:t>
            </w:r>
          </w:p>
          <w:p w14:paraId="2BCAE8E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主体</w:t>
            </w:r>
            <w:r>
              <w:rPr>
                <w:rFonts w:hint="default" w:ascii="Times New Roman" w:hAnsi="Times New Roman" w:eastAsia="宋体" w:cs="Times New Roman"/>
                <w:color w:val="auto"/>
                <w:lang w:eastAsia="zh-CN"/>
              </w:rPr>
              <w:t>工程</w:t>
            </w:r>
            <w:r>
              <w:rPr>
                <w:rFonts w:hint="default" w:ascii="Times New Roman" w:hAnsi="Times New Roman" w:eastAsia="宋体" w:cs="Times New Roman"/>
                <w:color w:val="auto"/>
              </w:rPr>
              <w:t>阶段：包括钢筋、混凝土工程，砌体工程、回填土；</w:t>
            </w:r>
          </w:p>
          <w:p w14:paraId="105287B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装饰工程阶段：包括建筑物内外部装修、厂区地面清理、硬化等。</w:t>
            </w:r>
          </w:p>
          <w:p w14:paraId="7BD9EA9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设备安装阶段：主辅设备安装。</w:t>
            </w:r>
          </w:p>
          <w:p w14:paraId="2B057CD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工程验收阶段：检查厂区主辅工程建设，设备验收前维护等。</w:t>
            </w:r>
          </w:p>
          <w:p w14:paraId="6F8A0D6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）运营期</w:t>
            </w:r>
          </w:p>
          <w:p w14:paraId="7DB853F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rPr>
            </w:pPr>
            <w:r>
              <w:rPr>
                <w:color w:val="auto"/>
                <w:highlight w:val="none"/>
                <w:lang w:val="zh-CN"/>
              </w:rPr>
              <w:t>本项目</w:t>
            </w:r>
            <w:r>
              <w:rPr>
                <w:rFonts w:hint="eastAsia"/>
                <w:color w:val="auto"/>
                <w:highlight w:val="none"/>
                <w:lang w:val="zh-CN"/>
              </w:rPr>
              <w:t>建设</w:t>
            </w:r>
            <w:r>
              <w:rPr>
                <w:rFonts w:hint="eastAsia"/>
                <w:color w:val="auto"/>
                <w:highlight w:val="none"/>
                <w:lang w:val="en-US" w:eastAsia="zh-CN"/>
              </w:rPr>
              <w:t>1条年处理10万吨</w:t>
            </w:r>
            <w:r>
              <w:rPr>
                <w:rFonts w:hint="eastAsia" w:cs="Times New Roman"/>
                <w:color w:val="auto"/>
                <w:highlight w:val="none"/>
                <w:lang w:val="en-US" w:eastAsia="zh-CN"/>
              </w:rPr>
              <w:t>钢渣废料综合利用</w:t>
            </w:r>
            <w:r>
              <w:rPr>
                <w:rFonts w:hint="eastAsia"/>
                <w:color w:val="auto"/>
                <w:highlight w:val="none"/>
                <w:lang w:val="en-US" w:eastAsia="zh-CN"/>
              </w:rPr>
              <w:t>生产线</w:t>
            </w:r>
            <w:r>
              <w:rPr>
                <w:rFonts w:hint="eastAsia"/>
                <w:color w:val="auto"/>
                <w:highlight w:val="none"/>
                <w:lang w:eastAsia="zh-CN"/>
              </w:rPr>
              <w:t>，</w:t>
            </w:r>
            <w:r>
              <w:rPr>
                <w:color w:val="auto"/>
                <w:highlight w:val="none"/>
                <w:lang w:val="zh-CN"/>
              </w:rPr>
              <w:t>主要以</w:t>
            </w:r>
            <w:r>
              <w:rPr>
                <w:rFonts w:hint="eastAsia"/>
                <w:color w:val="auto"/>
                <w:highlight w:val="none"/>
                <w:lang w:eastAsia="zh-CN"/>
              </w:rPr>
              <w:t>外购废钢渣</w:t>
            </w:r>
            <w:r>
              <w:rPr>
                <w:color w:val="auto"/>
                <w:highlight w:val="none"/>
              </w:rPr>
              <w:t>为原料</w:t>
            </w:r>
            <w:r>
              <w:rPr>
                <w:rFonts w:hint="eastAsia"/>
                <w:color w:val="auto"/>
                <w:highlight w:val="none"/>
                <w:lang w:eastAsia="zh-CN"/>
              </w:rPr>
              <w:t>，采用筛选、除杂、粉磨除杂等工艺生产</w:t>
            </w:r>
            <w:r>
              <w:rPr>
                <w:rFonts w:hint="eastAsia"/>
                <w:color w:val="auto"/>
                <w:highlight w:val="none"/>
                <w:lang w:val="en-US" w:eastAsia="zh-CN"/>
              </w:rPr>
              <w:t>，</w:t>
            </w:r>
            <w:r>
              <w:rPr>
                <w:color w:val="auto"/>
                <w:highlight w:val="none"/>
              </w:rPr>
              <w:t>主要产品为</w:t>
            </w:r>
            <w:r>
              <w:rPr>
                <w:rFonts w:hint="eastAsia"/>
                <w:color w:val="auto"/>
                <w:highlight w:val="none"/>
                <w:lang w:eastAsia="zh-CN"/>
              </w:rPr>
              <w:t>制砖料</w:t>
            </w:r>
            <w:r>
              <w:rPr>
                <w:color w:val="auto"/>
                <w:highlight w:val="none"/>
              </w:rPr>
              <w:t>，</w:t>
            </w:r>
            <w:r>
              <w:rPr>
                <w:rFonts w:hint="eastAsia"/>
                <w:color w:val="auto"/>
                <w:highlight w:val="none"/>
                <w:lang w:eastAsia="zh-CN"/>
              </w:rPr>
              <w:t>副产品为含磁物料</w:t>
            </w:r>
            <w:r>
              <w:rPr>
                <w:rFonts w:hint="eastAsia"/>
                <w:color w:val="auto"/>
                <w:highlight w:val="none"/>
                <w:lang w:val="zh-CN"/>
              </w:rPr>
              <w:t>。</w:t>
            </w:r>
            <w:r>
              <w:rPr>
                <w:rFonts w:hint="eastAsia"/>
                <w:color w:val="auto"/>
                <w:highlight w:val="none"/>
              </w:rPr>
              <w:t>具体生</w:t>
            </w:r>
            <w:r>
              <w:rPr>
                <w:rFonts w:hint="eastAsia"/>
                <w:color w:val="auto"/>
              </w:rPr>
              <w:t>产工艺流程如下</w:t>
            </w:r>
            <w:r>
              <w:rPr>
                <w:rFonts w:hint="default" w:ascii="Times New Roman" w:hAnsi="Times New Roman" w:eastAsia="宋体" w:cs="Times New Roman"/>
                <w:color w:val="auto"/>
              </w:rPr>
              <w:t>：</w:t>
            </w:r>
          </w:p>
          <w:p w14:paraId="67922C2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①</w:t>
            </w:r>
            <w:r>
              <w:rPr>
                <w:rFonts w:hint="eastAsia" w:cs="Times New Roman"/>
                <w:color w:val="auto"/>
                <w:kern w:val="0"/>
                <w:sz w:val="24"/>
                <w:szCs w:val="24"/>
                <w:lang w:val="en-US" w:eastAsia="zh-CN" w:bidi="ar"/>
              </w:rPr>
              <w:t>储存、上料</w:t>
            </w:r>
            <w:r>
              <w:rPr>
                <w:rFonts w:hint="default" w:ascii="Times New Roman" w:hAnsi="Times New Roman" w:eastAsia="宋体" w:cs="Times New Roman"/>
                <w:color w:val="auto"/>
                <w:kern w:val="0"/>
                <w:sz w:val="24"/>
                <w:szCs w:val="24"/>
                <w:lang w:val="en-US" w:eastAsia="zh-CN" w:bidi="ar"/>
              </w:rPr>
              <w:t>：</w:t>
            </w:r>
            <w:r>
              <w:rPr>
                <w:rFonts w:hint="eastAsia"/>
                <w:color w:val="auto"/>
                <w:lang w:eastAsia="zh-CN"/>
              </w:rPr>
              <w:t>原料入厂后直接运至封闭式原料车间</w:t>
            </w:r>
            <w:r>
              <w:rPr>
                <w:rFonts w:hint="eastAsia"/>
                <w:color w:val="auto"/>
                <w:lang w:val="en-US" w:eastAsia="zh-CN"/>
              </w:rPr>
              <w:t>内存储</w:t>
            </w:r>
            <w:r>
              <w:rPr>
                <w:rFonts w:hint="eastAsia"/>
                <w:color w:val="auto"/>
                <w:lang w:eastAsia="zh-CN"/>
              </w:rPr>
              <w:t>，上料</w:t>
            </w:r>
            <w:r>
              <w:rPr>
                <w:rFonts w:hint="default" w:ascii="Times New Roman" w:hAnsi="Times New Roman" w:eastAsia="宋体" w:cs="Times New Roman"/>
                <w:color w:val="auto"/>
                <w:sz w:val="24"/>
                <w:szCs w:val="24"/>
                <w:lang w:val="en-US" w:eastAsia="zh-CN"/>
              </w:rPr>
              <w:t>由</w:t>
            </w:r>
            <w:r>
              <w:rPr>
                <w:rFonts w:hint="eastAsia" w:ascii="Times New Roman" w:hAnsi="Times New Roman" w:eastAsia="宋体" w:cs="Times New Roman"/>
                <w:color w:val="auto"/>
                <w:sz w:val="24"/>
                <w:szCs w:val="24"/>
                <w:lang w:val="en-US" w:eastAsia="zh-CN"/>
              </w:rPr>
              <w:t>装载机将</w:t>
            </w:r>
            <w:r>
              <w:rPr>
                <w:rFonts w:hint="eastAsia" w:cs="Times New Roman"/>
                <w:color w:val="auto"/>
                <w:sz w:val="24"/>
                <w:szCs w:val="24"/>
                <w:lang w:val="en-US" w:eastAsia="zh-CN"/>
              </w:rPr>
              <w:t>原料倒入</w:t>
            </w:r>
            <w:r>
              <w:rPr>
                <w:rFonts w:hint="eastAsia"/>
                <w:color w:val="auto"/>
                <w:lang w:val="en-US" w:eastAsia="zh-CN"/>
              </w:rPr>
              <w:t>上料仓口</w:t>
            </w:r>
            <w:r>
              <w:rPr>
                <w:rFonts w:hint="default"/>
                <w:color w:val="auto"/>
                <w:lang w:val="en-US" w:eastAsia="zh-CN"/>
              </w:rPr>
              <w:t>，</w:t>
            </w:r>
            <w:r>
              <w:rPr>
                <w:rFonts w:hint="eastAsia"/>
                <w:color w:val="auto"/>
                <w:lang w:val="en-US" w:eastAsia="zh-CN"/>
              </w:rPr>
              <w:t>通过运输皮带运至振动筛进行一次筛选</w:t>
            </w:r>
            <w:r>
              <w:rPr>
                <w:rFonts w:hint="default" w:ascii="Times New Roman" w:hAnsi="Times New Roman" w:eastAsia="宋体" w:cs="Times New Roman"/>
                <w:color w:val="auto"/>
                <w:kern w:val="0"/>
                <w:sz w:val="24"/>
                <w:szCs w:val="24"/>
                <w:lang w:val="en-US" w:eastAsia="zh-CN" w:bidi="ar"/>
              </w:rPr>
              <w:t>。</w:t>
            </w:r>
          </w:p>
          <w:p w14:paraId="66C9B6CE">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kern w:val="0"/>
                <w:sz w:val="24"/>
                <w:szCs w:val="24"/>
                <w:lang w:val="en-US" w:eastAsia="zh-CN" w:bidi="ar"/>
              </w:rPr>
              <w:t>此工序产生运输废气</w:t>
            </w:r>
            <w:r>
              <w:rPr>
                <w:rFonts w:hint="eastAsia" w:cs="Times New Roman"/>
                <w:b/>
                <w:bCs/>
                <w:color w:val="auto"/>
                <w:kern w:val="0"/>
                <w:sz w:val="24"/>
                <w:szCs w:val="24"/>
                <w:lang w:val="en-US" w:eastAsia="zh-CN" w:bidi="ar"/>
              </w:rPr>
              <w:t>、原料储存废气、上料废气、设备噪声及</w:t>
            </w:r>
            <w:r>
              <w:rPr>
                <w:rFonts w:hint="default" w:ascii="Times New Roman" w:hAnsi="Times New Roman" w:eastAsia="宋体" w:cs="Times New Roman"/>
                <w:b/>
                <w:bCs/>
                <w:color w:val="auto"/>
                <w:kern w:val="0"/>
                <w:sz w:val="24"/>
                <w:szCs w:val="24"/>
                <w:lang w:val="en-US" w:eastAsia="zh-CN" w:bidi="ar"/>
              </w:rPr>
              <w:t>车辆运输噪声。</w:t>
            </w:r>
          </w:p>
          <w:p w14:paraId="0CFF58E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eastAsia="宋体"/>
                <w:color w:val="auto"/>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②</w:t>
            </w:r>
            <w:r>
              <w:rPr>
                <w:rFonts w:hint="eastAsia" w:cs="Times New Roman"/>
                <w:color w:val="auto"/>
                <w:kern w:val="0"/>
                <w:sz w:val="24"/>
                <w:szCs w:val="24"/>
                <w:highlight w:val="none"/>
                <w:lang w:val="en-US" w:eastAsia="zh-CN" w:bidi="ar"/>
              </w:rPr>
              <w:t>一次筛选、除杂：物料进入振动筛，振动筛</w:t>
            </w:r>
            <w:r>
              <w:rPr>
                <w:rFonts w:hint="eastAsia"/>
                <w:color w:val="auto"/>
                <w:highlight w:val="none"/>
                <w:lang w:eastAsia="zh-CN"/>
              </w:rPr>
              <w:t>设置两层筛网</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孔径为</w:t>
            </w:r>
            <w:r>
              <w:rPr>
                <w:rFonts w:hint="eastAsia" w:cs="Times New Roman"/>
                <w:color w:val="auto"/>
                <w:sz w:val="24"/>
                <w:szCs w:val="24"/>
                <w:highlight w:val="none"/>
                <w:lang w:val="en-US" w:eastAsia="zh-CN"/>
              </w:rPr>
              <w:t>30m</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、15mm</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筛出物料粒径分别为</w:t>
            </w:r>
            <w:r>
              <w:rPr>
                <w:rFonts w:hint="eastAsia"/>
                <w:color w:val="auto"/>
                <w:highlight w:val="none"/>
                <w:lang w:val="en-US" w:eastAsia="zh-CN"/>
              </w:rPr>
              <w:t>＞30mm、30-15mm及&lt;15mm。其中＞30mm、30-15mm的物料</w:t>
            </w:r>
            <w:r>
              <w:rPr>
                <w:color w:val="auto"/>
                <w:highlight w:val="none"/>
              </w:rPr>
              <w:t>均经皮带输送机末端</w:t>
            </w:r>
            <w:r>
              <w:rPr>
                <w:rFonts w:hint="eastAsia"/>
                <w:color w:val="auto"/>
                <w:highlight w:val="none"/>
                <w:lang w:val="en-US" w:eastAsia="zh-CN"/>
              </w:rPr>
              <w:t>1#</w:t>
            </w:r>
            <w:r>
              <w:rPr>
                <w:color w:val="auto"/>
                <w:highlight w:val="none"/>
              </w:rPr>
              <w:t>磁滑轮分选，</w:t>
            </w:r>
            <w:r>
              <w:rPr>
                <w:rFonts w:hint="eastAsia"/>
                <w:color w:val="auto"/>
                <w:highlight w:val="none"/>
                <w:lang w:val="en-US" w:eastAsia="zh-CN"/>
              </w:rPr>
              <w:t>磁性物料（铁块）落至运输皮带送至滚筒筛二次筛选，非磁性物料直接落下，由运输车运至封闭式成品车间内</w:t>
            </w:r>
            <w:r>
              <w:rPr>
                <w:rFonts w:hint="eastAsia"/>
                <w:color w:val="auto"/>
                <w:highlight w:val="none"/>
                <w:lang w:eastAsia="zh-CN"/>
              </w:rPr>
              <w:t>；</w:t>
            </w:r>
            <w:r>
              <w:rPr>
                <w:rFonts w:hint="eastAsia"/>
                <w:color w:val="auto"/>
                <w:highlight w:val="none"/>
                <w:lang w:val="en-US" w:eastAsia="zh-CN"/>
              </w:rPr>
              <w:t>&lt;15mm的物料直接落至输送机，</w:t>
            </w:r>
            <w:r>
              <w:rPr>
                <w:color w:val="auto"/>
                <w:highlight w:val="none"/>
              </w:rPr>
              <w:t>经皮带输送机末端</w:t>
            </w:r>
            <w:r>
              <w:rPr>
                <w:rFonts w:hint="eastAsia"/>
                <w:color w:val="auto"/>
                <w:highlight w:val="none"/>
                <w:lang w:val="en-US" w:eastAsia="zh-CN"/>
              </w:rPr>
              <w:t>2#</w:t>
            </w:r>
            <w:r>
              <w:rPr>
                <w:color w:val="auto"/>
                <w:highlight w:val="none"/>
              </w:rPr>
              <w:t>磁滑轮分选</w:t>
            </w:r>
            <w:r>
              <w:rPr>
                <w:rFonts w:hint="eastAsia"/>
                <w:color w:val="auto"/>
                <w:highlight w:val="none"/>
                <w:lang w:eastAsia="zh-CN"/>
              </w:rPr>
              <w:t>。</w:t>
            </w:r>
          </w:p>
          <w:p w14:paraId="180FEC99">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kern w:val="0"/>
                <w:sz w:val="24"/>
                <w:szCs w:val="24"/>
                <w:lang w:val="en-US" w:eastAsia="zh-CN" w:bidi="ar"/>
              </w:rPr>
              <w:t>此工序产生</w:t>
            </w:r>
            <w:r>
              <w:rPr>
                <w:rFonts w:hint="eastAsia" w:ascii="Times New Roman" w:hAnsi="Times New Roman" w:eastAsia="宋体" w:cs="Times New Roman"/>
                <w:b/>
                <w:bCs/>
                <w:color w:val="auto"/>
                <w:kern w:val="0"/>
                <w:sz w:val="24"/>
                <w:szCs w:val="24"/>
                <w:lang w:val="en-US" w:eastAsia="zh-CN" w:bidi="ar"/>
              </w:rPr>
              <w:t>筛分</w:t>
            </w:r>
            <w:r>
              <w:rPr>
                <w:rFonts w:hint="default" w:ascii="Times New Roman" w:hAnsi="Times New Roman" w:eastAsia="宋体" w:cs="Times New Roman"/>
                <w:b/>
                <w:bCs/>
                <w:color w:val="auto"/>
                <w:kern w:val="0"/>
                <w:sz w:val="24"/>
                <w:szCs w:val="24"/>
                <w:lang w:val="en-US" w:eastAsia="zh-CN" w:bidi="ar"/>
              </w:rPr>
              <w:t>废</w:t>
            </w:r>
            <w:r>
              <w:rPr>
                <w:rFonts w:hint="eastAsia" w:cs="Times New Roman"/>
                <w:b/>
                <w:bCs/>
                <w:color w:val="auto"/>
                <w:kern w:val="0"/>
                <w:sz w:val="24"/>
                <w:szCs w:val="24"/>
                <w:lang w:val="en-US" w:eastAsia="zh-CN" w:bidi="ar"/>
              </w:rPr>
              <w:t>气、磁选废气及设备噪声</w:t>
            </w:r>
            <w:r>
              <w:rPr>
                <w:rFonts w:hint="default" w:ascii="Times New Roman" w:hAnsi="Times New Roman" w:eastAsia="宋体" w:cs="Times New Roman"/>
                <w:b/>
                <w:bCs/>
                <w:color w:val="auto"/>
                <w:kern w:val="0"/>
                <w:sz w:val="24"/>
                <w:szCs w:val="24"/>
                <w:lang w:val="en-US" w:eastAsia="zh-CN" w:bidi="ar"/>
              </w:rPr>
              <w:t>。</w:t>
            </w:r>
          </w:p>
          <w:p w14:paraId="543731BB">
            <w:pPr>
              <w:keepNext w:val="0"/>
              <w:keepLines w:val="0"/>
              <w:pageBreakBefore w:val="0"/>
              <w:kinsoku/>
              <w:wordWrap/>
              <w:overflowPunct/>
              <w:topLinePunct w:val="0"/>
              <w:bidi w:val="0"/>
              <w:adjustRightInd/>
              <w:snapToGrid/>
              <w:spacing w:line="500" w:lineRule="exact"/>
              <w:ind w:firstLine="480" w:firstLineChars="200"/>
              <w:jc w:val="left"/>
              <w:textAlignment w:val="auto"/>
              <w:rPr>
                <w:rFonts w:hint="eastAsia"/>
                <w:color w:val="auto"/>
                <w:highlight w:val="none"/>
                <w:lang w:val="en-US" w:eastAsia="zh-CN"/>
              </w:rPr>
            </w:pPr>
            <w:r>
              <w:rPr>
                <w:rFonts w:hint="eastAsia"/>
                <w:color w:val="auto"/>
                <w:highlight w:val="none"/>
                <w:lang w:val="en-US" w:eastAsia="zh-CN"/>
              </w:rPr>
              <w:t>③二次筛选：落入滚筒筛中的磁性物料（铁块），滚筒筛在一定转速下旋转，物料在其中翻转与滚动，较细的物料通过筛孔流出落至封闭式成品车间内，含磁的粗物料沿着筛管旋转至出料口排出。</w:t>
            </w:r>
          </w:p>
          <w:p w14:paraId="3DF0CE18">
            <w:pPr>
              <w:pStyle w:val="2"/>
              <w:keepNext w:val="0"/>
              <w:keepLines w:val="0"/>
              <w:pageBreakBefore w:val="0"/>
              <w:kinsoku/>
              <w:wordWrap/>
              <w:overflowPunct/>
              <w:topLinePunct w:val="0"/>
              <w:bidi w:val="0"/>
              <w:adjustRightInd/>
              <w:snapToGrid/>
              <w:spacing w:line="500" w:lineRule="exact"/>
              <w:ind w:firstLine="482" w:firstLineChars="200"/>
              <w:jc w:val="left"/>
              <w:textAlignment w:val="auto"/>
              <w:rPr>
                <w:rFonts w:hint="eastAsia" w:cs="Times New Roman"/>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此工序产生的污染物为</w:t>
            </w:r>
            <w:r>
              <w:rPr>
                <w:rFonts w:hint="eastAsia" w:cs="Times New Roman"/>
                <w:b/>
                <w:bCs/>
                <w:color w:val="auto"/>
                <w:kern w:val="0"/>
                <w:sz w:val="24"/>
                <w:szCs w:val="24"/>
                <w:lang w:val="en-US" w:eastAsia="zh-CN" w:bidi="ar"/>
              </w:rPr>
              <w:t>筛分</w:t>
            </w:r>
            <w:r>
              <w:rPr>
                <w:rFonts w:hint="default" w:ascii="Times New Roman" w:hAnsi="Times New Roman" w:eastAsia="宋体" w:cs="Times New Roman"/>
                <w:b/>
                <w:bCs/>
                <w:color w:val="auto"/>
                <w:kern w:val="0"/>
                <w:sz w:val="24"/>
                <w:szCs w:val="24"/>
                <w:lang w:val="en-US" w:eastAsia="zh-CN" w:bidi="ar"/>
              </w:rPr>
              <w:t>废气</w:t>
            </w:r>
            <w:r>
              <w:rPr>
                <w:rFonts w:hint="eastAsia" w:cs="Times New Roman"/>
                <w:b/>
                <w:bCs/>
                <w:color w:val="auto"/>
                <w:kern w:val="0"/>
                <w:sz w:val="24"/>
                <w:szCs w:val="24"/>
                <w:lang w:val="en-US" w:eastAsia="zh-CN" w:bidi="ar"/>
              </w:rPr>
              <w:t>及</w:t>
            </w:r>
            <w:r>
              <w:rPr>
                <w:rFonts w:hint="default" w:ascii="Times New Roman" w:hAnsi="Times New Roman" w:eastAsia="宋体" w:cs="Times New Roman"/>
                <w:b/>
                <w:bCs/>
                <w:color w:val="auto"/>
                <w:kern w:val="0"/>
                <w:sz w:val="24"/>
                <w:szCs w:val="24"/>
                <w:lang w:val="en-US" w:eastAsia="zh-CN" w:bidi="ar"/>
              </w:rPr>
              <w:t>设备运行噪声</w:t>
            </w:r>
          </w:p>
          <w:p w14:paraId="1364AD95">
            <w:pPr>
              <w:pStyle w:val="2"/>
              <w:keepNext w:val="0"/>
              <w:keepLines w:val="0"/>
              <w:pageBreakBefore w:val="0"/>
              <w:kinsoku/>
              <w:wordWrap/>
              <w:overflowPunct/>
              <w:topLinePunct w:val="0"/>
              <w:bidi w:val="0"/>
              <w:adjustRightInd/>
              <w:snapToGrid/>
              <w:spacing w:line="500" w:lineRule="exact"/>
              <w:ind w:firstLine="480" w:firstLineChars="200"/>
              <w:jc w:val="left"/>
              <w:textAlignment w:val="auto"/>
              <w:rPr>
                <w:rFonts w:hint="eastAsia"/>
                <w:color w:val="auto"/>
                <w:highlight w:val="none"/>
                <w:lang w:val="en-US" w:eastAsia="zh-CN"/>
              </w:rPr>
            </w:pPr>
            <w:r>
              <w:rPr>
                <w:rFonts w:hint="eastAsia" w:cs="Times New Roman"/>
                <w:color w:val="auto"/>
                <w:kern w:val="0"/>
                <w:sz w:val="24"/>
                <w:szCs w:val="24"/>
                <w:lang w:val="en-US" w:eastAsia="zh-CN" w:bidi="ar"/>
              </w:rPr>
              <w:t>④二次除杂</w:t>
            </w:r>
            <w:r>
              <w:rPr>
                <w:rFonts w:hint="default" w:ascii="Times New Roman" w:hAnsi="Times New Roman" w:eastAsia="宋体" w:cs="Times New Roman"/>
                <w:color w:val="auto"/>
                <w:kern w:val="0"/>
                <w:sz w:val="24"/>
                <w:szCs w:val="24"/>
                <w:lang w:val="en-US" w:eastAsia="zh-CN" w:bidi="ar"/>
              </w:rPr>
              <w:t>：＜</w:t>
            </w:r>
            <w:r>
              <w:rPr>
                <w:rFonts w:hint="eastAsia"/>
                <w:color w:val="auto"/>
                <w:lang w:val="en-US" w:eastAsia="zh-CN"/>
              </w:rPr>
              <w:t>15mm物料</w:t>
            </w:r>
            <w:r>
              <w:rPr>
                <w:color w:val="auto"/>
                <w:highlight w:val="none"/>
              </w:rPr>
              <w:t>经皮带输送机末端</w:t>
            </w:r>
            <w:r>
              <w:rPr>
                <w:rFonts w:hint="eastAsia"/>
                <w:color w:val="auto"/>
                <w:highlight w:val="none"/>
                <w:lang w:val="en-US" w:eastAsia="zh-CN"/>
              </w:rPr>
              <w:t>2#</w:t>
            </w:r>
            <w:r>
              <w:rPr>
                <w:color w:val="auto"/>
                <w:highlight w:val="none"/>
              </w:rPr>
              <w:t>磁滑轮分选，</w:t>
            </w:r>
            <w:r>
              <w:rPr>
                <w:rFonts w:hint="eastAsia"/>
                <w:color w:val="auto"/>
                <w:highlight w:val="none"/>
                <w:lang w:val="en-US" w:eastAsia="zh-CN"/>
              </w:rPr>
              <w:t>磁性物料（铁块）通过溜槽落入球磨机内进行粉磨除杂，非磁性物料（制砖料）直接落下，由运输车运至封闭式成品车间内。</w:t>
            </w:r>
          </w:p>
          <w:p w14:paraId="6BB90494">
            <w:pPr>
              <w:pStyle w:val="2"/>
              <w:keepNext w:val="0"/>
              <w:keepLines w:val="0"/>
              <w:pageBreakBefore w:val="0"/>
              <w:kinsoku/>
              <w:wordWrap/>
              <w:overflowPunct/>
              <w:topLinePunct w:val="0"/>
              <w:bidi w:val="0"/>
              <w:adjustRightInd/>
              <w:snapToGrid/>
              <w:spacing w:line="500" w:lineRule="exact"/>
              <w:ind w:firstLine="482" w:firstLineChars="200"/>
              <w:jc w:val="left"/>
              <w:textAlignment w:val="auto"/>
              <w:rPr>
                <w:rFonts w:hint="eastAsia" w:cs="Times New Roman"/>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此工序产生的污染物为</w:t>
            </w:r>
            <w:r>
              <w:rPr>
                <w:rFonts w:hint="eastAsia" w:cs="Times New Roman"/>
                <w:b/>
                <w:bCs/>
                <w:color w:val="auto"/>
                <w:kern w:val="0"/>
                <w:sz w:val="24"/>
                <w:szCs w:val="24"/>
                <w:lang w:val="en-US" w:eastAsia="zh-CN" w:bidi="ar"/>
              </w:rPr>
              <w:t>磁选</w:t>
            </w:r>
            <w:r>
              <w:rPr>
                <w:rFonts w:hint="default" w:ascii="Times New Roman" w:hAnsi="Times New Roman" w:eastAsia="宋体" w:cs="Times New Roman"/>
                <w:b/>
                <w:bCs/>
                <w:color w:val="auto"/>
                <w:kern w:val="0"/>
                <w:sz w:val="24"/>
                <w:szCs w:val="24"/>
                <w:lang w:val="en-US" w:eastAsia="zh-CN" w:bidi="ar"/>
              </w:rPr>
              <w:t>废气</w:t>
            </w:r>
            <w:r>
              <w:rPr>
                <w:rFonts w:hint="eastAsia" w:cs="Times New Roman"/>
                <w:b/>
                <w:bCs/>
                <w:color w:val="auto"/>
                <w:kern w:val="0"/>
                <w:sz w:val="24"/>
                <w:szCs w:val="24"/>
                <w:lang w:val="en-US" w:eastAsia="zh-CN" w:bidi="ar"/>
              </w:rPr>
              <w:t>及</w:t>
            </w:r>
            <w:r>
              <w:rPr>
                <w:rFonts w:hint="default" w:ascii="Times New Roman" w:hAnsi="Times New Roman" w:eastAsia="宋体" w:cs="Times New Roman"/>
                <w:b/>
                <w:bCs/>
                <w:color w:val="auto"/>
                <w:kern w:val="0"/>
                <w:sz w:val="24"/>
                <w:szCs w:val="24"/>
                <w:lang w:val="en-US" w:eastAsia="zh-CN" w:bidi="ar"/>
              </w:rPr>
              <w:t>设备运行噪声</w:t>
            </w:r>
          </w:p>
          <w:p w14:paraId="518B535F">
            <w:pPr>
              <w:pStyle w:val="2"/>
              <w:keepNext w:val="0"/>
              <w:keepLines w:val="0"/>
              <w:pageBreakBefore w:val="0"/>
              <w:kinsoku/>
              <w:wordWrap/>
              <w:overflowPunct/>
              <w:topLinePunct w:val="0"/>
              <w:bidi w:val="0"/>
              <w:adjustRightInd/>
              <w:snapToGrid/>
              <w:spacing w:line="500" w:lineRule="exact"/>
              <w:ind w:firstLine="480" w:firstLineChars="200"/>
              <w:jc w:val="left"/>
              <w:textAlignment w:val="auto"/>
              <w:rPr>
                <w:rFonts w:hint="eastAsia" w:eastAsia="宋体"/>
                <w:color w:val="auto"/>
                <w:highlight w:val="none"/>
                <w:lang w:val="en-US" w:eastAsia="zh-CN"/>
              </w:rPr>
            </w:pPr>
            <w:r>
              <w:rPr>
                <w:rFonts w:hint="eastAsia"/>
                <w:color w:val="auto"/>
                <w:highlight w:val="none"/>
                <w:lang w:val="en-US" w:eastAsia="zh-CN"/>
              </w:rPr>
              <w:t>⑤粉磨除杂：</w:t>
            </w:r>
            <w:r>
              <w:rPr>
                <w:rFonts w:hint="eastAsia" w:cs="宋体"/>
                <w:color w:val="auto"/>
                <w:highlight w:val="none"/>
              </w:rPr>
              <w:t>分选后物料通过皮带输送机进入球磨机进行球磨</w:t>
            </w:r>
            <w:r>
              <w:rPr>
                <w:rFonts w:hint="eastAsia"/>
                <w:color w:val="auto"/>
                <w:highlight w:val="none"/>
              </w:rPr>
              <w:t>，</w:t>
            </w:r>
            <w:r>
              <w:rPr>
                <w:rFonts w:hint="eastAsia"/>
                <w:color w:val="auto"/>
                <w:highlight w:val="none"/>
                <w:lang w:val="en-US" w:eastAsia="zh-CN"/>
              </w:rPr>
              <w:t>球磨机是自带筛网形成封闭的粉磨—筛分循环系统，当磨机转动时，硬质球体在摩擦力的作用下，被呈阶梯排布的衬板带动着连续进行抛射运动，物料由于受到运动着的钢球的冲击和研磨而被高度粉碎</w:t>
            </w:r>
            <w:r>
              <w:rPr>
                <w:rFonts w:hint="eastAsia" w:ascii="Arial" w:hAnsi="Arial" w:eastAsia="宋体" w:cs="Arial"/>
                <w:i w:val="0"/>
                <w:iCs w:val="0"/>
                <w:caps w:val="0"/>
                <w:color w:val="auto"/>
                <w:spacing w:val="0"/>
                <w:sz w:val="24"/>
                <w:szCs w:val="24"/>
                <w:highlight w:val="none"/>
                <w:shd w:val="clear" w:fill="FFFFFF"/>
                <w:lang w:eastAsia="zh-CN"/>
              </w:rPr>
              <w:t>，</w:t>
            </w:r>
            <w:r>
              <w:rPr>
                <w:rFonts w:hint="eastAsia"/>
                <w:color w:val="auto"/>
                <w:highlight w:val="none"/>
              </w:rPr>
              <w:t>该工序</w:t>
            </w:r>
            <w:r>
              <w:rPr>
                <w:rFonts w:hint="eastAsia"/>
                <w:color w:val="auto"/>
                <w:highlight w:val="none"/>
                <w:lang w:eastAsia="zh-CN"/>
              </w:rPr>
              <w:t>采用</w:t>
            </w:r>
            <w:r>
              <w:rPr>
                <w:rFonts w:hint="eastAsia"/>
                <w:color w:val="auto"/>
                <w:highlight w:val="none"/>
              </w:rPr>
              <w:t>湿式球磨，物料进入球磨机的同时，采用水泵将水一同注入球磨机内。</w:t>
            </w:r>
            <w:r>
              <w:rPr>
                <w:rFonts w:hint="eastAsia"/>
                <w:color w:val="auto"/>
                <w:highlight w:val="none"/>
                <w:lang w:val="en-US" w:eastAsia="zh-CN"/>
              </w:rPr>
              <w:t>被粉碎的物料经衬板筛孔排出，进入筛网分区，＞3mm经过</w:t>
            </w:r>
            <w:r>
              <w:rPr>
                <w:color w:val="auto"/>
                <w:highlight w:val="none"/>
              </w:rPr>
              <w:t>皮带输送机</w:t>
            </w:r>
            <w:r>
              <w:rPr>
                <w:rFonts w:hint="eastAsia"/>
                <w:color w:val="auto"/>
                <w:highlight w:val="none"/>
                <w:lang w:eastAsia="zh-CN"/>
              </w:rPr>
              <w:t>末端</w:t>
            </w:r>
            <w:r>
              <w:rPr>
                <w:rFonts w:hint="eastAsia"/>
                <w:color w:val="auto"/>
                <w:highlight w:val="none"/>
                <w:lang w:val="en-US" w:eastAsia="zh-CN"/>
              </w:rPr>
              <w:t>3#磁滑轮进行除杂选出磁性物（铁渣）运至封闭式成品车间内；非磁性物料直接落下，由运输车运至封闭式成品车间内；</w:t>
            </w:r>
            <w:r>
              <w:rPr>
                <w:rFonts w:hint="default" w:ascii="Times New Roman" w:hAnsi="Times New Roman" w:eastAsia="宋体" w:cs="Times New Roman"/>
                <w:color w:val="auto"/>
                <w:kern w:val="0"/>
                <w:sz w:val="24"/>
                <w:szCs w:val="24"/>
                <w:highlight w:val="none"/>
                <w:lang w:val="en-US" w:eastAsia="zh-CN" w:bidi="ar"/>
              </w:rPr>
              <w:t>＜</w:t>
            </w:r>
            <w:r>
              <w:rPr>
                <w:rFonts w:hint="eastAsia"/>
                <w:color w:val="auto"/>
                <w:highlight w:val="none"/>
                <w:lang w:val="en-US" w:eastAsia="zh-CN"/>
              </w:rPr>
              <w:t>3mm物料随水一起流入1#磁选机</w:t>
            </w:r>
            <w:r>
              <w:rPr>
                <w:rFonts w:hint="eastAsia"/>
                <w:color w:val="auto"/>
                <w:lang w:eastAsia="zh-CN"/>
              </w:rPr>
              <w:t>。</w:t>
            </w:r>
          </w:p>
          <w:p w14:paraId="1611B183">
            <w:pPr>
              <w:pStyle w:val="2"/>
              <w:keepNext w:val="0"/>
              <w:keepLines w:val="0"/>
              <w:pageBreakBefore w:val="0"/>
              <w:kinsoku/>
              <w:wordWrap/>
              <w:overflowPunct/>
              <w:topLinePunct w:val="0"/>
              <w:bidi w:val="0"/>
              <w:adjustRightInd/>
              <w:snapToGrid/>
              <w:spacing w:line="500" w:lineRule="exact"/>
              <w:ind w:firstLine="482" w:firstLineChars="200"/>
              <w:jc w:val="left"/>
              <w:textAlignment w:val="auto"/>
              <w:rPr>
                <w:rFonts w:hint="eastAsia"/>
                <w:color w:val="auto"/>
                <w:highlight w:val="none"/>
                <w:lang w:val="en-US" w:eastAsia="zh-CN"/>
              </w:rPr>
            </w:pPr>
            <w:r>
              <w:rPr>
                <w:rFonts w:hint="default" w:ascii="Times New Roman" w:hAnsi="Times New Roman" w:eastAsia="宋体" w:cs="Times New Roman"/>
                <w:b/>
                <w:bCs/>
                <w:color w:val="auto"/>
                <w:kern w:val="0"/>
                <w:sz w:val="24"/>
                <w:szCs w:val="24"/>
                <w:lang w:val="en-US" w:eastAsia="zh-CN" w:bidi="ar"/>
              </w:rPr>
              <w:t>此工序产生的污染物为设备运行噪声。</w:t>
            </w:r>
          </w:p>
          <w:p w14:paraId="39F17D68">
            <w:pPr>
              <w:pStyle w:val="2"/>
              <w:keepNext w:val="0"/>
              <w:keepLines w:val="0"/>
              <w:pageBreakBefore w:val="0"/>
              <w:kinsoku/>
              <w:wordWrap/>
              <w:overflowPunct/>
              <w:topLinePunct w:val="0"/>
              <w:bidi w:val="0"/>
              <w:adjustRightInd/>
              <w:snapToGrid/>
              <w:spacing w:line="500" w:lineRule="exact"/>
              <w:ind w:firstLine="480" w:firstLineChars="200"/>
              <w:jc w:val="left"/>
              <w:textAlignment w:val="auto"/>
              <w:rPr>
                <w:rFonts w:hint="eastAsia"/>
                <w:color w:val="auto"/>
                <w:lang w:val="en-US" w:eastAsia="zh-CN"/>
              </w:rPr>
            </w:pPr>
            <w:r>
              <w:rPr>
                <w:rFonts w:hint="eastAsia"/>
                <w:color w:val="auto"/>
                <w:highlight w:val="none"/>
                <w:lang w:val="en-US" w:eastAsia="zh-CN"/>
              </w:rPr>
              <w:t>⑥</w:t>
            </w:r>
            <w:r>
              <w:rPr>
                <w:rFonts w:hint="eastAsia" w:cs="Times New Roman"/>
                <w:color w:val="auto"/>
                <w:kern w:val="0"/>
                <w:sz w:val="24"/>
                <w:szCs w:val="24"/>
                <w:highlight w:val="none"/>
                <w:lang w:val="en-US" w:eastAsia="zh-CN" w:bidi="ar"/>
              </w:rPr>
              <w:t>四次除杂</w:t>
            </w:r>
            <w:r>
              <w:rPr>
                <w:rFonts w:hint="default" w:ascii="Times New Roman" w:hAnsi="Times New Roman" w:eastAsia="宋体" w:cs="Times New Roman"/>
                <w:color w:val="auto"/>
                <w:kern w:val="0"/>
                <w:sz w:val="24"/>
                <w:szCs w:val="24"/>
                <w:highlight w:val="none"/>
                <w:lang w:val="en-US" w:eastAsia="zh-CN" w:bidi="ar"/>
              </w:rPr>
              <w:t>：＜</w:t>
            </w:r>
            <w:r>
              <w:rPr>
                <w:rFonts w:hint="eastAsia"/>
                <w:color w:val="auto"/>
                <w:highlight w:val="none"/>
                <w:lang w:val="en-US" w:eastAsia="zh-CN"/>
              </w:rPr>
              <w:t>3mm物料随水一起流入1#磁选机进行除杂，</w:t>
            </w:r>
            <w:r>
              <w:rPr>
                <w:rFonts w:hint="eastAsia"/>
                <w:color w:val="auto"/>
                <w:lang w:val="en-US" w:eastAsia="zh-CN"/>
              </w:rPr>
              <w:t>当物料与水一起流入磁场区时，其中含磁性物料被吸附在圆筒表面，随着圆筒旋转被带出磁场区随水从溜槽流入1#、2#高频筛进行筛选，而非磁性的物料随水从溜槽进入2#盘式过滤机中进行过滤。</w:t>
            </w:r>
          </w:p>
          <w:p w14:paraId="4E65501E">
            <w:pPr>
              <w:pStyle w:val="2"/>
              <w:keepNext w:val="0"/>
              <w:keepLines w:val="0"/>
              <w:pageBreakBefore w:val="0"/>
              <w:kinsoku/>
              <w:wordWrap/>
              <w:overflowPunct/>
              <w:topLinePunct w:val="0"/>
              <w:bidi w:val="0"/>
              <w:adjustRightInd/>
              <w:snapToGrid/>
              <w:spacing w:line="500" w:lineRule="exact"/>
              <w:ind w:firstLine="482" w:firstLineChars="200"/>
              <w:jc w:val="left"/>
              <w:textAlignment w:val="auto"/>
              <w:rPr>
                <w:rFonts w:hint="eastAsia"/>
                <w:color w:val="auto"/>
                <w:lang w:val="en-US" w:eastAsia="zh-CN"/>
              </w:rPr>
            </w:pPr>
            <w:r>
              <w:rPr>
                <w:rFonts w:hint="default" w:ascii="Times New Roman" w:hAnsi="Times New Roman" w:eastAsia="宋体" w:cs="Times New Roman"/>
                <w:b/>
                <w:bCs/>
                <w:color w:val="auto"/>
                <w:kern w:val="0"/>
                <w:sz w:val="24"/>
                <w:szCs w:val="24"/>
                <w:lang w:val="en-US" w:eastAsia="zh-CN" w:bidi="ar"/>
              </w:rPr>
              <w:t>此工序产生的污染物为设备运行噪声。</w:t>
            </w:r>
          </w:p>
          <w:p w14:paraId="1E9AAFE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color w:val="auto"/>
                <w:lang w:val="en-US" w:eastAsia="zh-CN"/>
              </w:rPr>
              <w:t>⑦再次筛选、除杂：1#、2#</w:t>
            </w:r>
            <w:r>
              <w:rPr>
                <w:rFonts w:hint="eastAsia" w:cs="Times New Roman"/>
                <w:color w:val="auto"/>
                <w:kern w:val="0"/>
                <w:sz w:val="24"/>
                <w:szCs w:val="24"/>
                <w:lang w:val="en-US" w:eastAsia="zh-CN" w:bidi="ar"/>
              </w:rPr>
              <w:t>高频筛设置</w:t>
            </w:r>
            <w:r>
              <w:rPr>
                <w:rFonts w:hint="eastAsia"/>
                <w:color w:val="auto"/>
                <w:highlight w:val="none"/>
                <w:lang w:eastAsia="zh-CN"/>
              </w:rPr>
              <w:t>两层筛网</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孔径为</w:t>
            </w:r>
            <w:r>
              <w:rPr>
                <w:rFonts w:hint="eastAsia" w:cs="Times New Roman"/>
                <w:color w:val="auto"/>
                <w:kern w:val="0"/>
                <w:sz w:val="24"/>
                <w:szCs w:val="24"/>
                <w:lang w:val="en-US" w:eastAsia="zh-CN" w:bidi="ar"/>
              </w:rPr>
              <w:t>50目、15目，</w:t>
            </w:r>
            <w:r>
              <w:rPr>
                <w:rFonts w:hint="eastAsia" w:cs="Times New Roman"/>
                <w:color w:val="auto"/>
                <w:sz w:val="24"/>
                <w:szCs w:val="24"/>
                <w:highlight w:val="none"/>
                <w:lang w:val="en-US" w:eastAsia="zh-CN"/>
              </w:rPr>
              <w:t>筛出物料粒径分别为</w:t>
            </w:r>
            <w:r>
              <w:rPr>
                <w:rFonts w:hint="eastAsia"/>
                <w:color w:val="auto"/>
                <w:highlight w:val="none"/>
                <w:lang w:val="en-US" w:eastAsia="zh-CN"/>
              </w:rPr>
              <w:t>＞15</w:t>
            </w:r>
            <w:r>
              <w:rPr>
                <w:rFonts w:hint="eastAsia"/>
                <w:color w:val="auto"/>
                <w:lang w:val="en-US" w:eastAsia="zh-CN"/>
              </w:rPr>
              <w:t>目</w:t>
            </w:r>
            <w:r>
              <w:rPr>
                <w:rFonts w:hint="eastAsia"/>
                <w:color w:val="auto"/>
                <w:highlight w:val="none"/>
                <w:lang w:val="en-US" w:eastAsia="zh-CN"/>
              </w:rPr>
              <w:t>、50-15</w:t>
            </w:r>
            <w:r>
              <w:rPr>
                <w:rFonts w:hint="eastAsia"/>
                <w:color w:val="auto"/>
                <w:lang w:val="en-US" w:eastAsia="zh-CN"/>
              </w:rPr>
              <w:t>目</w:t>
            </w:r>
            <w:r>
              <w:rPr>
                <w:rFonts w:hint="eastAsia"/>
                <w:color w:val="auto"/>
                <w:highlight w:val="none"/>
                <w:lang w:val="en-US" w:eastAsia="zh-CN"/>
              </w:rPr>
              <w:t>及&lt;50</w:t>
            </w:r>
            <w:r>
              <w:rPr>
                <w:rFonts w:hint="eastAsia"/>
                <w:color w:val="auto"/>
                <w:lang w:val="en-US" w:eastAsia="zh-CN"/>
              </w:rPr>
              <w:t>目</w:t>
            </w:r>
            <w:r>
              <w:rPr>
                <w:rFonts w:hint="eastAsia"/>
                <w:color w:val="auto"/>
                <w:highlight w:val="none"/>
                <w:lang w:val="en-US" w:eastAsia="zh-CN"/>
              </w:rPr>
              <w:t>。其中</w:t>
            </w:r>
            <w:r>
              <w:rPr>
                <w:rFonts w:hint="eastAsia"/>
                <w:color w:val="auto"/>
                <w:lang w:val="en-US" w:eastAsia="zh-CN"/>
              </w:rPr>
              <w:t>＞15目的物料返回球磨机二次处理，50-15目、</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50目的物料</w:t>
            </w:r>
            <w:r>
              <w:rPr>
                <w:rFonts w:hint="eastAsia" w:cs="Times New Roman"/>
                <w:color w:val="auto"/>
                <w:kern w:val="0"/>
                <w:sz w:val="24"/>
                <w:szCs w:val="24"/>
                <w:lang w:val="en-US" w:eastAsia="zh-CN" w:bidi="ar"/>
              </w:rPr>
              <w:t>则依次进入</w:t>
            </w:r>
            <w:r>
              <w:rPr>
                <w:rFonts w:hint="eastAsia"/>
                <w:color w:val="auto"/>
                <w:lang w:val="en-US" w:eastAsia="zh-CN"/>
              </w:rPr>
              <w:t>2#磁选机、3#磁选机再次除杂，通过磁选机选出的</w:t>
            </w:r>
            <w:r>
              <w:rPr>
                <w:rFonts w:hint="eastAsia"/>
                <w:color w:val="auto"/>
                <w:highlight w:val="none"/>
                <w:lang w:val="en-US" w:eastAsia="zh-CN"/>
              </w:rPr>
              <w:t>磁性物通过溜槽</w:t>
            </w:r>
            <w:r>
              <w:rPr>
                <w:rFonts w:hint="eastAsia"/>
                <w:color w:val="auto"/>
                <w:lang w:val="en-US" w:eastAsia="zh-CN"/>
              </w:rPr>
              <w:t>随水流入1#盘式过滤机中进行过滤，非磁性的物料</w:t>
            </w:r>
            <w:r>
              <w:rPr>
                <w:rFonts w:hint="eastAsia"/>
                <w:color w:val="auto"/>
                <w:highlight w:val="none"/>
                <w:lang w:val="en-US" w:eastAsia="zh-CN"/>
              </w:rPr>
              <w:t>通过溜槽</w:t>
            </w:r>
            <w:r>
              <w:rPr>
                <w:rFonts w:hint="eastAsia"/>
                <w:color w:val="auto"/>
                <w:lang w:val="en-US" w:eastAsia="zh-CN"/>
              </w:rPr>
              <w:t>随水溜入2#盘式过滤机中进行过滤。</w:t>
            </w:r>
          </w:p>
          <w:p w14:paraId="49C7DE7D">
            <w:pPr>
              <w:keepNext w:val="0"/>
              <w:keepLines w:val="0"/>
              <w:pageBreakBefore w:val="0"/>
              <w:kinsoku/>
              <w:wordWrap/>
              <w:overflowPunct/>
              <w:topLinePunct w:val="0"/>
              <w:bidi w:val="0"/>
              <w:adjustRightInd/>
              <w:snapToGrid/>
              <w:spacing w:line="500" w:lineRule="exact"/>
              <w:ind w:firstLine="482" w:firstLineChars="200"/>
              <w:jc w:val="left"/>
              <w:textAlignment w:val="auto"/>
              <w:rPr>
                <w:rFonts w:hint="eastAsia"/>
                <w:color w:val="auto"/>
                <w:lang w:val="en-US" w:eastAsia="zh-CN"/>
              </w:rPr>
            </w:pPr>
            <w:r>
              <w:rPr>
                <w:rFonts w:hint="default" w:ascii="Times New Roman" w:hAnsi="Times New Roman" w:eastAsia="宋体" w:cs="Times New Roman"/>
                <w:b/>
                <w:bCs/>
                <w:color w:val="auto"/>
                <w:kern w:val="0"/>
                <w:sz w:val="24"/>
                <w:szCs w:val="24"/>
                <w:lang w:val="en-US" w:eastAsia="zh-CN" w:bidi="ar"/>
              </w:rPr>
              <w:t>此工序产生的污染物为设备运行噪声。</w:t>
            </w:r>
          </w:p>
          <w:p w14:paraId="504B8BD1">
            <w:pPr>
              <w:keepNext w:val="0"/>
              <w:keepLines w:val="0"/>
              <w:pageBreakBefore w:val="0"/>
              <w:kinsoku/>
              <w:wordWrap/>
              <w:overflowPunct/>
              <w:topLinePunct w:val="0"/>
              <w:bidi w:val="0"/>
              <w:adjustRightInd/>
              <w:snapToGrid/>
              <w:spacing w:line="500" w:lineRule="exact"/>
              <w:ind w:firstLine="480" w:firstLineChars="200"/>
              <w:jc w:val="left"/>
              <w:textAlignment w:val="auto"/>
              <w:rPr>
                <w:rFonts w:hint="eastAsia"/>
                <w:color w:val="auto"/>
                <w:lang w:val="en-US" w:eastAsia="zh-CN"/>
              </w:rPr>
            </w:pPr>
            <w:r>
              <w:rPr>
                <w:rFonts w:hint="eastAsia"/>
                <w:color w:val="auto"/>
                <w:lang w:val="en-US" w:eastAsia="zh-CN"/>
              </w:rPr>
              <w:t>⑧</w:t>
            </w:r>
            <w:r>
              <w:rPr>
                <w:rFonts w:hint="eastAsia" w:cs="Times New Roman"/>
                <w:color w:val="auto"/>
                <w:kern w:val="0"/>
                <w:sz w:val="24"/>
                <w:szCs w:val="24"/>
                <w:lang w:val="en-US" w:eastAsia="zh-CN" w:bidi="ar"/>
              </w:rPr>
              <w:t>过滤：</w:t>
            </w:r>
            <w:r>
              <w:rPr>
                <w:rFonts w:hint="default" w:ascii="Times New Roman" w:hAnsi="Times New Roman" w:eastAsia="宋体" w:cs="Times New Roman"/>
                <w:color w:val="auto"/>
                <w:kern w:val="0"/>
                <w:sz w:val="24"/>
                <w:szCs w:val="24"/>
                <w:lang w:val="en-US" w:eastAsia="zh-CN" w:bidi="ar"/>
              </w:rPr>
              <w:t>经过</w:t>
            </w:r>
            <w:r>
              <w:rPr>
                <w:rFonts w:hint="eastAsia"/>
                <w:color w:val="auto"/>
                <w:lang w:val="en-US" w:eastAsia="zh-CN"/>
              </w:rPr>
              <w:t>1#盘式过滤机、2#盘式过滤机进行</w:t>
            </w:r>
            <w:r>
              <w:rPr>
                <w:rFonts w:hint="eastAsia"/>
                <w:color w:val="auto"/>
                <w:sz w:val="24"/>
                <w:szCs w:val="24"/>
              </w:rPr>
              <w:t>过滤</w:t>
            </w:r>
            <w:r>
              <w:rPr>
                <w:rFonts w:hint="eastAsia"/>
                <w:color w:val="auto"/>
                <w:sz w:val="24"/>
                <w:szCs w:val="24"/>
                <w:lang w:eastAsia="zh-CN"/>
              </w:rPr>
              <w:t>，过滤</w:t>
            </w:r>
            <w:r>
              <w:rPr>
                <w:rFonts w:hint="eastAsia"/>
                <w:color w:val="auto"/>
                <w:sz w:val="24"/>
                <w:szCs w:val="24"/>
              </w:rPr>
              <w:t>脱水</w:t>
            </w:r>
            <w:r>
              <w:rPr>
                <w:rFonts w:hint="eastAsia"/>
                <w:color w:val="auto"/>
                <w:sz w:val="24"/>
                <w:szCs w:val="24"/>
                <w:lang w:eastAsia="zh-CN"/>
              </w:rPr>
              <w:t>后含磁物料、制砖料在封闭式成品车间内暂存，</w:t>
            </w:r>
            <w:r>
              <w:rPr>
                <w:rFonts w:hint="eastAsia" w:cs="Times New Roman"/>
                <w:color w:val="auto"/>
                <w:kern w:val="0"/>
                <w:sz w:val="24"/>
                <w:szCs w:val="24"/>
                <w:lang w:val="en-US" w:eastAsia="zh-CN" w:bidi="ar"/>
              </w:rPr>
              <w:t>废水则</w:t>
            </w:r>
            <w:r>
              <w:rPr>
                <w:rFonts w:hint="default" w:ascii="Times New Roman" w:hAnsi="Times New Roman" w:eastAsia="宋体" w:cs="Times New Roman"/>
                <w:color w:val="auto"/>
                <w:kern w:val="0"/>
                <w:sz w:val="24"/>
                <w:szCs w:val="24"/>
                <w:lang w:val="en-US" w:eastAsia="zh-CN" w:bidi="ar"/>
              </w:rPr>
              <w:t>进入</w:t>
            </w:r>
            <w:r>
              <w:rPr>
                <w:rFonts w:hint="eastAsia" w:cs="Times New Roman"/>
                <w:color w:val="auto"/>
                <w:kern w:val="0"/>
                <w:sz w:val="24"/>
                <w:szCs w:val="24"/>
                <w:lang w:val="en-US" w:eastAsia="zh-CN" w:bidi="ar"/>
              </w:rPr>
              <w:t>沉淀池</w:t>
            </w:r>
            <w:r>
              <w:rPr>
                <w:rFonts w:hint="default" w:ascii="Times New Roman" w:hAnsi="Times New Roman" w:eastAsia="宋体" w:cs="Times New Roman"/>
                <w:color w:val="auto"/>
                <w:kern w:val="0"/>
                <w:sz w:val="24"/>
                <w:szCs w:val="24"/>
                <w:lang w:val="en-US" w:eastAsia="zh-CN" w:bidi="ar"/>
              </w:rPr>
              <w:t>进行沉淀，沉淀后</w:t>
            </w:r>
            <w:r>
              <w:rPr>
                <w:rFonts w:hint="eastAsia"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清水</w:t>
            </w:r>
            <w:r>
              <w:rPr>
                <w:rFonts w:hint="eastAsia" w:cs="Times New Roman"/>
                <w:color w:val="auto"/>
                <w:kern w:val="0"/>
                <w:sz w:val="24"/>
                <w:szCs w:val="24"/>
                <w:lang w:val="en-US" w:eastAsia="zh-CN" w:bidi="ar"/>
              </w:rPr>
              <w:t>回用于生产。</w:t>
            </w:r>
          </w:p>
          <w:p w14:paraId="5765FE0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此工序产生的污染物为废水</w:t>
            </w:r>
            <w:r>
              <w:rPr>
                <w:rFonts w:hint="eastAsia" w:cs="Times New Roman"/>
                <w:b/>
                <w:bCs/>
                <w:color w:val="auto"/>
                <w:kern w:val="0"/>
                <w:sz w:val="24"/>
                <w:szCs w:val="24"/>
                <w:lang w:val="en-US" w:eastAsia="zh-CN" w:bidi="ar"/>
              </w:rPr>
              <w:t>及</w:t>
            </w:r>
            <w:r>
              <w:rPr>
                <w:rFonts w:hint="default" w:ascii="Times New Roman" w:hAnsi="Times New Roman" w:eastAsia="宋体" w:cs="Times New Roman"/>
                <w:b/>
                <w:bCs/>
                <w:color w:val="auto"/>
                <w:kern w:val="0"/>
                <w:sz w:val="24"/>
                <w:szCs w:val="24"/>
                <w:lang w:val="en-US" w:eastAsia="zh-CN" w:bidi="ar"/>
              </w:rPr>
              <w:t>设备噪声</w:t>
            </w:r>
            <w:r>
              <w:rPr>
                <w:rFonts w:hint="eastAsia" w:cs="Times New Roman"/>
                <w:b/>
                <w:bCs/>
                <w:color w:val="auto"/>
                <w:kern w:val="0"/>
                <w:sz w:val="24"/>
                <w:szCs w:val="24"/>
                <w:lang w:val="en-US" w:eastAsia="zh-CN" w:bidi="ar"/>
              </w:rPr>
              <w:t>。</w:t>
            </w:r>
          </w:p>
          <w:p w14:paraId="6FACE3B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生产工艺流程及排污节点详见图</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14:paraId="4F7E40BF">
            <w:pPr>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pict>
                <v:shape id="_x0000_s1042" o:spid="_x0000_s1042" o:spt="75" type="#_x0000_t75" style="position:absolute;left:0pt;margin-left:0.9pt;margin-top:6.35pt;height:420.25pt;width:431.9pt;z-index:-251640832;mso-width-relative:page;mso-height-relative:page;" o:ole="t" filled="f" o:preferrelative="t" stroked="f" coordsize="21600,21600">
                  <v:path/>
                  <v:fill on="f" focussize="0,0"/>
                  <v:stroke on="f"/>
                  <v:imagedata r:id="rId18" o:title=""/>
                  <o:lock v:ext="edit" aspectratio="f"/>
                </v:shape>
                <o:OLEObject Type="Embed" ProgID="Visio.Drawing.11" ShapeID="_x0000_s1042" DrawAspect="Content" ObjectID="_1468075728" r:id="rId17">
                  <o:LockedField>false</o:LockedField>
                </o:OLEObject>
              </w:pict>
            </w:r>
          </w:p>
          <w:p w14:paraId="636E2408">
            <w:pPr>
              <w:pStyle w:val="7"/>
              <w:rPr>
                <w:rFonts w:hint="default" w:ascii="Times New Roman" w:hAnsi="Times New Roman" w:eastAsia="宋体" w:cs="Times New Roman"/>
                <w:color w:val="auto"/>
              </w:rPr>
            </w:pPr>
          </w:p>
          <w:p w14:paraId="1CB404C3">
            <w:pPr>
              <w:rPr>
                <w:rFonts w:hint="default" w:ascii="Times New Roman" w:hAnsi="Times New Roman" w:eastAsia="宋体" w:cs="Times New Roman"/>
                <w:color w:val="auto"/>
              </w:rPr>
            </w:pPr>
          </w:p>
          <w:p w14:paraId="4A8682AE">
            <w:pPr>
              <w:pStyle w:val="7"/>
              <w:rPr>
                <w:rFonts w:hint="default" w:ascii="Times New Roman" w:hAnsi="Times New Roman" w:eastAsia="宋体" w:cs="Times New Roman"/>
                <w:color w:val="auto"/>
              </w:rPr>
            </w:pPr>
          </w:p>
          <w:p w14:paraId="1C09002F">
            <w:pPr>
              <w:pStyle w:val="7"/>
              <w:rPr>
                <w:rFonts w:hint="default" w:ascii="Times New Roman" w:hAnsi="Times New Roman" w:eastAsia="宋体" w:cs="Times New Roman"/>
                <w:color w:val="auto"/>
              </w:rPr>
            </w:pPr>
          </w:p>
          <w:p w14:paraId="54B4A200">
            <w:pPr>
              <w:rPr>
                <w:rFonts w:hint="default" w:ascii="Times New Roman" w:hAnsi="Times New Roman" w:eastAsia="宋体" w:cs="Times New Roman"/>
                <w:color w:val="auto"/>
              </w:rPr>
            </w:pPr>
          </w:p>
          <w:p w14:paraId="55EB349F">
            <w:pPr>
              <w:pStyle w:val="7"/>
              <w:rPr>
                <w:rFonts w:hint="default" w:ascii="Times New Roman" w:hAnsi="Times New Roman" w:eastAsia="宋体" w:cs="Times New Roman"/>
                <w:color w:val="auto"/>
              </w:rPr>
            </w:pPr>
          </w:p>
          <w:p w14:paraId="17CE4C7E">
            <w:pPr>
              <w:pStyle w:val="13"/>
              <w:spacing w:line="500" w:lineRule="exact"/>
              <w:ind w:left="0" w:right="0" w:firstLine="480" w:firstLineChars="200"/>
              <w:rPr>
                <w:rFonts w:hint="default" w:ascii="Times New Roman" w:hAnsi="Times New Roman" w:eastAsia="宋体" w:cs="Times New Roman"/>
                <w:color w:val="auto"/>
              </w:rPr>
            </w:pPr>
          </w:p>
          <w:p w14:paraId="3C0DB8C9">
            <w:pPr>
              <w:pStyle w:val="13"/>
              <w:spacing w:line="500" w:lineRule="exact"/>
              <w:ind w:left="0" w:right="0" w:firstLine="480" w:firstLineChars="200"/>
              <w:rPr>
                <w:rFonts w:hint="default" w:ascii="Times New Roman" w:hAnsi="Times New Roman" w:eastAsia="宋体" w:cs="Times New Roman"/>
                <w:color w:val="auto"/>
              </w:rPr>
            </w:pPr>
          </w:p>
          <w:p w14:paraId="590B4838">
            <w:pPr>
              <w:pStyle w:val="13"/>
              <w:spacing w:line="500" w:lineRule="exact"/>
              <w:ind w:left="0" w:right="0" w:firstLine="480" w:firstLineChars="200"/>
              <w:rPr>
                <w:rFonts w:hint="default" w:ascii="Times New Roman" w:hAnsi="Times New Roman" w:eastAsia="宋体" w:cs="Times New Roman"/>
                <w:color w:val="auto"/>
              </w:rPr>
            </w:pPr>
          </w:p>
          <w:p w14:paraId="0C5E699A">
            <w:pPr>
              <w:pStyle w:val="13"/>
              <w:spacing w:line="500" w:lineRule="exact"/>
              <w:ind w:left="0" w:right="0" w:firstLine="480" w:firstLineChars="200"/>
              <w:rPr>
                <w:rFonts w:hint="default" w:ascii="Times New Roman" w:hAnsi="Times New Roman" w:eastAsia="宋体" w:cs="Times New Roman"/>
                <w:color w:val="auto"/>
              </w:rPr>
            </w:pPr>
          </w:p>
          <w:p w14:paraId="024C6BC0">
            <w:pPr>
              <w:pStyle w:val="13"/>
              <w:spacing w:line="500" w:lineRule="exact"/>
              <w:ind w:left="0" w:right="0" w:firstLine="480" w:firstLineChars="200"/>
              <w:rPr>
                <w:rFonts w:hint="default" w:ascii="Times New Roman" w:hAnsi="Times New Roman" w:eastAsia="宋体" w:cs="Times New Roman"/>
                <w:color w:val="auto"/>
              </w:rPr>
            </w:pPr>
          </w:p>
          <w:p w14:paraId="237C73CE">
            <w:pPr>
              <w:pStyle w:val="13"/>
              <w:spacing w:line="500" w:lineRule="exact"/>
              <w:ind w:left="0" w:right="0" w:firstLine="480" w:firstLineChars="200"/>
              <w:rPr>
                <w:rFonts w:hint="default" w:ascii="Times New Roman" w:hAnsi="Times New Roman" w:eastAsia="宋体" w:cs="Times New Roman"/>
                <w:color w:val="auto"/>
              </w:rPr>
            </w:pPr>
          </w:p>
          <w:p w14:paraId="6BF7EDE1">
            <w:pPr>
              <w:pStyle w:val="13"/>
              <w:spacing w:line="500" w:lineRule="exact"/>
              <w:ind w:left="0" w:right="0" w:firstLine="480" w:firstLineChars="200"/>
              <w:rPr>
                <w:rFonts w:hint="default" w:ascii="Times New Roman" w:hAnsi="Times New Roman" w:eastAsia="宋体" w:cs="Times New Roman"/>
                <w:color w:val="auto"/>
              </w:rPr>
            </w:pPr>
          </w:p>
          <w:p w14:paraId="3396463D">
            <w:pPr>
              <w:pStyle w:val="13"/>
              <w:spacing w:line="500" w:lineRule="exact"/>
              <w:ind w:left="0" w:right="0" w:firstLine="480" w:firstLineChars="200"/>
              <w:rPr>
                <w:rFonts w:hint="default" w:ascii="Times New Roman" w:hAnsi="Times New Roman" w:eastAsia="宋体" w:cs="Times New Roman"/>
                <w:color w:val="auto"/>
              </w:rPr>
            </w:pPr>
          </w:p>
          <w:p w14:paraId="7C1AE019">
            <w:pPr>
              <w:pStyle w:val="13"/>
              <w:spacing w:line="500" w:lineRule="exact"/>
              <w:ind w:left="0" w:right="0" w:firstLine="480" w:firstLineChars="200"/>
              <w:rPr>
                <w:rFonts w:hint="default" w:ascii="Times New Roman" w:hAnsi="Times New Roman" w:eastAsia="宋体" w:cs="Times New Roman"/>
                <w:color w:val="auto"/>
              </w:rPr>
            </w:pPr>
          </w:p>
          <w:p w14:paraId="04F5380A">
            <w:pPr>
              <w:pStyle w:val="13"/>
              <w:spacing w:line="500" w:lineRule="exact"/>
              <w:ind w:left="0" w:right="0" w:firstLine="480" w:firstLineChars="200"/>
              <w:rPr>
                <w:rFonts w:hint="default" w:ascii="Times New Roman" w:hAnsi="Times New Roman" w:eastAsia="宋体" w:cs="Times New Roman"/>
                <w:color w:val="auto"/>
              </w:rPr>
            </w:pPr>
          </w:p>
          <w:p w14:paraId="30FC04AD">
            <w:pPr>
              <w:pStyle w:val="13"/>
              <w:spacing w:line="500" w:lineRule="exact"/>
              <w:ind w:left="0" w:right="0" w:firstLine="480" w:firstLineChars="200"/>
              <w:rPr>
                <w:rFonts w:hint="default" w:ascii="Times New Roman" w:hAnsi="Times New Roman" w:eastAsia="宋体" w:cs="Times New Roman"/>
                <w:color w:val="auto"/>
              </w:rPr>
            </w:pPr>
          </w:p>
          <w:p w14:paraId="556E78DC">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rPr>
              <mc:AlternateContent>
                <mc:Choice Requires="wps">
                  <w:drawing>
                    <wp:anchor distT="0" distB="0" distL="114300" distR="114300" simplePos="0" relativeHeight="251663360" behindDoc="0" locked="0" layoutInCell="1" allowOverlap="1">
                      <wp:simplePos x="0" y="0"/>
                      <wp:positionH relativeFrom="column">
                        <wp:posOffset>1301115</wp:posOffset>
                      </wp:positionH>
                      <wp:positionV relativeFrom="paragraph">
                        <wp:posOffset>92075</wp:posOffset>
                      </wp:positionV>
                      <wp:extent cx="3304540" cy="1828800"/>
                      <wp:effectExtent l="0" t="0" r="0" b="0"/>
                      <wp:wrapSquare wrapText="bothSides"/>
                      <wp:docPr id="2" name="文本框 2"/>
                      <wp:cNvGraphicFramePr/>
                      <a:graphic xmlns:a="http://schemas.openxmlformats.org/drawingml/2006/main">
                        <a:graphicData uri="http://schemas.microsoft.com/office/word/2010/wordprocessingShape">
                          <wps:wsp>
                            <wps:cNvSpPr txBox="1"/>
                            <wps:spPr>
                              <a:xfrm>
                                <a:off x="0" y="0"/>
                                <a:ext cx="3304540" cy="1828800"/>
                              </a:xfrm>
                              <a:prstGeom prst="rect">
                                <a:avLst/>
                              </a:prstGeom>
                              <a:noFill/>
                              <a:ln w="12700">
                                <a:noFill/>
                              </a:ln>
                            </wps:spPr>
                            <wps:txbx>
                              <w:txbxContent>
                                <w:p w14:paraId="659440D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图</w:t>
                                  </w:r>
                                  <w:r>
                                    <w:rPr>
                                      <w:rFonts w:hint="eastAsia" w:ascii="Times New Roman" w:cs="Times New Roman"/>
                                      <w:b/>
                                      <w:bCs/>
                                      <w:color w:val="auto"/>
                                      <w:sz w:val="21"/>
                                      <w:szCs w:val="21"/>
                                      <w:lang w:val="en-US" w:eastAsia="zh-CN"/>
                                    </w:rPr>
                                    <w:t>4</w:t>
                                  </w:r>
                                  <w:r>
                                    <w:rPr>
                                      <w:rFonts w:hint="eastAsia" w:ascii="Times New Roman" w:cs="Times New Roman"/>
                                      <w:b/>
                                      <w:bCs/>
                                      <w:color w:val="auto"/>
                                      <w:sz w:val="21"/>
                                      <w:szCs w:val="21"/>
                                      <w:lang w:eastAsia="zh-CN"/>
                                    </w:rPr>
                                    <w:t>生产</w:t>
                                  </w:r>
                                  <w:r>
                                    <w:rPr>
                                      <w:rFonts w:hint="default" w:ascii="Times New Roman" w:hAnsi="Times New Roman" w:cs="Times New Roman"/>
                                      <w:b/>
                                      <w:bCs/>
                                      <w:color w:val="auto"/>
                                      <w:sz w:val="21"/>
                                      <w:szCs w:val="21"/>
                                    </w:rPr>
                                    <w:t>工艺流程及排污节点图</w:t>
                                  </w:r>
                                </w:p>
                              </w:txbxContent>
                            </wps:txbx>
                            <wps:bodyPr upright="1">
                              <a:spAutoFit/>
                            </wps:bodyPr>
                          </wps:wsp>
                        </a:graphicData>
                      </a:graphic>
                    </wp:anchor>
                  </w:drawing>
                </mc:Choice>
                <mc:Fallback>
                  <w:pict>
                    <v:shape id="_x0000_s1026" o:spid="_x0000_s1026" o:spt="202" type="#_x0000_t202" style="position:absolute;left:0pt;margin-left:102.45pt;margin-top:7.25pt;height:144pt;width:260.2pt;mso-wrap-distance-bottom:0pt;mso-wrap-distance-left:9pt;mso-wrap-distance-right:9pt;mso-wrap-distance-top:0pt;z-index:251663360;mso-width-relative:page;mso-height-relative:page;" filled="f" stroked="f" coordsize="21600,21600" o:gfxdata="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NC8g7bAAAACgEAAA8AAAAAAAAAAQAgAAAAIgAAAGRycy9kb3ducmV2&#10;LnhtbFBLAQIUABQAAAAIAIdO4kDVJMHRwAEAAHMDAAAOAAAAAAAAAAEAIAAAACoBAABkcnMvZTJv&#10;RG9jLnhtbFBLBQYAAAAABgAGAFkBAABcBQAAAAA=&#10;">
                      <v:fill on="f" focussize="0,0"/>
                      <v:stroke on="f" weight="1pt"/>
                      <v:imagedata o:title=""/>
                      <o:lock v:ext="edit" aspectratio="f"/>
                      <v:textbox style="mso-fit-shape-to-text:t;">
                        <w:txbxContent>
                          <w:p w14:paraId="659440D2">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图</w:t>
                            </w:r>
                            <w:r>
                              <w:rPr>
                                <w:rFonts w:hint="eastAsia" w:ascii="Times New Roman" w:cs="Times New Roman"/>
                                <w:b/>
                                <w:bCs/>
                                <w:color w:val="auto"/>
                                <w:sz w:val="21"/>
                                <w:szCs w:val="21"/>
                                <w:lang w:val="en-US" w:eastAsia="zh-CN"/>
                              </w:rPr>
                              <w:t>4</w:t>
                            </w:r>
                            <w:r>
                              <w:rPr>
                                <w:rFonts w:hint="eastAsia" w:ascii="Times New Roman" w:cs="Times New Roman"/>
                                <w:b/>
                                <w:bCs/>
                                <w:color w:val="auto"/>
                                <w:sz w:val="21"/>
                                <w:szCs w:val="21"/>
                                <w:lang w:eastAsia="zh-CN"/>
                              </w:rPr>
                              <w:t>生产</w:t>
                            </w:r>
                            <w:r>
                              <w:rPr>
                                <w:rFonts w:hint="default" w:ascii="Times New Roman" w:hAnsi="Times New Roman" w:cs="Times New Roman"/>
                                <w:b/>
                                <w:bCs/>
                                <w:color w:val="auto"/>
                                <w:sz w:val="21"/>
                                <w:szCs w:val="21"/>
                              </w:rPr>
                              <w:t>工艺流程及排污节点图</w:t>
                            </w:r>
                          </w:p>
                        </w:txbxContent>
                      </v:textbox>
                      <w10:wrap type="square"/>
                    </v:shape>
                  </w:pict>
                </mc:Fallback>
              </mc:AlternateContent>
            </w:r>
          </w:p>
          <w:p w14:paraId="179F9093">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b/>
                <w:color w:val="auto"/>
                <w:sz w:val="21"/>
                <w:szCs w:val="21"/>
              </w:rPr>
            </w:pPr>
          </w:p>
          <w:p w14:paraId="64B639B9">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2-</w:t>
            </w:r>
            <w:r>
              <w:rPr>
                <w:rFonts w:hint="eastAsia" w:cs="Times New Roman"/>
                <w:b/>
                <w:color w:val="auto"/>
                <w:sz w:val="21"/>
                <w:szCs w:val="21"/>
                <w:lang w:val="en-US" w:eastAsia="zh-CN"/>
              </w:rPr>
              <w:t xml:space="preserve">8 </w:t>
            </w:r>
            <w:r>
              <w:rPr>
                <w:rFonts w:hint="default" w:ascii="Times New Roman" w:hAnsi="Times New Roman" w:eastAsia="宋体" w:cs="Times New Roman"/>
                <w:b/>
                <w:color w:val="auto"/>
                <w:sz w:val="21"/>
                <w:szCs w:val="21"/>
                <w:lang w:eastAsia="zh-CN"/>
              </w:rPr>
              <w:t>项目产排污一览表</w:t>
            </w:r>
          </w:p>
          <w:tbl>
            <w:tblPr>
              <w:tblStyle w:val="22"/>
              <w:tblW w:w="4897" w:type="pct"/>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2976"/>
              <w:gridCol w:w="1811"/>
              <w:gridCol w:w="2793"/>
            </w:tblGrid>
            <w:tr w14:paraId="6BCD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94" w:type="dxa"/>
                  <w:vAlign w:val="center"/>
                </w:tcPr>
                <w:p w14:paraId="1E447AF2">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污染物类型</w:t>
                  </w:r>
                </w:p>
              </w:tc>
              <w:tc>
                <w:tcPr>
                  <w:tcW w:w="2976" w:type="dxa"/>
                  <w:vAlign w:val="center"/>
                </w:tcPr>
                <w:p w14:paraId="33585D58">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污染工序</w:t>
                  </w:r>
                </w:p>
              </w:tc>
              <w:tc>
                <w:tcPr>
                  <w:tcW w:w="1811" w:type="dxa"/>
                  <w:vAlign w:val="center"/>
                </w:tcPr>
                <w:p w14:paraId="77A88086">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主要污染物</w:t>
                  </w:r>
                </w:p>
              </w:tc>
              <w:tc>
                <w:tcPr>
                  <w:tcW w:w="2793" w:type="dxa"/>
                  <w:vAlign w:val="center"/>
                </w:tcPr>
                <w:p w14:paraId="66D7A8BA">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治理措施</w:t>
                  </w:r>
                </w:p>
              </w:tc>
            </w:tr>
            <w:tr w14:paraId="206F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94" w:type="dxa"/>
                  <w:vMerge w:val="restart"/>
                  <w:vAlign w:val="center"/>
                </w:tcPr>
                <w:p w14:paraId="3FCDEF84">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废气</w:t>
                  </w:r>
                </w:p>
              </w:tc>
              <w:tc>
                <w:tcPr>
                  <w:tcW w:w="2976" w:type="dxa"/>
                  <w:vAlign w:val="center"/>
                </w:tcPr>
                <w:p w14:paraId="4FE97A2F">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原料入厂、堆存、</w:t>
                  </w:r>
                  <w:r>
                    <w:rPr>
                      <w:rFonts w:hint="eastAsia" w:cs="Times New Roman"/>
                      <w:color w:val="auto"/>
                      <w:sz w:val="21"/>
                      <w:szCs w:val="21"/>
                      <w:vertAlign w:val="baseline"/>
                      <w:lang w:eastAsia="zh-CN"/>
                    </w:rPr>
                    <w:t>上料</w:t>
                  </w:r>
                  <w:r>
                    <w:rPr>
                      <w:rFonts w:hint="default" w:ascii="Times New Roman" w:hAnsi="Times New Roman" w:eastAsia="宋体" w:cs="Times New Roman"/>
                      <w:color w:val="auto"/>
                      <w:sz w:val="21"/>
                      <w:szCs w:val="21"/>
                      <w:vertAlign w:val="baseline"/>
                      <w:lang w:eastAsia="zh-CN"/>
                    </w:rPr>
                    <w:t>等</w:t>
                  </w:r>
                </w:p>
              </w:tc>
              <w:tc>
                <w:tcPr>
                  <w:tcW w:w="1811" w:type="dxa"/>
                  <w:vAlign w:val="center"/>
                </w:tcPr>
                <w:p w14:paraId="654BD18A">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颗粒物</w:t>
                  </w:r>
                </w:p>
              </w:tc>
              <w:tc>
                <w:tcPr>
                  <w:tcW w:w="2793" w:type="dxa"/>
                  <w:vAlign w:val="center"/>
                </w:tcPr>
                <w:p w14:paraId="489475F8">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封闭车间</w:t>
                  </w:r>
                  <w:r>
                    <w:rPr>
                      <w:rFonts w:hint="default" w:ascii="Times New Roman" w:hAnsi="Times New Roman" w:eastAsia="宋体" w:cs="Times New Roman"/>
                      <w:color w:val="auto"/>
                      <w:sz w:val="21"/>
                      <w:szCs w:val="21"/>
                      <w:vertAlign w:val="baseline"/>
                      <w:lang w:val="en-US" w:eastAsia="zh-CN"/>
                    </w:rPr>
                    <w:t>+喷淋降尘</w:t>
                  </w:r>
                </w:p>
              </w:tc>
            </w:tr>
            <w:tr w14:paraId="030B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vAlign w:val="center"/>
                </w:tcPr>
                <w:p w14:paraId="54E65647">
                  <w:pPr>
                    <w:spacing w:line="240" w:lineRule="auto"/>
                    <w:jc w:val="center"/>
                    <w:rPr>
                      <w:rFonts w:hint="default" w:ascii="Times New Roman" w:hAnsi="Times New Roman" w:eastAsia="宋体" w:cs="Times New Roman"/>
                      <w:color w:val="auto"/>
                      <w:sz w:val="21"/>
                      <w:szCs w:val="21"/>
                      <w:vertAlign w:val="baseline"/>
                    </w:rPr>
                  </w:pPr>
                </w:p>
              </w:tc>
              <w:tc>
                <w:tcPr>
                  <w:tcW w:w="2976" w:type="dxa"/>
                  <w:vAlign w:val="center"/>
                </w:tcPr>
                <w:p w14:paraId="6F29E47B">
                  <w:pPr>
                    <w:spacing w:line="240" w:lineRule="auto"/>
                    <w:jc w:val="center"/>
                    <w:rPr>
                      <w:rFonts w:hint="default"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钢渣预选、除杂工序</w:t>
                  </w:r>
                </w:p>
              </w:tc>
              <w:tc>
                <w:tcPr>
                  <w:tcW w:w="1811" w:type="dxa"/>
                  <w:vAlign w:val="center"/>
                </w:tcPr>
                <w:p w14:paraId="6A5E6C7E">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颗粒物</w:t>
                  </w:r>
                </w:p>
              </w:tc>
              <w:tc>
                <w:tcPr>
                  <w:tcW w:w="2793" w:type="dxa"/>
                  <w:vAlign w:val="center"/>
                </w:tcPr>
                <w:p w14:paraId="5BB70E35">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eastAsia="zh-CN"/>
                    </w:rPr>
                    <w:t>振动筛、</w:t>
                  </w:r>
                  <w:r>
                    <w:rPr>
                      <w:rFonts w:hint="eastAsia" w:cs="Times New Roman"/>
                      <w:color w:val="auto"/>
                      <w:sz w:val="21"/>
                      <w:szCs w:val="21"/>
                      <w:vertAlign w:val="baseline"/>
                      <w:lang w:val="en-US" w:eastAsia="zh-CN"/>
                    </w:rPr>
                    <w:t>1#磁滑轮、滚筒筛及2#磁滑轮</w:t>
                  </w:r>
                  <w:r>
                    <w:rPr>
                      <w:rFonts w:hint="default" w:ascii="Times New Roman" w:hAnsi="Times New Roman" w:eastAsia="宋体" w:cs="Times New Roman"/>
                      <w:color w:val="auto"/>
                      <w:sz w:val="21"/>
                      <w:szCs w:val="21"/>
                      <w:vertAlign w:val="baseline"/>
                      <w:lang w:eastAsia="zh-CN"/>
                    </w:rPr>
                    <w:t>进、出料料口上集尘罩</w:t>
                  </w:r>
                  <w:r>
                    <w:rPr>
                      <w:rFonts w:hint="default" w:ascii="Times New Roman" w:hAnsi="Times New Roman" w:eastAsia="宋体" w:cs="Times New Roman"/>
                      <w:color w:val="auto"/>
                      <w:sz w:val="21"/>
                      <w:szCs w:val="21"/>
                      <w:vertAlign w:val="baseline"/>
                      <w:lang w:val="en-US" w:eastAsia="zh-CN"/>
                    </w:rPr>
                    <w:t>+脉冲布袋除尘器+</w:t>
                  </w:r>
                  <w:r>
                    <w:rPr>
                      <w:rFonts w:hint="eastAsia" w:cs="Times New Roman"/>
                      <w:color w:val="auto"/>
                      <w:sz w:val="21"/>
                      <w:szCs w:val="21"/>
                      <w:vertAlign w:val="baseline"/>
                      <w:lang w:val="en-US" w:eastAsia="zh-CN"/>
                    </w:rPr>
                    <w:t>20米</w:t>
                  </w:r>
                  <w:r>
                    <w:rPr>
                      <w:rFonts w:hint="default" w:ascii="Times New Roman" w:hAnsi="Times New Roman" w:eastAsia="宋体" w:cs="Times New Roman"/>
                      <w:color w:val="auto"/>
                      <w:sz w:val="21"/>
                      <w:szCs w:val="21"/>
                      <w:vertAlign w:val="baseline"/>
                      <w:lang w:val="en-US" w:eastAsia="zh-CN"/>
                    </w:rPr>
                    <w:t>高排气筒（DA001）</w:t>
                  </w:r>
                </w:p>
              </w:tc>
            </w:tr>
            <w:tr w14:paraId="458F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vAlign w:val="center"/>
                </w:tcPr>
                <w:p w14:paraId="49F3AAAA">
                  <w:pPr>
                    <w:spacing w:line="240" w:lineRule="auto"/>
                    <w:jc w:val="center"/>
                    <w:rPr>
                      <w:rFonts w:hint="default" w:ascii="Times New Roman" w:hAnsi="Times New Roman" w:eastAsia="宋体" w:cs="Times New Roman"/>
                      <w:color w:val="auto"/>
                      <w:sz w:val="21"/>
                      <w:szCs w:val="21"/>
                      <w:vertAlign w:val="baseline"/>
                    </w:rPr>
                  </w:pPr>
                </w:p>
              </w:tc>
              <w:tc>
                <w:tcPr>
                  <w:tcW w:w="2976" w:type="dxa"/>
                  <w:vAlign w:val="center"/>
                </w:tcPr>
                <w:p w14:paraId="5C804723">
                  <w:pPr>
                    <w:spacing w:line="240" w:lineRule="auto"/>
                    <w:ind w:left="0" w:leftChars="0" w:right="0" w:right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成品堆存、转运</w:t>
                  </w:r>
                  <w:r>
                    <w:rPr>
                      <w:rFonts w:hint="eastAsia" w:cs="Times New Roman"/>
                      <w:color w:val="auto"/>
                      <w:sz w:val="21"/>
                      <w:szCs w:val="21"/>
                      <w:vertAlign w:val="baseline"/>
                      <w:lang w:eastAsia="zh-CN"/>
                    </w:rPr>
                    <w:t>等</w:t>
                  </w:r>
                </w:p>
              </w:tc>
              <w:tc>
                <w:tcPr>
                  <w:tcW w:w="1811" w:type="dxa"/>
                  <w:vAlign w:val="center"/>
                </w:tcPr>
                <w:p w14:paraId="63482449">
                  <w:pPr>
                    <w:spacing w:line="240" w:lineRule="auto"/>
                    <w:ind w:left="0" w:leftChars="0" w:right="0" w:right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颗粒物</w:t>
                  </w:r>
                </w:p>
              </w:tc>
              <w:tc>
                <w:tcPr>
                  <w:tcW w:w="2793" w:type="dxa"/>
                  <w:vAlign w:val="center"/>
                </w:tcPr>
                <w:p w14:paraId="4CE08BE7">
                  <w:pPr>
                    <w:spacing w:line="240" w:lineRule="auto"/>
                    <w:ind w:left="0" w:leftChars="0" w:right="0" w:right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封闭车间</w:t>
                  </w:r>
                  <w:r>
                    <w:rPr>
                      <w:rFonts w:hint="default" w:ascii="Times New Roman" w:hAnsi="Times New Roman" w:eastAsia="宋体" w:cs="Times New Roman"/>
                      <w:color w:val="auto"/>
                      <w:sz w:val="21"/>
                      <w:szCs w:val="21"/>
                      <w:vertAlign w:val="baseline"/>
                      <w:lang w:val="en-US" w:eastAsia="zh-CN"/>
                    </w:rPr>
                    <w:t>+喷淋降尘</w:t>
                  </w:r>
                </w:p>
              </w:tc>
            </w:tr>
            <w:tr w14:paraId="3DA1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Merge w:val="continue"/>
                  <w:vAlign w:val="center"/>
                </w:tcPr>
                <w:p w14:paraId="235DC4B3">
                  <w:pPr>
                    <w:spacing w:line="240" w:lineRule="auto"/>
                    <w:jc w:val="center"/>
                    <w:rPr>
                      <w:rFonts w:hint="default" w:ascii="Times New Roman" w:hAnsi="Times New Roman" w:eastAsia="宋体" w:cs="Times New Roman"/>
                      <w:color w:val="auto"/>
                      <w:sz w:val="21"/>
                      <w:szCs w:val="21"/>
                      <w:vertAlign w:val="baseline"/>
                    </w:rPr>
                  </w:pPr>
                </w:p>
              </w:tc>
              <w:tc>
                <w:tcPr>
                  <w:tcW w:w="2976" w:type="dxa"/>
                  <w:vAlign w:val="center"/>
                </w:tcPr>
                <w:p w14:paraId="31A5BBAD">
                  <w:pPr>
                    <w:spacing w:line="240" w:lineRule="auto"/>
                    <w:ind w:left="0" w:leftChars="0" w:right="0" w:rightChars="0"/>
                    <w:jc w:val="center"/>
                    <w:rPr>
                      <w:rFonts w:hint="default" w:ascii="Times New Roman" w:hAnsi="Times New Roman" w:eastAsia="宋体" w:cs="Times New Roman"/>
                      <w:color w:val="auto"/>
                      <w:sz w:val="21"/>
                      <w:szCs w:val="21"/>
                      <w:vertAlign w:val="baseline"/>
                      <w:lang w:val="zh-CN" w:eastAsia="zh-CN" w:bidi="zh-CN"/>
                    </w:rPr>
                  </w:pPr>
                  <w:r>
                    <w:rPr>
                      <w:rFonts w:hint="default" w:ascii="Times New Roman" w:hAnsi="Times New Roman" w:eastAsia="宋体" w:cs="Times New Roman"/>
                      <w:color w:val="auto"/>
                      <w:sz w:val="21"/>
                      <w:szCs w:val="21"/>
                      <w:vertAlign w:val="baseline"/>
                      <w:lang w:eastAsia="zh-CN"/>
                    </w:rPr>
                    <w:t>车辆运输</w:t>
                  </w:r>
                </w:p>
              </w:tc>
              <w:tc>
                <w:tcPr>
                  <w:tcW w:w="1811" w:type="dxa"/>
                  <w:vAlign w:val="center"/>
                </w:tcPr>
                <w:p w14:paraId="187A57CC">
                  <w:pPr>
                    <w:spacing w:line="240" w:lineRule="auto"/>
                    <w:ind w:left="0" w:leftChars="0" w:right="0" w:rightChars="0"/>
                    <w:jc w:val="center"/>
                    <w:rPr>
                      <w:rFonts w:hint="default" w:ascii="Times New Roman" w:hAnsi="Times New Roman" w:eastAsia="宋体" w:cs="Times New Roman"/>
                      <w:color w:val="auto"/>
                      <w:sz w:val="21"/>
                      <w:szCs w:val="21"/>
                      <w:vertAlign w:val="baseline"/>
                      <w:lang w:val="zh-CN" w:eastAsia="zh-CN" w:bidi="zh-CN"/>
                    </w:rPr>
                  </w:pPr>
                  <w:r>
                    <w:rPr>
                      <w:rFonts w:hint="default" w:ascii="Times New Roman" w:hAnsi="Times New Roman" w:eastAsia="宋体" w:cs="Times New Roman"/>
                      <w:color w:val="auto"/>
                      <w:sz w:val="21"/>
                      <w:szCs w:val="21"/>
                      <w:vertAlign w:val="baseline"/>
                      <w:lang w:eastAsia="zh-CN"/>
                    </w:rPr>
                    <w:t>颗粒物</w:t>
                  </w:r>
                </w:p>
              </w:tc>
              <w:tc>
                <w:tcPr>
                  <w:tcW w:w="2793" w:type="dxa"/>
                  <w:vAlign w:val="center"/>
                </w:tcPr>
                <w:p w14:paraId="10D78EFA">
                  <w:pPr>
                    <w:spacing w:line="240" w:lineRule="auto"/>
                    <w:ind w:left="0" w:leftChars="0" w:right="0" w:rightChars="0"/>
                    <w:jc w:val="center"/>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eastAsia="zh-CN"/>
                    </w:rPr>
                    <w:t>场地硬化</w:t>
                  </w:r>
                  <w:r>
                    <w:rPr>
                      <w:rFonts w:hint="default" w:ascii="Times New Roman" w:hAnsi="Times New Roman" w:eastAsia="宋体" w:cs="Times New Roman"/>
                      <w:color w:val="auto"/>
                      <w:sz w:val="21"/>
                      <w:szCs w:val="21"/>
                      <w:vertAlign w:val="baseline"/>
                      <w:lang w:val="en-US" w:eastAsia="zh-CN"/>
                    </w:rPr>
                    <w:t>+车辆苫盖+厂区出口设置洗车平台</w:t>
                  </w:r>
                </w:p>
              </w:tc>
            </w:tr>
            <w:tr w14:paraId="02D8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94" w:type="dxa"/>
                  <w:vMerge w:val="restart"/>
                  <w:vAlign w:val="center"/>
                </w:tcPr>
                <w:p w14:paraId="3EC18832">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废水</w:t>
                  </w:r>
                </w:p>
              </w:tc>
              <w:tc>
                <w:tcPr>
                  <w:tcW w:w="2976" w:type="dxa"/>
                  <w:vAlign w:val="center"/>
                </w:tcPr>
                <w:p w14:paraId="03C3C84E">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生产废水</w:t>
                  </w:r>
                </w:p>
              </w:tc>
              <w:tc>
                <w:tcPr>
                  <w:tcW w:w="1811" w:type="dxa"/>
                  <w:vAlign w:val="center"/>
                </w:tcPr>
                <w:p w14:paraId="29C75B0E">
                  <w:pPr>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eastAsia="zh-CN"/>
                    </w:rPr>
                    <w:t>SS</w:t>
                  </w:r>
                </w:p>
              </w:tc>
              <w:tc>
                <w:tcPr>
                  <w:tcW w:w="2793" w:type="dxa"/>
                  <w:vAlign w:val="center"/>
                </w:tcPr>
                <w:p w14:paraId="426E0C78">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排入</w:t>
                  </w:r>
                  <w:r>
                    <w:rPr>
                      <w:rFonts w:hint="eastAsia" w:cs="Times New Roman"/>
                      <w:color w:val="auto"/>
                      <w:sz w:val="21"/>
                      <w:szCs w:val="21"/>
                      <w:vertAlign w:val="baseline"/>
                      <w:lang w:eastAsia="zh-CN"/>
                    </w:rPr>
                    <w:t>沉淀池</w:t>
                  </w:r>
                  <w:r>
                    <w:rPr>
                      <w:rFonts w:hint="default" w:ascii="Times New Roman" w:hAnsi="Times New Roman" w:eastAsia="宋体" w:cs="Times New Roman"/>
                      <w:color w:val="auto"/>
                      <w:sz w:val="21"/>
                      <w:szCs w:val="21"/>
                      <w:vertAlign w:val="baseline"/>
                      <w:lang w:eastAsia="zh-CN"/>
                    </w:rPr>
                    <w:t>，厂内循环使用不外排</w:t>
                  </w:r>
                </w:p>
              </w:tc>
            </w:tr>
            <w:tr w14:paraId="7B64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94" w:type="dxa"/>
                  <w:vMerge w:val="continue"/>
                  <w:vAlign w:val="center"/>
                </w:tcPr>
                <w:p w14:paraId="31E26A5A">
                  <w:pPr>
                    <w:spacing w:line="240" w:lineRule="auto"/>
                    <w:jc w:val="center"/>
                    <w:rPr>
                      <w:rFonts w:hint="default" w:ascii="Times New Roman" w:hAnsi="Times New Roman" w:eastAsia="宋体" w:cs="Times New Roman"/>
                      <w:color w:val="auto"/>
                      <w:sz w:val="21"/>
                      <w:szCs w:val="21"/>
                      <w:vertAlign w:val="baseline"/>
                      <w:lang w:eastAsia="zh-CN"/>
                    </w:rPr>
                  </w:pPr>
                </w:p>
              </w:tc>
              <w:tc>
                <w:tcPr>
                  <w:tcW w:w="2976" w:type="dxa"/>
                  <w:vAlign w:val="center"/>
                </w:tcPr>
                <w:p w14:paraId="12128DE9">
                  <w:pPr>
                    <w:spacing w:line="240" w:lineRule="auto"/>
                    <w:jc w:val="center"/>
                    <w:rPr>
                      <w:rFonts w:hint="default"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生活污水</w:t>
                  </w:r>
                </w:p>
              </w:tc>
              <w:tc>
                <w:tcPr>
                  <w:tcW w:w="1811" w:type="dxa"/>
                  <w:vAlign w:val="center"/>
                </w:tcPr>
                <w:p w14:paraId="544AEAE4">
                  <w:pPr>
                    <w:spacing w:line="240" w:lineRule="auto"/>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pH、COD、BOD</w:t>
                  </w:r>
                  <w:r>
                    <w:rPr>
                      <w:rFonts w:hint="eastAsia" w:cs="Times New Roman"/>
                      <w:color w:val="auto"/>
                      <w:sz w:val="21"/>
                      <w:szCs w:val="21"/>
                      <w:vertAlign w:val="subscript"/>
                      <w:lang w:eastAsia="zh-CN"/>
                    </w:rPr>
                    <w:t>5</w:t>
                  </w:r>
                  <w:r>
                    <w:rPr>
                      <w:rFonts w:hint="eastAsia" w:cs="Times New Roman"/>
                      <w:color w:val="auto"/>
                      <w:sz w:val="21"/>
                      <w:szCs w:val="21"/>
                      <w:vertAlign w:val="baseline"/>
                      <w:lang w:eastAsia="zh-CN"/>
                    </w:rPr>
                    <w:t>、SS、NH</w:t>
                  </w:r>
                  <w:r>
                    <w:rPr>
                      <w:rFonts w:hint="eastAsia" w:cs="Times New Roman"/>
                      <w:color w:val="auto"/>
                      <w:sz w:val="21"/>
                      <w:szCs w:val="21"/>
                      <w:vertAlign w:val="subscript"/>
                      <w:lang w:eastAsia="zh-CN"/>
                    </w:rPr>
                    <w:t>3</w:t>
                  </w:r>
                  <w:r>
                    <w:rPr>
                      <w:rFonts w:hint="eastAsia" w:cs="Times New Roman"/>
                      <w:color w:val="auto"/>
                      <w:sz w:val="21"/>
                      <w:szCs w:val="21"/>
                      <w:vertAlign w:val="baseline"/>
                      <w:lang w:eastAsia="zh-CN"/>
                    </w:rPr>
                    <w:t>-N、总磷</w:t>
                  </w:r>
                </w:p>
              </w:tc>
              <w:tc>
                <w:tcPr>
                  <w:tcW w:w="2793" w:type="dxa"/>
                  <w:vAlign w:val="center"/>
                </w:tcPr>
                <w:p w14:paraId="3221AC41">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24"/>
                      <w:sz w:val="21"/>
                      <w:szCs w:val="21"/>
                      <w:highlight w:val="none"/>
                      <w:lang w:val="en-US" w:eastAsia="zh-CN"/>
                    </w:rPr>
                    <w:t>生活污水产生量较少，</w:t>
                  </w:r>
                  <w:r>
                    <w:rPr>
                      <w:rFonts w:hint="eastAsia" w:cs="Times New Roman"/>
                      <w:color w:val="auto"/>
                      <w:kern w:val="24"/>
                      <w:sz w:val="21"/>
                      <w:szCs w:val="21"/>
                      <w:highlight w:val="none"/>
                      <w:lang w:val="en-US" w:eastAsia="zh-CN"/>
                    </w:rPr>
                    <w:t>排入化粪池，定期清掏</w:t>
                  </w:r>
                </w:p>
              </w:tc>
            </w:tr>
            <w:tr w14:paraId="6687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14:paraId="4D8C4C2B">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噪声</w:t>
                  </w:r>
                </w:p>
              </w:tc>
              <w:tc>
                <w:tcPr>
                  <w:tcW w:w="2976" w:type="dxa"/>
                  <w:vAlign w:val="center"/>
                </w:tcPr>
                <w:p w14:paraId="390F2B89">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生产设备</w:t>
                  </w:r>
                </w:p>
              </w:tc>
              <w:tc>
                <w:tcPr>
                  <w:tcW w:w="1811" w:type="dxa"/>
                  <w:vAlign w:val="center"/>
                </w:tcPr>
                <w:p w14:paraId="30D368FD">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噪声</w:t>
                  </w:r>
                </w:p>
              </w:tc>
              <w:tc>
                <w:tcPr>
                  <w:tcW w:w="2793" w:type="dxa"/>
                  <w:vAlign w:val="center"/>
                </w:tcPr>
                <w:p w14:paraId="46126CBE">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选用低噪声设备，设备采取基础减振措施，厂房进行隔声处理</w:t>
                  </w:r>
                </w:p>
              </w:tc>
            </w:tr>
            <w:tr w14:paraId="16C4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94" w:type="dxa"/>
                  <w:vMerge w:val="restart"/>
                  <w:vAlign w:val="center"/>
                </w:tcPr>
                <w:p w14:paraId="5FAAAB2C">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固废</w:t>
                  </w:r>
                </w:p>
              </w:tc>
              <w:tc>
                <w:tcPr>
                  <w:tcW w:w="2976" w:type="dxa"/>
                  <w:vAlign w:val="center"/>
                </w:tcPr>
                <w:p w14:paraId="1E97538F">
                  <w:pPr>
                    <w:spacing w:line="240" w:lineRule="auto"/>
                    <w:ind w:left="0" w:leftChars="0" w:right="0" w:right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除尘器</w:t>
                  </w:r>
                </w:p>
              </w:tc>
              <w:tc>
                <w:tcPr>
                  <w:tcW w:w="1811" w:type="dxa"/>
                  <w:vAlign w:val="center"/>
                </w:tcPr>
                <w:p w14:paraId="16C3255A">
                  <w:pPr>
                    <w:spacing w:line="240" w:lineRule="auto"/>
                    <w:ind w:left="0" w:leftChars="0" w:right="0" w:rightChars="0"/>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除尘灰</w:t>
                  </w:r>
                </w:p>
              </w:tc>
              <w:tc>
                <w:tcPr>
                  <w:tcW w:w="2793" w:type="dxa"/>
                  <w:vMerge w:val="restart"/>
                  <w:vAlign w:val="center"/>
                </w:tcPr>
                <w:p w14:paraId="3B89CC13">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4"/>
                      <w:sz w:val="21"/>
                      <w:szCs w:val="21"/>
                      <w:lang w:val="zh-CN" w:eastAsia="zh-CN" w:bidi="zh-CN"/>
                    </w:rPr>
                  </w:pPr>
                  <w:r>
                    <w:rPr>
                      <w:rFonts w:hint="eastAsia" w:ascii="Times New Roman" w:hAnsi="Times New Roman" w:eastAsia="宋体" w:cs="Times New Roman"/>
                      <w:color w:val="auto"/>
                      <w:sz w:val="21"/>
                      <w:szCs w:val="21"/>
                      <w:vertAlign w:val="baseline"/>
                      <w:lang w:eastAsia="zh-CN"/>
                    </w:rPr>
                    <w:t>统一收集后</w:t>
                  </w:r>
                  <w:r>
                    <w:rPr>
                      <w:rFonts w:hint="eastAsia" w:ascii="Times New Roman" w:hAnsi="Times New Roman" w:cs="Times New Roman"/>
                      <w:color w:val="auto"/>
                      <w:sz w:val="21"/>
                      <w:szCs w:val="21"/>
                      <w:vertAlign w:val="baseline"/>
                      <w:lang w:eastAsia="zh-CN"/>
                    </w:rPr>
                    <w:t>外售</w:t>
                  </w:r>
                  <w:r>
                    <w:rPr>
                      <w:rFonts w:hint="eastAsia" w:ascii="Times New Roman" w:hAnsi="Times New Roman" w:eastAsia="宋体" w:cs="Times New Roman"/>
                      <w:color w:val="auto"/>
                      <w:sz w:val="21"/>
                      <w:szCs w:val="21"/>
                      <w:vertAlign w:val="baseline"/>
                      <w:lang w:eastAsia="zh-CN"/>
                    </w:rPr>
                    <w:t>兴隆县怡洋废料加工处理有限公司做原料</w:t>
                  </w:r>
                </w:p>
              </w:tc>
            </w:tr>
            <w:tr w14:paraId="19BF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94" w:type="dxa"/>
                  <w:vMerge w:val="continue"/>
                  <w:vAlign w:val="center"/>
                </w:tcPr>
                <w:p w14:paraId="04EF1494">
                  <w:pPr>
                    <w:spacing w:line="240" w:lineRule="auto"/>
                    <w:jc w:val="center"/>
                    <w:rPr>
                      <w:rFonts w:hint="default" w:ascii="Times New Roman" w:hAnsi="Times New Roman" w:eastAsia="宋体" w:cs="Times New Roman"/>
                      <w:color w:val="auto"/>
                      <w:sz w:val="21"/>
                      <w:szCs w:val="21"/>
                      <w:vertAlign w:val="baseline"/>
                      <w:lang w:eastAsia="zh-CN"/>
                    </w:rPr>
                  </w:pPr>
                </w:p>
              </w:tc>
              <w:tc>
                <w:tcPr>
                  <w:tcW w:w="2976" w:type="dxa"/>
                  <w:vAlign w:val="center"/>
                </w:tcPr>
                <w:p w14:paraId="5BCDA555">
                  <w:pPr>
                    <w:spacing w:line="240" w:lineRule="auto"/>
                    <w:ind w:left="0" w:leftChars="0" w:right="0" w:rightChars="0"/>
                    <w:jc w:val="center"/>
                    <w:rPr>
                      <w:rFonts w:hint="default"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沉淀池</w:t>
                  </w:r>
                </w:p>
              </w:tc>
              <w:tc>
                <w:tcPr>
                  <w:tcW w:w="1811" w:type="dxa"/>
                  <w:vAlign w:val="center"/>
                </w:tcPr>
                <w:p w14:paraId="3BB58DE2">
                  <w:pPr>
                    <w:spacing w:line="240" w:lineRule="auto"/>
                    <w:ind w:left="0" w:leftChars="0" w:right="0" w:rightChars="0"/>
                    <w:jc w:val="center"/>
                    <w:rPr>
                      <w:rFonts w:hint="default" w:ascii="Times New Roman" w:hAnsi="Times New Roman" w:eastAsia="宋体" w:cs="Times New Roman"/>
                      <w:color w:val="auto"/>
                      <w:sz w:val="21"/>
                      <w:szCs w:val="21"/>
                      <w:vertAlign w:val="baseline"/>
                      <w:lang w:eastAsia="zh-CN"/>
                    </w:rPr>
                  </w:pPr>
                  <w:r>
                    <w:rPr>
                      <w:rFonts w:hint="eastAsia" w:cs="Times New Roman"/>
                      <w:color w:val="auto"/>
                      <w:spacing w:val="0"/>
                      <w:sz w:val="21"/>
                      <w:szCs w:val="21"/>
                      <w:lang w:eastAsia="zh-CN"/>
                    </w:rPr>
                    <w:t>沉淀池底砂</w:t>
                  </w:r>
                </w:p>
              </w:tc>
              <w:tc>
                <w:tcPr>
                  <w:tcW w:w="2793" w:type="dxa"/>
                  <w:vMerge w:val="continue"/>
                  <w:vAlign w:val="center"/>
                </w:tcPr>
                <w:p w14:paraId="46838A2B">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eastAsia="zh-CN"/>
                    </w:rPr>
                  </w:pPr>
                </w:p>
              </w:tc>
            </w:tr>
            <w:tr w14:paraId="307E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994" w:type="dxa"/>
                  <w:vMerge w:val="continue"/>
                  <w:vAlign w:val="center"/>
                </w:tcPr>
                <w:p w14:paraId="1DCF638D">
                  <w:pPr>
                    <w:spacing w:line="240" w:lineRule="auto"/>
                    <w:jc w:val="center"/>
                    <w:rPr>
                      <w:rFonts w:hint="default" w:ascii="Times New Roman" w:hAnsi="Times New Roman" w:eastAsia="宋体" w:cs="Times New Roman"/>
                      <w:color w:val="auto"/>
                      <w:sz w:val="21"/>
                      <w:szCs w:val="21"/>
                      <w:vertAlign w:val="baseline"/>
                    </w:rPr>
                  </w:pPr>
                </w:p>
              </w:tc>
              <w:tc>
                <w:tcPr>
                  <w:tcW w:w="2976" w:type="dxa"/>
                  <w:vAlign w:val="center"/>
                </w:tcPr>
                <w:p w14:paraId="6EE2C0D3">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职工生活垃圾</w:t>
                  </w:r>
                </w:p>
              </w:tc>
              <w:tc>
                <w:tcPr>
                  <w:tcW w:w="1811" w:type="dxa"/>
                  <w:vAlign w:val="center"/>
                </w:tcPr>
                <w:p w14:paraId="5A76CE7A">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生活垃圾</w:t>
                  </w:r>
                </w:p>
              </w:tc>
              <w:tc>
                <w:tcPr>
                  <w:tcW w:w="2793" w:type="dxa"/>
                  <w:vAlign w:val="center"/>
                </w:tcPr>
                <w:p w14:paraId="7B7D4AC2">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24"/>
                      <w:sz w:val="21"/>
                      <w:szCs w:val="21"/>
                    </w:rPr>
                    <w:t>袋装化，集中</w:t>
                  </w:r>
                  <w:r>
                    <w:rPr>
                      <w:rFonts w:hint="default" w:ascii="Times New Roman" w:hAnsi="Times New Roman" w:eastAsia="宋体" w:cs="Times New Roman"/>
                      <w:color w:val="auto"/>
                      <w:sz w:val="21"/>
                      <w:szCs w:val="21"/>
                      <w:vertAlign w:val="baseline"/>
                      <w:lang w:eastAsia="zh-CN"/>
                    </w:rPr>
                    <w:t>收集后由环卫部门处理</w:t>
                  </w:r>
                </w:p>
              </w:tc>
            </w:tr>
            <w:tr w14:paraId="09D6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94" w:type="dxa"/>
                  <w:vMerge w:val="continue"/>
                  <w:vAlign w:val="center"/>
                </w:tcPr>
                <w:p w14:paraId="1CED9550">
                  <w:pPr>
                    <w:spacing w:line="240" w:lineRule="auto"/>
                    <w:jc w:val="center"/>
                    <w:rPr>
                      <w:rFonts w:hint="default" w:ascii="Times New Roman" w:hAnsi="Times New Roman" w:eastAsia="宋体" w:cs="Times New Roman"/>
                      <w:color w:val="auto"/>
                      <w:sz w:val="21"/>
                      <w:szCs w:val="21"/>
                      <w:vertAlign w:val="baseline"/>
                    </w:rPr>
                  </w:pPr>
                </w:p>
              </w:tc>
              <w:tc>
                <w:tcPr>
                  <w:tcW w:w="2976" w:type="dxa"/>
                  <w:vMerge w:val="restart"/>
                  <w:vAlign w:val="center"/>
                </w:tcPr>
                <w:p w14:paraId="300B1EDB">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设备</w:t>
                  </w:r>
                </w:p>
              </w:tc>
              <w:tc>
                <w:tcPr>
                  <w:tcW w:w="1811" w:type="dxa"/>
                  <w:vAlign w:val="center"/>
                </w:tcPr>
                <w:p w14:paraId="066764C9">
                  <w:pPr>
                    <w:spacing w:line="240" w:lineRule="auto"/>
                    <w:jc w:val="center"/>
                    <w:rPr>
                      <w:rFonts w:hint="default"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废润滑油</w:t>
                  </w:r>
                </w:p>
              </w:tc>
              <w:tc>
                <w:tcPr>
                  <w:tcW w:w="2793" w:type="dxa"/>
                  <w:vMerge w:val="restart"/>
                  <w:vAlign w:val="center"/>
                </w:tcPr>
                <w:p w14:paraId="06153157">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暂存于危废暂存间，委托</w:t>
                  </w:r>
                </w:p>
                <w:p w14:paraId="77760610">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有危废处置资质单位定</w:t>
                  </w:r>
                </w:p>
                <w:p w14:paraId="30625B56">
                  <w:pPr>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期清运处置</w:t>
                  </w:r>
                </w:p>
              </w:tc>
            </w:tr>
            <w:tr w14:paraId="02C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94" w:type="dxa"/>
                  <w:vMerge w:val="continue"/>
                  <w:vAlign w:val="center"/>
                </w:tcPr>
                <w:p w14:paraId="42E48671">
                  <w:pPr>
                    <w:spacing w:line="240" w:lineRule="auto"/>
                    <w:jc w:val="center"/>
                    <w:rPr>
                      <w:rFonts w:hint="default" w:ascii="Times New Roman" w:hAnsi="Times New Roman" w:eastAsia="宋体" w:cs="Times New Roman"/>
                      <w:color w:val="auto"/>
                      <w:sz w:val="21"/>
                      <w:szCs w:val="21"/>
                      <w:vertAlign w:val="baseline"/>
                    </w:rPr>
                  </w:pPr>
                </w:p>
              </w:tc>
              <w:tc>
                <w:tcPr>
                  <w:tcW w:w="2976" w:type="dxa"/>
                  <w:vMerge w:val="continue"/>
                  <w:vAlign w:val="center"/>
                </w:tcPr>
                <w:p w14:paraId="6A3F4FBF">
                  <w:pPr>
                    <w:spacing w:line="240" w:lineRule="auto"/>
                    <w:jc w:val="center"/>
                    <w:rPr>
                      <w:rFonts w:hint="default" w:ascii="Times New Roman" w:hAnsi="Times New Roman" w:eastAsia="宋体" w:cs="Times New Roman"/>
                      <w:color w:val="auto"/>
                      <w:sz w:val="21"/>
                      <w:szCs w:val="21"/>
                      <w:vertAlign w:val="baseline"/>
                    </w:rPr>
                  </w:pPr>
                </w:p>
              </w:tc>
              <w:tc>
                <w:tcPr>
                  <w:tcW w:w="1811" w:type="dxa"/>
                  <w:vAlign w:val="center"/>
                </w:tcPr>
                <w:p w14:paraId="32C08CDC">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废油桶</w:t>
                  </w:r>
                </w:p>
              </w:tc>
              <w:tc>
                <w:tcPr>
                  <w:tcW w:w="2793" w:type="dxa"/>
                  <w:vMerge w:val="continue"/>
                  <w:vAlign w:val="center"/>
                </w:tcPr>
                <w:p w14:paraId="6C7F4306">
                  <w:pPr>
                    <w:spacing w:line="240" w:lineRule="auto"/>
                    <w:jc w:val="center"/>
                    <w:rPr>
                      <w:rFonts w:hint="default" w:ascii="Times New Roman" w:hAnsi="Times New Roman" w:eastAsia="宋体" w:cs="Times New Roman"/>
                      <w:color w:val="auto"/>
                      <w:sz w:val="21"/>
                      <w:szCs w:val="21"/>
                      <w:vertAlign w:val="baseline"/>
                    </w:rPr>
                  </w:pPr>
                </w:p>
              </w:tc>
            </w:tr>
            <w:tr w14:paraId="3230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94" w:type="dxa"/>
                  <w:vMerge w:val="continue"/>
                  <w:vAlign w:val="center"/>
                </w:tcPr>
                <w:p w14:paraId="461B8F70">
                  <w:pPr>
                    <w:spacing w:line="240" w:lineRule="auto"/>
                    <w:jc w:val="center"/>
                    <w:rPr>
                      <w:rFonts w:hint="default" w:ascii="Times New Roman" w:hAnsi="Times New Roman" w:eastAsia="宋体" w:cs="Times New Roman"/>
                      <w:color w:val="auto"/>
                      <w:sz w:val="21"/>
                      <w:szCs w:val="21"/>
                      <w:vertAlign w:val="baseline"/>
                    </w:rPr>
                  </w:pPr>
                </w:p>
              </w:tc>
              <w:tc>
                <w:tcPr>
                  <w:tcW w:w="2976" w:type="dxa"/>
                  <w:vMerge w:val="continue"/>
                  <w:vAlign w:val="center"/>
                </w:tcPr>
                <w:p w14:paraId="0474F48D">
                  <w:pPr>
                    <w:spacing w:line="240" w:lineRule="auto"/>
                    <w:jc w:val="center"/>
                    <w:rPr>
                      <w:rFonts w:hint="default" w:ascii="Times New Roman" w:hAnsi="Times New Roman" w:eastAsia="宋体" w:cs="Times New Roman"/>
                      <w:color w:val="auto"/>
                      <w:sz w:val="21"/>
                      <w:szCs w:val="21"/>
                      <w:vertAlign w:val="baseline"/>
                    </w:rPr>
                  </w:pPr>
                </w:p>
              </w:tc>
              <w:tc>
                <w:tcPr>
                  <w:tcW w:w="1811" w:type="dxa"/>
                  <w:vAlign w:val="center"/>
                </w:tcPr>
                <w:p w14:paraId="447435A5">
                  <w:pPr>
                    <w:spacing w:line="240" w:lineRule="auto"/>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废旧含油抹布及劳保用品</w:t>
                  </w:r>
                </w:p>
              </w:tc>
              <w:tc>
                <w:tcPr>
                  <w:tcW w:w="2793" w:type="dxa"/>
                  <w:vMerge w:val="continue"/>
                  <w:vAlign w:val="center"/>
                </w:tcPr>
                <w:p w14:paraId="11F003CD">
                  <w:pPr>
                    <w:spacing w:line="240" w:lineRule="auto"/>
                    <w:jc w:val="center"/>
                    <w:rPr>
                      <w:rFonts w:hint="default" w:ascii="Times New Roman" w:hAnsi="Times New Roman" w:eastAsia="宋体" w:cs="Times New Roman"/>
                      <w:color w:val="auto"/>
                      <w:sz w:val="21"/>
                      <w:szCs w:val="21"/>
                      <w:vertAlign w:val="baseline"/>
                    </w:rPr>
                  </w:pPr>
                </w:p>
              </w:tc>
            </w:tr>
          </w:tbl>
          <w:p w14:paraId="3038660D">
            <w:pPr>
              <w:jc w:val="both"/>
              <w:rPr>
                <w:rFonts w:hint="default" w:ascii="Times New Roman" w:hAnsi="Times New Roman" w:eastAsia="宋体" w:cs="Times New Roman"/>
                <w:color w:val="auto"/>
                <w:lang w:eastAsia="zh-CN"/>
              </w:rPr>
            </w:pPr>
          </w:p>
        </w:tc>
      </w:tr>
      <w:tr w14:paraId="0A2536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17" w:hRule="atLeast"/>
        </w:trPr>
        <w:tc>
          <w:tcPr>
            <w:tcW w:w="347" w:type="pct"/>
            <w:tcBorders>
              <w:top w:val="single" w:color="000000" w:sz="4" w:space="0"/>
              <w:right w:val="single" w:color="000000" w:sz="4" w:space="0"/>
            </w:tcBorders>
            <w:vAlign w:val="center"/>
          </w:tcPr>
          <w:p w14:paraId="7B7E306D">
            <w:pPr>
              <w:bidi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与项目有关的原有环境污染问题</w:t>
            </w:r>
          </w:p>
        </w:tc>
        <w:tc>
          <w:tcPr>
            <w:tcW w:w="4652" w:type="pct"/>
            <w:tcBorders>
              <w:top w:val="single" w:color="000000" w:sz="4" w:space="0"/>
              <w:left w:val="single" w:color="000000" w:sz="4" w:space="0"/>
            </w:tcBorders>
            <w:vAlign w:val="top"/>
          </w:tcPr>
          <w:p w14:paraId="7053C75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（1）与本项目有关的原有污染情况</w:t>
            </w:r>
          </w:p>
          <w:p w14:paraId="05E41EB8">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color w:val="auto"/>
              </w:rPr>
            </w:pPr>
            <w:r>
              <w:rPr>
                <w:rFonts w:hint="eastAsia"/>
                <w:color w:val="auto"/>
                <w:lang w:val="en-US" w:eastAsia="zh-CN"/>
              </w:rPr>
              <w:t>本项目为新建项目，项目选址为河北省承德市兴隆县平安堡镇平安堡村张进存土地，用地前身为兴隆县太阳花钢厂，该厂早已停产，遗留一座生产厂房，厂房内存有部分设备及零部件。本次项目利用原有厂房作为生产车间，设备由原公司进行清理处置。不存在原有污染情况。</w:t>
            </w:r>
          </w:p>
          <w:p w14:paraId="4BB786B8">
            <w:pPr>
              <w:pStyle w:val="9"/>
              <w:adjustRightInd w:val="0"/>
              <w:snapToGrid w:val="0"/>
              <w:spacing w:line="360" w:lineRule="auto"/>
              <w:ind w:firstLine="512" w:firstLineChars="200"/>
              <w:rPr>
                <w:rFonts w:hint="default" w:ascii="Times New Roman" w:hAnsi="Times New Roman" w:eastAsia="宋体" w:cs="Times New Roman"/>
                <w:color w:val="auto"/>
                <w:lang w:val="en-US" w:eastAsia="zh-CN"/>
              </w:rPr>
            </w:pPr>
            <w:r>
              <w:rPr>
                <w:color w:val="auto"/>
              </w:rPr>
              <w:drawing>
                <wp:anchor distT="0" distB="0" distL="114300" distR="114300" simplePos="0" relativeHeight="251672576" behindDoc="1" locked="0" layoutInCell="1" allowOverlap="1">
                  <wp:simplePos x="0" y="0"/>
                  <wp:positionH relativeFrom="column">
                    <wp:posOffset>494665</wp:posOffset>
                  </wp:positionH>
                  <wp:positionV relativeFrom="paragraph">
                    <wp:posOffset>158750</wp:posOffset>
                  </wp:positionV>
                  <wp:extent cx="4485005" cy="3463925"/>
                  <wp:effectExtent l="0" t="0" r="48895" b="60325"/>
                  <wp:wrapThrough wrapText="bothSides">
                    <wp:wrapPolygon>
                      <wp:start x="0" y="0"/>
                      <wp:lineTo x="0" y="21501"/>
                      <wp:lineTo x="21468" y="21501"/>
                      <wp:lineTo x="21468" y="0"/>
                      <wp:lineTo x="0" y="0"/>
                    </wp:wrapPolygon>
                  </wp:wrapThrough>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4485005" cy="3463925"/>
                          </a:xfrm>
                          <a:prstGeom prst="rect">
                            <a:avLst/>
                          </a:prstGeom>
                          <a:noFill/>
                          <a:ln>
                            <a:noFill/>
                          </a:ln>
                        </pic:spPr>
                      </pic:pic>
                    </a:graphicData>
                  </a:graphic>
                </wp:anchor>
              </w:drawing>
            </w:r>
          </w:p>
          <w:p w14:paraId="73A00D7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1525FAA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05EDA38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4E5F1A2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5B99E2D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6E13865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42E803E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054F50B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5C833E8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7D0B165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5FD326B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1679575</wp:posOffset>
                      </wp:positionH>
                      <wp:positionV relativeFrom="paragraph">
                        <wp:posOffset>198755</wp:posOffset>
                      </wp:positionV>
                      <wp:extent cx="1708785" cy="1828800"/>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1708785" cy="1828800"/>
                              </a:xfrm>
                              <a:prstGeom prst="rect">
                                <a:avLst/>
                              </a:prstGeom>
                              <a:noFill/>
                              <a:ln w="12700">
                                <a:noFill/>
                              </a:ln>
                            </wps:spPr>
                            <wps:txbx>
                              <w:txbxContent>
                                <w:p w14:paraId="647B80A7">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w:t>
                                  </w:r>
                                  <w:r>
                                    <w:rPr>
                                      <w:rFonts w:hint="eastAsia" w:cs="Times New Roman"/>
                                      <w:b/>
                                      <w:bCs/>
                                      <w:sz w:val="21"/>
                                      <w:szCs w:val="21"/>
                                      <w:lang w:val="en-US" w:eastAsia="zh-CN"/>
                                    </w:rPr>
                                    <w:t>5厂区现状</w:t>
                                  </w:r>
                                  <w:r>
                                    <w:rPr>
                                      <w:rFonts w:hint="default" w:ascii="Times New Roman" w:hAnsi="Times New Roman" w:cs="Times New Roman"/>
                                      <w:b/>
                                      <w:bCs/>
                                      <w:sz w:val="21"/>
                                      <w:szCs w:val="21"/>
                                      <w:lang w:val="en-US" w:eastAsia="zh-CN"/>
                                    </w:rPr>
                                    <w:t>图</w:t>
                                  </w:r>
                                </w:p>
                              </w:txbxContent>
                            </wps:txbx>
                            <wps:bodyPr upright="1">
                              <a:spAutoFit/>
                            </wps:bodyPr>
                          </wps:wsp>
                        </a:graphicData>
                      </a:graphic>
                    </wp:anchor>
                  </w:drawing>
                </mc:Choice>
                <mc:Fallback>
                  <w:pict>
                    <v:shape id="_x0000_s1026" o:spid="_x0000_s1026" o:spt="202" type="#_x0000_t202" style="position:absolute;left:0pt;margin-left:132.25pt;margin-top:15.65pt;height:144pt;width:134.55pt;mso-wrap-distance-bottom:0pt;mso-wrap-distance-left:9pt;mso-wrap-distance-right:9pt;mso-wrap-distance-top:0pt;z-index:251668480;mso-width-relative:page;mso-height-relative:page;" filled="f" stroked="f" coordsize="21600,21600" o:gfxdata="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BSIJdsAAAAKAQAADwAAAAAAAAABACAAAAAiAAAAZHJzL2Rvd25yZXYu&#10;eG1sUEsBAhQAFAAAAAgAh07iQGasfOC/AQAAcwMAAA4AAAAAAAAAAQAgAAAAKgEAAGRycy9lMm9E&#10;b2MueG1sUEsFBgAAAAAGAAYAWQEAAFsFAAAAAA==&#10;">
                      <v:fill on="f" focussize="0,0"/>
                      <v:stroke on="f" weight="1pt"/>
                      <v:imagedata o:title=""/>
                      <o:lock v:ext="edit" aspectratio="f"/>
                      <v:textbox style="mso-fit-shape-to-text:t;">
                        <w:txbxContent>
                          <w:p w14:paraId="647B80A7">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w:t>
                            </w:r>
                            <w:r>
                              <w:rPr>
                                <w:rFonts w:hint="eastAsia" w:cs="Times New Roman"/>
                                <w:b/>
                                <w:bCs/>
                                <w:sz w:val="21"/>
                                <w:szCs w:val="21"/>
                                <w:lang w:val="en-US" w:eastAsia="zh-CN"/>
                              </w:rPr>
                              <w:t>5厂区现状</w:t>
                            </w:r>
                            <w:r>
                              <w:rPr>
                                <w:rFonts w:hint="default" w:ascii="Times New Roman" w:hAnsi="Times New Roman" w:cs="Times New Roman"/>
                                <w:b/>
                                <w:bCs/>
                                <w:sz w:val="21"/>
                                <w:szCs w:val="21"/>
                                <w:lang w:val="en-US" w:eastAsia="zh-CN"/>
                              </w:rPr>
                              <w:t>图</w:t>
                            </w:r>
                          </w:p>
                        </w:txbxContent>
                      </v:textbox>
                      <w10:wrap type="square"/>
                    </v:shape>
                  </w:pict>
                </mc:Fallback>
              </mc:AlternateContent>
            </w:r>
          </w:p>
          <w:p w14:paraId="3DAFF3D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p>
          <w:p w14:paraId="39A87D8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（2）主要环境问题</w:t>
            </w:r>
          </w:p>
          <w:p w14:paraId="6335970A">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b w:val="0"/>
                <w:bCs w:val="0"/>
                <w:color w:val="auto"/>
                <w:kern w:val="2"/>
                <w:sz w:val="24"/>
                <w:szCs w:val="22"/>
                <w:lang w:val="en-US" w:eastAsia="zh-CN" w:bidi="ar-SA"/>
              </w:rPr>
              <w:t>项目所在区域周围为工业场地，</w:t>
            </w:r>
            <w:r>
              <w:rPr>
                <w:rFonts w:hint="default" w:ascii="Times New Roman" w:hAnsi="Times New Roman" w:eastAsia="宋体" w:cs="Times New Roman"/>
                <w:color w:val="auto"/>
                <w:lang w:eastAsia="zh-CN"/>
              </w:rPr>
              <w:t>厂界</w:t>
            </w:r>
            <w:r>
              <w:rPr>
                <w:rFonts w:hint="eastAsia" w:cs="Times New Roman"/>
                <w:color w:val="auto"/>
                <w:lang w:eastAsia="zh-CN"/>
              </w:rPr>
              <w:t>南</w:t>
            </w:r>
            <w:r>
              <w:rPr>
                <w:rFonts w:hint="default" w:ascii="Times New Roman" w:hAnsi="Times New Roman" w:eastAsia="宋体" w:cs="Times New Roman"/>
                <w:color w:val="auto"/>
                <w:lang w:eastAsia="zh-CN"/>
              </w:rPr>
              <w:t>侧</w:t>
            </w:r>
            <w:r>
              <w:rPr>
                <w:rFonts w:hint="eastAsia" w:cs="Times New Roman"/>
                <w:color w:val="auto"/>
                <w:lang w:val="en-US" w:eastAsia="zh-CN"/>
              </w:rPr>
              <w:t>紧邻</w:t>
            </w:r>
            <w:r>
              <w:rPr>
                <w:rFonts w:hint="default" w:ascii="Times New Roman" w:hAnsi="Times New Roman" w:eastAsia="宋体" w:cs="Times New Roman"/>
                <w:color w:val="auto"/>
                <w:highlight w:val="none"/>
                <w:lang w:val="en-US" w:eastAsia="zh-CN"/>
              </w:rPr>
              <w:t>兴隆县瑞隆矿业有限公司</w:t>
            </w:r>
            <w:r>
              <w:rPr>
                <w:rFonts w:hint="default" w:ascii="Times New Roman" w:hAnsi="Times New Roman" w:eastAsia="宋体" w:cs="Times New Roman"/>
                <w:color w:val="auto"/>
                <w:lang w:val="en-US" w:eastAsia="zh-CN"/>
              </w:rPr>
              <w:t>，</w:t>
            </w:r>
            <w:r>
              <w:rPr>
                <w:rFonts w:hint="eastAsia" w:cs="Times New Roman"/>
                <w:color w:val="auto"/>
                <w:lang w:val="en-US" w:eastAsia="zh-CN"/>
              </w:rPr>
              <w:t>南</w:t>
            </w:r>
            <w:r>
              <w:rPr>
                <w:rFonts w:hint="default" w:ascii="Times New Roman" w:hAnsi="Times New Roman" w:eastAsia="宋体" w:cs="Times New Roman"/>
                <w:color w:val="auto"/>
                <w:lang w:val="en-US" w:eastAsia="zh-CN"/>
              </w:rPr>
              <w:t>侧</w:t>
            </w:r>
            <w:r>
              <w:rPr>
                <w:rFonts w:hint="eastAsia" w:cs="Times New Roman"/>
                <w:color w:val="auto"/>
                <w:lang w:val="en-US" w:eastAsia="zh-CN"/>
              </w:rPr>
              <w:t>199</w:t>
            </w:r>
            <w:r>
              <w:rPr>
                <w:rFonts w:hint="default" w:ascii="Times New Roman" w:hAnsi="Times New Roman" w:eastAsia="宋体" w:cs="Times New Roman"/>
                <w:color w:val="auto"/>
                <w:lang w:val="en-US" w:eastAsia="zh-CN"/>
              </w:rPr>
              <w:t>米为</w:t>
            </w:r>
            <w:r>
              <w:rPr>
                <w:rFonts w:hint="eastAsia" w:cs="Times New Roman"/>
                <w:color w:val="auto"/>
                <w:highlight w:val="none"/>
                <w:lang w:val="en-US" w:eastAsia="zh-CN"/>
              </w:rPr>
              <w:t>兴隆县怡洋废料加工处理有限公司</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b w:val="0"/>
                <w:bCs w:val="0"/>
                <w:color w:val="auto"/>
                <w:kern w:val="2"/>
                <w:sz w:val="24"/>
                <w:szCs w:val="22"/>
                <w:lang w:val="en-US" w:eastAsia="zh-CN" w:bidi="ar-SA"/>
              </w:rPr>
              <w:t>区域污染源主要为工业厂区污染及运输车辆扬尘</w:t>
            </w:r>
            <w:r>
              <w:rPr>
                <w:rFonts w:hint="default" w:ascii="Times New Roman" w:hAnsi="Times New Roman" w:eastAsia="宋体" w:cs="Times New Roman"/>
                <w:color w:val="auto"/>
              </w:rPr>
              <w:t>，本项目目前</w:t>
            </w:r>
            <w:r>
              <w:rPr>
                <w:rFonts w:hint="default" w:ascii="Times New Roman" w:hAnsi="Times New Roman" w:eastAsia="宋体" w:cs="Times New Roman"/>
                <w:color w:val="auto"/>
                <w:lang w:eastAsia="zh-CN"/>
              </w:rPr>
              <w:t>正在平整土地</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rPr>
              <w:t>产生的扬尘、噪声、固废需采取本评价提出的污染防治措施规范施工。</w:t>
            </w:r>
          </w:p>
          <w:p w14:paraId="5A998838">
            <w:pPr>
              <w:rPr>
                <w:rFonts w:hint="default"/>
                <w:color w:val="auto"/>
              </w:rPr>
            </w:pPr>
          </w:p>
          <w:p w14:paraId="2DA85E7D">
            <w:pPr>
              <w:pStyle w:val="10"/>
              <w:rPr>
                <w:rFonts w:hint="default"/>
                <w:color w:val="auto"/>
              </w:rPr>
            </w:pPr>
          </w:p>
          <w:p w14:paraId="27F71B1C">
            <w:pPr>
              <w:rPr>
                <w:rFonts w:hint="default"/>
                <w:color w:val="auto"/>
              </w:rPr>
            </w:pPr>
          </w:p>
        </w:tc>
      </w:tr>
    </w:tbl>
    <w:p w14:paraId="29AC889A">
      <w:pPr>
        <w:spacing w:after="0"/>
        <w:rPr>
          <w:rFonts w:hint="default" w:ascii="Times New Roman" w:hAnsi="Times New Roman" w:eastAsia="宋体" w:cs="Times New Roman"/>
          <w:color w:val="auto"/>
          <w:sz w:val="21"/>
        </w:rPr>
        <w:sectPr>
          <w:pgSz w:w="11910" w:h="16840"/>
          <w:pgMar w:top="1417" w:right="1247" w:bottom="1417" w:left="1247" w:header="0" w:footer="1043" w:gutter="0"/>
          <w:pgBorders>
            <w:top w:val="none" w:sz="0" w:space="0"/>
            <w:left w:val="none" w:sz="0" w:space="0"/>
            <w:bottom w:val="none" w:sz="0" w:space="0"/>
            <w:right w:val="none" w:sz="0" w:space="0"/>
          </w:pgBorders>
          <w:pgNumType w:fmt="decimal"/>
          <w:cols w:space="720" w:num="1"/>
        </w:sectPr>
      </w:pPr>
    </w:p>
    <w:p w14:paraId="57A8408B">
      <w:pPr>
        <w:pStyle w:val="4"/>
        <w:bidi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rPr>
        <w:t>三、区域环境质量现状、环境保护目标及评价标准</w:t>
      </w:r>
    </w:p>
    <w:tbl>
      <w:tblPr>
        <w:tblStyle w:val="21"/>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9"/>
        <w:gridCol w:w="8190"/>
      </w:tblGrid>
      <w:tr w14:paraId="30E10D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88" w:hRule="atLeast"/>
        </w:trPr>
        <w:tc>
          <w:tcPr>
            <w:tcW w:w="799" w:type="dxa"/>
            <w:tcBorders>
              <w:bottom w:val="single" w:color="000000" w:sz="4" w:space="0"/>
              <w:right w:val="single" w:color="000000" w:sz="4" w:space="0"/>
            </w:tcBorders>
            <w:vAlign w:val="center"/>
          </w:tcPr>
          <w:p w14:paraId="45F60E91">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区</w:t>
            </w:r>
          </w:p>
          <w:p w14:paraId="333A564E">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域</w:t>
            </w:r>
          </w:p>
          <w:p w14:paraId="68DDC8F9">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w:t>
            </w:r>
          </w:p>
          <w:p w14:paraId="4347DAB3">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境</w:t>
            </w:r>
          </w:p>
          <w:p w14:paraId="6D89A37C">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质</w:t>
            </w:r>
          </w:p>
          <w:p w14:paraId="5909248D">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量</w:t>
            </w:r>
          </w:p>
          <w:p w14:paraId="7DF7CAFA">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w:t>
            </w:r>
          </w:p>
          <w:p w14:paraId="0FFE6D31">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状</w:t>
            </w:r>
          </w:p>
        </w:tc>
        <w:tc>
          <w:tcPr>
            <w:tcW w:w="8190" w:type="dxa"/>
            <w:tcBorders>
              <w:left w:val="single" w:color="000000" w:sz="4" w:space="0"/>
              <w:bottom w:val="single" w:color="000000" w:sz="4" w:space="0"/>
            </w:tcBorders>
            <w:vAlign w:val="center"/>
          </w:tcPr>
          <w:p w14:paraId="20BE405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本项目评价引用20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eastAsia="zh-CN"/>
              </w:rPr>
              <w:t>承德市生态环境局</w:t>
            </w:r>
            <w:r>
              <w:rPr>
                <w:rFonts w:hint="default" w:ascii="Times New Roman" w:hAnsi="Times New Roman" w:eastAsia="宋体" w:cs="Times New Roman"/>
                <w:color w:val="auto"/>
                <w:sz w:val="24"/>
                <w:szCs w:val="24"/>
              </w:rPr>
              <w:t>发布的《20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年承德市</w:t>
            </w:r>
            <w:r>
              <w:rPr>
                <w:rFonts w:hint="eastAsia" w:cs="Times New Roman"/>
                <w:color w:val="auto"/>
                <w:sz w:val="24"/>
                <w:szCs w:val="24"/>
                <w:lang w:eastAsia="zh-CN"/>
              </w:rPr>
              <w:t>生态</w:t>
            </w:r>
            <w:r>
              <w:rPr>
                <w:rFonts w:hint="default" w:ascii="Times New Roman" w:hAnsi="Times New Roman" w:eastAsia="宋体" w:cs="Times New Roman"/>
                <w:color w:val="auto"/>
                <w:sz w:val="24"/>
                <w:szCs w:val="24"/>
              </w:rPr>
              <w:t>环境状况公报》常规数据</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lang w:val="en-US" w:eastAsia="zh-CN"/>
              </w:rPr>
              <w:t>唐山永正环境监测有限公司</w:t>
            </w:r>
            <w:r>
              <w:rPr>
                <w:rFonts w:hint="default" w:ascii="Times New Roman" w:hAnsi="Times New Roman" w:eastAsia="宋体" w:cs="Times New Roman"/>
                <w:color w:val="auto"/>
                <w:kern w:val="0"/>
                <w:sz w:val="24"/>
                <w:szCs w:val="21"/>
                <w:lang w:eastAsia="zh-CN"/>
              </w:rPr>
              <w:t>出具的《</w:t>
            </w:r>
            <w:r>
              <w:rPr>
                <w:rFonts w:hint="default" w:ascii="Times New Roman" w:hAnsi="Times New Roman" w:eastAsia="宋体" w:cs="Times New Roman"/>
                <w:color w:val="auto"/>
                <w:lang w:val="en-US" w:eastAsia="zh-CN"/>
              </w:rPr>
              <w:t>丹东路彤金鼎建筑工程有限公司</w:t>
            </w:r>
            <w:r>
              <w:rPr>
                <w:rFonts w:hint="default" w:ascii="Times New Roman" w:hAnsi="Times New Roman" w:eastAsia="宋体" w:cs="Times New Roman"/>
                <w:color w:val="auto"/>
                <w:kern w:val="0"/>
                <w:sz w:val="24"/>
                <w:szCs w:val="21"/>
                <w:lang w:eastAsia="zh-CN"/>
              </w:rPr>
              <w:t>》</w:t>
            </w:r>
            <w:r>
              <w:rPr>
                <w:rFonts w:hint="default" w:ascii="Times New Roman" w:hAnsi="Times New Roman" w:eastAsia="宋体" w:cs="Times New Roman"/>
                <w:color w:val="auto"/>
                <w:kern w:val="0"/>
                <w:sz w:val="24"/>
                <w:szCs w:val="21"/>
              </w:rPr>
              <w:t>环境空气质量现状</w:t>
            </w:r>
            <w:r>
              <w:rPr>
                <w:rFonts w:hint="default" w:ascii="Times New Roman" w:hAnsi="Times New Roman" w:eastAsia="宋体" w:cs="Times New Roman"/>
                <w:color w:val="auto"/>
                <w:kern w:val="0"/>
                <w:sz w:val="24"/>
                <w:szCs w:val="21"/>
                <w:lang w:eastAsia="zh-CN"/>
              </w:rPr>
              <w:t>检测数据（</w:t>
            </w:r>
            <w:r>
              <w:rPr>
                <w:rFonts w:hint="default" w:ascii="Times New Roman" w:hAnsi="Times New Roman" w:eastAsia="宋体" w:cs="Times New Roman"/>
                <w:color w:val="auto"/>
                <w:lang w:val="en-US" w:eastAsia="zh-CN"/>
              </w:rPr>
              <w:t>唐永检字【2022】第04040号</w:t>
            </w:r>
            <w:r>
              <w:rPr>
                <w:rFonts w:hint="default" w:ascii="Times New Roman" w:hAnsi="Times New Roman" w:eastAsia="宋体" w:cs="Times New Roman"/>
                <w:color w:val="auto"/>
                <w:kern w:val="0"/>
                <w:sz w:val="24"/>
                <w:szCs w:val="21"/>
                <w:lang w:eastAsia="zh-CN"/>
              </w:rPr>
              <w:t>）</w:t>
            </w:r>
            <w:r>
              <w:rPr>
                <w:rStyle w:val="31"/>
                <w:rFonts w:hint="default" w:ascii="Times New Roman" w:hAnsi="Times New Roman" w:eastAsia="宋体" w:cs="Times New Roman"/>
                <w:color w:val="auto"/>
                <w:lang w:val="en-US" w:eastAsia="zh-CN"/>
              </w:rPr>
              <w:t>。</w:t>
            </w:r>
          </w:p>
          <w:p w14:paraId="348FAA1D">
            <w:pPr>
              <w:keepNext w:val="0"/>
              <w:keepLines w:val="0"/>
              <w:pageBreakBefore w:val="0"/>
              <w:widowControl w:val="0"/>
              <w:tabs>
                <w:tab w:val="left" w:pos="660"/>
              </w:tabs>
              <w:kinsoku/>
              <w:wordWrap/>
              <w:overflowPunct/>
              <w:topLinePunct w:val="0"/>
              <w:autoSpaceDE/>
              <w:autoSpaceDN/>
              <w:bidi w:val="0"/>
              <w:adjustRightInd w:val="0"/>
              <w:snapToGrid w:val="0"/>
              <w:spacing w:line="500" w:lineRule="exact"/>
              <w:ind w:firstLine="482" w:firstLineChars="200"/>
              <w:jc w:val="left"/>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大气环境</w:t>
            </w:r>
          </w:p>
          <w:p w14:paraId="77B68263">
            <w:pPr>
              <w:pStyle w:val="17"/>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eastAsia="zh-CN"/>
              </w:rPr>
              <w:t>）项</w:t>
            </w:r>
            <w:r>
              <w:rPr>
                <w:rFonts w:hint="default" w:ascii="Times New Roman" w:hAnsi="Times New Roman" w:eastAsia="宋体" w:cs="Times New Roman"/>
                <w:color w:val="auto"/>
                <w:sz w:val="24"/>
                <w:szCs w:val="24"/>
                <w:lang w:eastAsia="zh-CN"/>
              </w:rPr>
              <w:t>目所在区域环境质量达标情况</w:t>
            </w:r>
          </w:p>
          <w:p w14:paraId="5EEC7051">
            <w:pPr>
              <w:shd w:val="clear" w:color="auto" w:fill="FFFFFF"/>
              <w:autoSpaceDE/>
              <w:autoSpaceDN/>
              <w:spacing w:line="500" w:lineRule="exact"/>
              <w:ind w:firstLine="48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eastAsia="zh-CN"/>
              </w:rPr>
              <w:t>依据</w:t>
            </w:r>
            <w:r>
              <w:rPr>
                <w:rFonts w:hint="default" w:ascii="Times New Roman" w:hAnsi="Times New Roman" w:eastAsia="宋体" w:cs="Times New Roman"/>
                <w:color w:val="auto"/>
              </w:rPr>
              <w:t>《建设项目环境影响报告表编制技术指南（污染影响类）》（试行），评价引用20</w:t>
            </w:r>
            <w:r>
              <w:rPr>
                <w:rFonts w:hint="default" w:ascii="Times New Roman" w:hAnsi="Times New Roman" w:eastAsia="宋体" w:cs="Times New Roman"/>
                <w:color w:val="auto"/>
                <w:lang w:val="en-US"/>
              </w:rPr>
              <w:t>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rPr>
              <w:t>5</w:t>
            </w:r>
            <w:r>
              <w:rPr>
                <w:rFonts w:hint="default" w:ascii="Times New Roman" w:hAnsi="Times New Roman" w:eastAsia="宋体" w:cs="Times New Roman"/>
                <w:color w:val="auto"/>
              </w:rPr>
              <w:t>月承德市生态环境局发布的《20</w:t>
            </w:r>
            <w:r>
              <w:rPr>
                <w:rFonts w:hint="default" w:ascii="Times New Roman" w:hAnsi="Times New Roman" w:eastAsia="宋体" w:cs="Times New Roman"/>
                <w:color w:val="auto"/>
                <w:lang w:val="en-US"/>
              </w:rPr>
              <w:t>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年承德市环境状况公报》常规数据，</w:t>
            </w:r>
            <w:r>
              <w:rPr>
                <w:rFonts w:hint="default" w:ascii="Times New Roman" w:hAnsi="Times New Roman" w:eastAsia="宋体" w:cs="Times New Roman"/>
                <w:color w:val="auto"/>
                <w:lang w:val="en-US" w:eastAsia="zh-CN"/>
              </w:rPr>
              <w:t>2023年12个县（市、区）首要污染物</w:t>
            </w:r>
            <w:r>
              <w:rPr>
                <w:rFonts w:hint="default" w:ascii="Times New Roman" w:hAnsi="Times New Roman" w:eastAsia="宋体" w:cs="Times New Roman"/>
                <w:color w:val="auto"/>
                <w:lang w:val="en-US"/>
              </w:rPr>
              <w:t>O</w:t>
            </w:r>
            <w:r>
              <w:rPr>
                <w:rFonts w:hint="default" w:ascii="Times New Roman" w:hAnsi="Times New Roman" w:eastAsia="宋体" w:cs="Times New Roman"/>
                <w:color w:val="auto"/>
                <w:vertAlign w:val="subscript"/>
                <w:lang w:val="en-US"/>
              </w:rPr>
              <w:t>3</w:t>
            </w:r>
            <w:r>
              <w:rPr>
                <w:rFonts w:hint="default" w:ascii="Times New Roman" w:hAnsi="Times New Roman" w:eastAsia="宋体" w:cs="Times New Roman"/>
                <w:color w:val="auto"/>
                <w:lang w:val="en-US"/>
              </w:rPr>
              <w:t>，</w:t>
            </w:r>
            <w:r>
              <w:rPr>
                <w:rFonts w:hint="default" w:ascii="Times New Roman" w:hAnsi="Times New Roman" w:eastAsia="宋体" w:cs="Times New Roman"/>
                <w:color w:val="auto"/>
                <w:sz w:val="24"/>
                <w:szCs w:val="24"/>
                <w:lang w:eastAsia="zh-CN"/>
              </w:rPr>
              <w:t>综合指标指数范围为</w:t>
            </w:r>
            <w:r>
              <w:rPr>
                <w:rFonts w:hint="default" w:ascii="Times New Roman" w:hAnsi="Times New Roman" w:eastAsia="宋体" w:cs="Times New Roman"/>
                <w:color w:val="auto"/>
                <w:sz w:val="24"/>
                <w:szCs w:val="24"/>
                <w:lang w:val="en-US" w:eastAsia="zh-CN"/>
              </w:rPr>
              <w:t>2.82~3.91，其中4个县</w:t>
            </w:r>
            <w:r>
              <w:rPr>
                <w:rFonts w:hint="default" w:ascii="Times New Roman" w:hAnsi="Times New Roman" w:eastAsia="宋体" w:cs="Times New Roman"/>
                <w:color w:val="auto"/>
                <w:lang w:val="en-US" w:eastAsia="zh-CN"/>
              </w:rPr>
              <w:t>（市、区）综合指数下降，8个上升，变化幅度范围为-2.8%~6.9%，优良天数范围为285~323天之间。</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lang w:eastAsia="zh-CN"/>
              </w:rPr>
              <w:t>浓度范围为</w:t>
            </w:r>
            <w:r>
              <w:rPr>
                <w:rFonts w:hint="default" w:ascii="Times New Roman" w:hAnsi="Times New Roman" w:eastAsia="宋体" w:cs="Times New Roman"/>
                <w:color w:val="auto"/>
                <w:lang w:val="en-US" w:eastAsia="zh-CN"/>
              </w:rPr>
              <w:t>18~36ug/m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，其中</w:t>
            </w:r>
            <w:r>
              <w:rPr>
                <w:rFonts w:hint="default" w:ascii="Times New Roman" w:hAnsi="Times New Roman" w:eastAsia="宋体" w:cs="Times New Roman"/>
                <w:color w:val="auto"/>
                <w:sz w:val="24"/>
                <w:szCs w:val="24"/>
                <w:lang w:val="en-US" w:eastAsia="zh-CN"/>
              </w:rPr>
              <w:t>5个县</w:t>
            </w:r>
            <w:r>
              <w:rPr>
                <w:rFonts w:hint="default" w:ascii="Times New Roman" w:hAnsi="Times New Roman" w:eastAsia="宋体" w:cs="Times New Roman"/>
                <w:color w:val="auto"/>
                <w:lang w:val="en-US" w:eastAsia="zh-CN"/>
              </w:rPr>
              <w:t>（市、区）综合指数下降3个持平，4个上升，变化幅度范围为-8.7%~10.5%。12个县（市、区）</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、CO</w:t>
            </w:r>
            <w:r>
              <w:rPr>
                <w:rFonts w:hint="default" w:ascii="Times New Roman" w:hAnsi="Times New Roman" w:eastAsia="宋体" w:cs="Times New Roman"/>
                <w:color w:val="auto"/>
                <w:lang w:eastAsia="zh-CN"/>
              </w:rPr>
              <w:t>年平均浓度均达到国家二级标准，</w:t>
            </w:r>
            <w:r>
              <w:rPr>
                <w:rFonts w:hint="default" w:ascii="Times New Roman" w:hAnsi="Times New Roman" w:eastAsia="宋体" w:cs="Times New Roman"/>
                <w:color w:val="auto"/>
                <w:lang w:val="en-US" w:eastAsia="zh-CN"/>
              </w:rPr>
              <w:t>6个县（市、区）</w:t>
            </w:r>
            <w:r>
              <w:rPr>
                <w:rFonts w:hint="default" w:ascii="Times New Roman" w:hAnsi="Times New Roman" w:eastAsia="宋体" w:cs="Times New Roman"/>
                <w:color w:val="auto"/>
                <w:lang w:val="en-US"/>
              </w:rPr>
              <w:t>O</w:t>
            </w:r>
            <w:r>
              <w:rPr>
                <w:rFonts w:hint="default" w:ascii="Times New Roman" w:hAnsi="Times New Roman" w:eastAsia="宋体" w:cs="Times New Roman"/>
                <w:color w:val="auto"/>
                <w:vertAlign w:val="subscript"/>
                <w:lang w:val="en-US"/>
              </w:rPr>
              <w:t>3</w:t>
            </w:r>
            <w:r>
              <w:rPr>
                <w:rFonts w:hint="default" w:ascii="Times New Roman" w:hAnsi="Times New Roman" w:eastAsia="宋体" w:cs="Times New Roman"/>
                <w:color w:val="auto"/>
                <w:lang w:eastAsia="zh-CN"/>
              </w:rPr>
              <w:t>年平均浓度达到国家二级标准。</w:t>
            </w:r>
            <w:r>
              <w:rPr>
                <w:rFonts w:hint="eastAsia" w:ascii="Times New Roman" w:hAnsi="Times New Roman" w:eastAsia="宋体" w:cs="Times New Roman"/>
                <w:color w:val="auto"/>
                <w:lang w:val="en-US" w:eastAsia="zh-CN"/>
              </w:rPr>
              <w:t>2023年共有6个未</w:t>
            </w:r>
            <w:r>
              <w:rPr>
                <w:rFonts w:hint="default" w:ascii="Times New Roman" w:hAnsi="Times New Roman" w:eastAsia="宋体" w:cs="Times New Roman"/>
                <w:color w:val="auto"/>
                <w:lang w:eastAsia="zh-CN"/>
              </w:rPr>
              <w:t>达到国家二级标</w:t>
            </w:r>
            <w:r>
              <w:rPr>
                <w:rFonts w:hint="eastAsia" w:cs="Times New Roman"/>
                <w:color w:val="auto"/>
                <w:lang w:eastAsia="zh-CN"/>
              </w:rPr>
              <w:t>的</w:t>
            </w:r>
            <w:r>
              <w:rPr>
                <w:rFonts w:hint="default" w:ascii="Times New Roman" w:hAnsi="Times New Roman" w:eastAsia="宋体" w:cs="Times New Roman"/>
                <w:color w:val="auto"/>
                <w:lang w:val="en-US" w:eastAsia="zh-CN"/>
              </w:rPr>
              <w:t>县（市、区）</w:t>
            </w:r>
            <w:r>
              <w:rPr>
                <w:rFonts w:hint="eastAsia" w:cs="Times New Roman"/>
                <w:color w:val="auto"/>
                <w:lang w:val="en-US" w:eastAsia="zh-CN"/>
              </w:rPr>
              <w:t>，均由臭氧超标导致，为中部及南部县（市、区）污染物浓度高于北部。</w:t>
            </w:r>
          </w:p>
          <w:p w14:paraId="7D119F67">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eastAsia" w:cs="Times New Roman"/>
                <w:color w:val="auto"/>
                <w:lang w:eastAsia="zh-CN"/>
              </w:rPr>
              <w:t>以打造京津冀领先的空气质量为目标，从扬尘源、移动源、燃烧源、餐饮源和工业企业</w:t>
            </w:r>
            <w:r>
              <w:rPr>
                <w:rFonts w:hint="eastAsia" w:cs="Times New Roman"/>
                <w:color w:val="auto"/>
                <w:lang w:val="en-US" w:eastAsia="zh-CN"/>
              </w:rPr>
              <w:t>5方面实施中心城区精细化管控。针对季节变换和每月污染特征，逐月下达月度控制目标，制定治理措施。分时段动态设定重点企业主要污染物基准排放量、排放浓度和每日减排目标。</w:t>
            </w:r>
          </w:p>
          <w:p w14:paraId="45832525">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）其他污染物环境质量现状</w:t>
            </w:r>
          </w:p>
          <w:p w14:paraId="66958911">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lang w:val="en-US" w:eastAsia="zh-CN"/>
              </w:rPr>
              <w:t>该项目引用2022年5月唐山永正环境监测有限公司《丹东路彤金鼎建筑工程有限公司》</w:t>
            </w:r>
            <w:r>
              <w:rPr>
                <w:rFonts w:hint="default" w:ascii="Times New Roman" w:hAnsi="Times New Roman" w:eastAsia="宋体" w:cs="Times New Roman"/>
                <w:color w:val="auto"/>
              </w:rPr>
              <w:t>环境</w:t>
            </w:r>
            <w:r>
              <w:rPr>
                <w:rFonts w:hint="default" w:ascii="Times New Roman" w:hAnsi="Times New Roman" w:eastAsia="宋体" w:cs="Times New Roman"/>
                <w:color w:val="auto"/>
                <w:lang w:val="en-US" w:eastAsia="zh-CN"/>
              </w:rPr>
              <w:t>空气</w:t>
            </w:r>
            <w:r>
              <w:rPr>
                <w:rFonts w:hint="default" w:ascii="Times New Roman" w:hAnsi="Times New Roman" w:eastAsia="宋体" w:cs="Times New Roman"/>
                <w:color w:val="auto"/>
                <w:lang w:eastAsia="zh-CN"/>
              </w:rPr>
              <w:t>检</w:t>
            </w:r>
            <w:r>
              <w:rPr>
                <w:rFonts w:hint="default" w:ascii="Times New Roman" w:hAnsi="Times New Roman" w:eastAsia="宋体" w:cs="Times New Roman"/>
                <w:color w:val="auto"/>
              </w:rPr>
              <w:t>测</w:t>
            </w:r>
            <w:r>
              <w:rPr>
                <w:rFonts w:hint="default" w:ascii="Times New Roman" w:hAnsi="Times New Roman" w:eastAsia="宋体" w:cs="Times New Roman"/>
                <w:color w:val="auto"/>
                <w:lang w:eastAsia="zh-CN"/>
              </w:rPr>
              <w:t>报告</w:t>
            </w:r>
            <w:r>
              <w:rPr>
                <w:rFonts w:hint="default" w:ascii="Times New Roman" w:hAnsi="Times New Roman" w:eastAsia="宋体" w:cs="Times New Roman"/>
                <w:color w:val="auto"/>
                <w:lang w:val="en-US" w:eastAsia="zh-CN"/>
              </w:rPr>
              <w:t>，根据“检测报告”（唐永检字【2022】第04040号），检测内容及结果如下：监测日期为2022年4月14日~4月17日，引用监测因子：TSP</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lang w:val="en-US" w:eastAsia="zh-CN"/>
              </w:rPr>
              <w:t>检测点位：正西方向，距离本项目</w:t>
            </w:r>
            <w:r>
              <w:rPr>
                <w:rFonts w:hint="eastAsia" w:cs="Times New Roman"/>
                <w:color w:val="auto"/>
                <w:lang w:val="en-US" w:eastAsia="zh-CN"/>
              </w:rPr>
              <w:t>4300</w:t>
            </w:r>
            <w:r>
              <w:rPr>
                <w:rFonts w:hint="default" w:ascii="Times New Roman" w:hAnsi="Times New Roman" w:eastAsia="宋体" w:cs="Times New Roman"/>
                <w:color w:val="auto"/>
                <w:lang w:val="en-US" w:eastAsia="zh-CN"/>
              </w:rPr>
              <w:t>米</w:t>
            </w:r>
            <w:r>
              <w:rPr>
                <w:rFonts w:hint="default" w:ascii="Times New Roman" w:hAnsi="Times New Roman" w:eastAsia="宋体" w:cs="Times New Roman"/>
                <w:color w:val="auto"/>
                <w:kern w:val="21"/>
                <w:highlight w:val="none"/>
              </w:rPr>
              <w:t>（</w:t>
            </w:r>
            <w:r>
              <w:rPr>
                <w:rFonts w:hint="default" w:ascii="Times New Roman" w:hAnsi="Times New Roman" w:eastAsia="宋体" w:cs="Times New Roman"/>
                <w:color w:val="auto"/>
                <w:kern w:val="0"/>
                <w:szCs w:val="21"/>
                <w:lang w:eastAsia="zh-CN"/>
              </w:rPr>
              <w:t>详情见附件</w:t>
            </w:r>
            <w:r>
              <w:rPr>
                <w:rFonts w:hint="eastAsia" w:cs="Times New Roman"/>
                <w:color w:val="auto"/>
                <w:kern w:val="0"/>
                <w:szCs w:val="21"/>
                <w:lang w:val="en-US" w:eastAsia="zh-CN"/>
              </w:rPr>
              <w:t>9</w:t>
            </w:r>
            <w:r>
              <w:rPr>
                <w:rFonts w:hint="default"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21"/>
                <w:highlight w:val="none"/>
              </w:rPr>
              <w:t>检测点位图见附图</w:t>
            </w:r>
            <w:r>
              <w:rPr>
                <w:rFonts w:hint="default" w:ascii="Times New Roman" w:hAnsi="Times New Roman" w:eastAsia="宋体" w:cs="Times New Roman"/>
                <w:color w:val="auto"/>
                <w:kern w:val="21"/>
                <w:highlight w:val="none"/>
                <w:lang w:val="en-US" w:eastAsia="zh-CN"/>
              </w:rPr>
              <w:t>7</w:t>
            </w:r>
            <w:r>
              <w:rPr>
                <w:rFonts w:hint="default" w:ascii="Times New Roman" w:hAnsi="Times New Roman" w:eastAsia="宋体" w:cs="Times New Roman"/>
                <w:color w:val="auto"/>
                <w:kern w:val="21"/>
                <w:highlight w:val="none"/>
              </w:rPr>
              <w:t>）</w:t>
            </w:r>
          </w:p>
          <w:p w14:paraId="25D03930">
            <w:pPr>
              <w:keepNext w:val="0"/>
              <w:keepLines w:val="0"/>
              <w:pageBreakBefore w:val="0"/>
              <w:widowControl w:val="0"/>
              <w:shd w:val="clear" w:color="auto" w:fill="FFFFFF"/>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①检测点位、项目及频次：</w:t>
            </w:r>
          </w:p>
          <w:p w14:paraId="007B1B80">
            <w:pPr>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表3-2</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环境空气质量现状检测项目、点位及频次</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736"/>
              <w:gridCol w:w="2242"/>
              <w:gridCol w:w="3266"/>
            </w:tblGrid>
            <w:tr w14:paraId="112F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4" w:type="dxa"/>
                  <w:tcBorders>
                    <w:tl2br w:val="nil"/>
                    <w:tr2bl w:val="nil"/>
                  </w:tcBorders>
                  <w:noWrap w:val="0"/>
                  <w:vAlign w:val="center"/>
                </w:tcPr>
                <w:p w14:paraId="01279CAC">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编号</w:t>
                  </w:r>
                </w:p>
              </w:tc>
              <w:tc>
                <w:tcPr>
                  <w:tcW w:w="1736" w:type="dxa"/>
                  <w:tcBorders>
                    <w:tl2br w:val="nil"/>
                    <w:tr2bl w:val="nil"/>
                  </w:tcBorders>
                  <w:noWrap w:val="0"/>
                  <w:vAlign w:val="center"/>
                </w:tcPr>
                <w:p w14:paraId="6516DF96">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检测点位</w:t>
                  </w:r>
                </w:p>
              </w:tc>
              <w:tc>
                <w:tcPr>
                  <w:tcW w:w="2242" w:type="dxa"/>
                  <w:tcBorders>
                    <w:tl2br w:val="nil"/>
                    <w:tr2bl w:val="nil"/>
                  </w:tcBorders>
                  <w:noWrap w:val="0"/>
                  <w:vAlign w:val="center"/>
                </w:tcPr>
                <w:p w14:paraId="6D896533">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检测项目</w:t>
                  </w:r>
                </w:p>
              </w:tc>
              <w:tc>
                <w:tcPr>
                  <w:tcW w:w="3266" w:type="dxa"/>
                  <w:tcBorders>
                    <w:tl2br w:val="nil"/>
                    <w:tr2bl w:val="nil"/>
                  </w:tcBorders>
                  <w:noWrap w:val="0"/>
                  <w:vAlign w:val="center"/>
                </w:tcPr>
                <w:p w14:paraId="05269FAC">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检测频次</w:t>
                  </w:r>
                </w:p>
              </w:tc>
            </w:tr>
            <w:tr w14:paraId="205C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4" w:type="dxa"/>
                  <w:tcBorders>
                    <w:tl2br w:val="nil"/>
                    <w:tr2bl w:val="nil"/>
                  </w:tcBorders>
                  <w:noWrap w:val="0"/>
                  <w:vAlign w:val="center"/>
                </w:tcPr>
                <w:p w14:paraId="482CB3A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36" w:type="dxa"/>
                  <w:tcBorders>
                    <w:tl2br w:val="nil"/>
                    <w:tr2bl w:val="nil"/>
                  </w:tcBorders>
                  <w:noWrap w:val="0"/>
                  <w:vAlign w:val="center"/>
                </w:tcPr>
                <w:p w14:paraId="62A57699">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西北</w:t>
                  </w:r>
                  <w:r>
                    <w:rPr>
                      <w:rFonts w:hint="default" w:ascii="Times New Roman" w:hAnsi="Times New Roman" w:eastAsia="宋体" w:cs="Times New Roman"/>
                      <w:color w:val="auto"/>
                      <w:sz w:val="21"/>
                      <w:szCs w:val="21"/>
                      <w:lang w:val="en-US" w:eastAsia="zh-CN"/>
                    </w:rPr>
                    <w:t>方向，距离本项目</w:t>
                  </w:r>
                  <w:r>
                    <w:rPr>
                      <w:rFonts w:hint="eastAsia" w:cs="Times New Roman"/>
                      <w:color w:val="auto"/>
                      <w:sz w:val="21"/>
                      <w:szCs w:val="21"/>
                      <w:lang w:val="en-US" w:eastAsia="zh-CN"/>
                    </w:rPr>
                    <w:t>4300</w:t>
                  </w:r>
                  <w:r>
                    <w:rPr>
                      <w:rFonts w:hint="default" w:ascii="Times New Roman" w:hAnsi="Times New Roman" w:eastAsia="宋体" w:cs="Times New Roman"/>
                      <w:color w:val="auto"/>
                      <w:sz w:val="21"/>
                      <w:szCs w:val="21"/>
                      <w:lang w:val="en-US" w:eastAsia="zh-CN"/>
                    </w:rPr>
                    <w:t>米</w:t>
                  </w:r>
                </w:p>
              </w:tc>
              <w:tc>
                <w:tcPr>
                  <w:tcW w:w="2242" w:type="dxa"/>
                  <w:tcBorders>
                    <w:tl2br w:val="nil"/>
                    <w:tr2bl w:val="nil"/>
                  </w:tcBorders>
                  <w:noWrap w:val="0"/>
                  <w:vAlign w:val="center"/>
                </w:tcPr>
                <w:p w14:paraId="41373F8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总悬浮颗粒物（TSP）</w:t>
                  </w:r>
                </w:p>
              </w:tc>
              <w:tc>
                <w:tcPr>
                  <w:tcW w:w="3266" w:type="dxa"/>
                  <w:tcBorders>
                    <w:tl2br w:val="nil"/>
                    <w:tr2bl w:val="nil"/>
                  </w:tcBorders>
                  <w:noWrap w:val="0"/>
                  <w:vAlign w:val="center"/>
                </w:tcPr>
                <w:p w14:paraId="0313ED6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24小时平均值，连续监测3天</w:t>
                  </w:r>
                </w:p>
              </w:tc>
            </w:tr>
          </w:tbl>
          <w:p w14:paraId="665C92CC">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②检测分析方法及所用仪器：</w:t>
            </w:r>
          </w:p>
          <w:p w14:paraId="43D361F0">
            <w:pPr>
              <w:keepNext w:val="0"/>
              <w:keepLines w:val="0"/>
              <w:pageBreakBefore w:val="0"/>
              <w:widowControl/>
              <w:kinsoku/>
              <w:wordWrap/>
              <w:overflowPunct/>
              <w:topLinePunct w:val="0"/>
              <w:autoSpaceDE/>
              <w:autoSpaceDN/>
              <w:bidi w:val="0"/>
              <w:adjustRightInd/>
              <w:snapToGrid/>
              <w:spacing w:line="500" w:lineRule="exact"/>
              <w:ind w:firstLine="422"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3-3</w:t>
            </w:r>
            <w:r>
              <w:rPr>
                <w:rFonts w:hint="default" w:ascii="Times New Roman" w:hAnsi="Times New Roman" w:eastAsia="宋体" w:cs="Times New Roman"/>
                <w:b/>
                <w:bCs/>
                <w:color w:val="auto"/>
                <w:sz w:val="21"/>
                <w:szCs w:val="21"/>
                <w:lang w:eastAsia="zh-CN"/>
              </w:rPr>
              <w:t>检测分析方法及所用仪器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2836"/>
              <w:gridCol w:w="2417"/>
              <w:gridCol w:w="1283"/>
            </w:tblGrid>
            <w:tr w14:paraId="55E5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tcBorders>
                    <w:tl2br w:val="nil"/>
                    <w:tr2bl w:val="nil"/>
                  </w:tcBorders>
                  <w:noWrap w:val="0"/>
                  <w:vAlign w:val="center"/>
                </w:tcPr>
                <w:p w14:paraId="14C3D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检测项目</w:t>
                  </w:r>
                </w:p>
              </w:tc>
              <w:tc>
                <w:tcPr>
                  <w:tcW w:w="2836" w:type="dxa"/>
                  <w:tcBorders>
                    <w:tl2br w:val="nil"/>
                    <w:tr2bl w:val="nil"/>
                  </w:tcBorders>
                  <w:noWrap w:val="0"/>
                  <w:vAlign w:val="center"/>
                </w:tcPr>
                <w:p w14:paraId="458A8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监测依据</w:t>
                  </w:r>
                </w:p>
              </w:tc>
              <w:tc>
                <w:tcPr>
                  <w:tcW w:w="2417" w:type="dxa"/>
                  <w:tcBorders>
                    <w:tl2br w:val="nil"/>
                    <w:tr2bl w:val="nil"/>
                  </w:tcBorders>
                  <w:noWrap w:val="0"/>
                  <w:vAlign w:val="center"/>
                </w:tcPr>
                <w:p w14:paraId="65D08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分析仪器及编号</w:t>
                  </w:r>
                </w:p>
              </w:tc>
              <w:tc>
                <w:tcPr>
                  <w:tcW w:w="1283" w:type="dxa"/>
                  <w:tcBorders>
                    <w:tl2br w:val="nil"/>
                    <w:tr2bl w:val="nil"/>
                  </w:tcBorders>
                  <w:noWrap w:val="0"/>
                  <w:vAlign w:val="center"/>
                </w:tcPr>
                <w:p w14:paraId="562BA3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检出限</w:t>
                  </w:r>
                </w:p>
              </w:tc>
            </w:tr>
            <w:tr w14:paraId="15B3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tcBorders>
                    <w:tl2br w:val="nil"/>
                    <w:tr2bl w:val="nil"/>
                  </w:tcBorders>
                  <w:noWrap w:val="0"/>
                  <w:vAlign w:val="center"/>
                </w:tcPr>
                <w:p w14:paraId="43CF91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总悬浮颗粒物</w:t>
                  </w:r>
                </w:p>
                <w:p w14:paraId="4C2ABD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（TSP）</w:t>
                  </w:r>
                </w:p>
              </w:tc>
              <w:tc>
                <w:tcPr>
                  <w:tcW w:w="2836" w:type="dxa"/>
                  <w:tcBorders>
                    <w:tl2br w:val="nil"/>
                    <w:tr2bl w:val="nil"/>
                  </w:tcBorders>
                  <w:noWrap w:val="0"/>
                  <w:vAlign w:val="center"/>
                </w:tcPr>
                <w:p w14:paraId="1173DA29">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《环境空气质量标准》（GB3095-2012）及其修改单</w:t>
                  </w:r>
                </w:p>
                <w:p w14:paraId="378ECC35">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《环境空气质量手工监测技术规范》（HJ194-2017）</w:t>
                  </w:r>
                </w:p>
                <w:p w14:paraId="0C534E70">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《环境空气总悬浮颗粒物的测定重量法》（GB/T15432-1995）及其修改单</w:t>
                  </w:r>
                </w:p>
              </w:tc>
              <w:tc>
                <w:tcPr>
                  <w:tcW w:w="2417" w:type="dxa"/>
                  <w:tcBorders>
                    <w:tl2br w:val="nil"/>
                    <w:tr2bl w:val="nil"/>
                  </w:tcBorders>
                  <w:noWrap w:val="0"/>
                  <w:vAlign w:val="center"/>
                </w:tcPr>
                <w:p w14:paraId="56121982">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TH-150A型</w:t>
                  </w:r>
                  <w:r>
                    <w:rPr>
                      <w:rFonts w:hint="eastAsia" w:cs="Times New Roman"/>
                      <w:color w:val="auto"/>
                      <w:sz w:val="21"/>
                      <w:szCs w:val="21"/>
                      <w:lang w:val="en-US" w:eastAsia="zh-CN"/>
                    </w:rPr>
                    <w:t>智能</w:t>
                  </w:r>
                  <w:r>
                    <w:rPr>
                      <w:rFonts w:hint="default" w:ascii="Times New Roman" w:hAnsi="Times New Roman" w:eastAsia="宋体" w:cs="Times New Roman"/>
                      <w:color w:val="auto"/>
                      <w:sz w:val="21"/>
                      <w:szCs w:val="21"/>
                      <w:lang w:val="en-US" w:eastAsia="zh-CN"/>
                    </w:rPr>
                    <w:t>中流量总悬浮微粒采样器（TSYZ-YQ034）FA2004型电子天平（TSYZ-YQ063）XMG-HF07恒温恒湿间（TSYZ-YQ183）</w:t>
                  </w:r>
                </w:p>
              </w:tc>
              <w:tc>
                <w:tcPr>
                  <w:tcW w:w="1283" w:type="dxa"/>
                  <w:tcBorders>
                    <w:tl2br w:val="nil"/>
                    <w:tr2bl w:val="nil"/>
                  </w:tcBorders>
                  <w:noWrap w:val="0"/>
                  <w:vAlign w:val="center"/>
                </w:tcPr>
                <w:p w14:paraId="308106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0.001mg/m</w:t>
                  </w:r>
                  <w:r>
                    <w:rPr>
                      <w:rFonts w:hint="default" w:ascii="Times New Roman" w:hAnsi="Times New Roman" w:eastAsia="宋体" w:cs="Times New Roman"/>
                      <w:color w:val="auto"/>
                      <w:sz w:val="21"/>
                      <w:szCs w:val="21"/>
                      <w:vertAlign w:val="superscript"/>
                      <w:lang w:val="en-US" w:eastAsia="zh-CN"/>
                    </w:rPr>
                    <w:t>3</w:t>
                  </w:r>
                </w:p>
              </w:tc>
            </w:tr>
          </w:tbl>
          <w:p w14:paraId="380339A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③检测结果：</w:t>
            </w:r>
          </w:p>
          <w:p w14:paraId="47E2A458">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3-4</w:t>
            </w:r>
            <w:r>
              <w:rPr>
                <w:rFonts w:hint="default" w:ascii="Times New Roman" w:hAnsi="Times New Roman" w:eastAsia="宋体" w:cs="Times New Roman"/>
                <w:b/>
                <w:bCs/>
                <w:color w:val="auto"/>
                <w:sz w:val="21"/>
                <w:szCs w:val="21"/>
                <w:lang w:eastAsia="zh-CN"/>
              </w:rPr>
              <w:t>项目</w:t>
            </w:r>
            <w:r>
              <w:rPr>
                <w:rFonts w:hint="default" w:ascii="Times New Roman" w:hAnsi="Times New Roman" w:eastAsia="宋体" w:cs="Times New Roman"/>
                <w:b/>
                <w:bCs/>
                <w:color w:val="auto"/>
                <w:sz w:val="21"/>
                <w:szCs w:val="21"/>
                <w:lang w:val="en-US" w:eastAsia="zh-CN"/>
              </w:rPr>
              <w:t>TSP日均值浓度</w:t>
            </w:r>
            <w:r>
              <w:rPr>
                <w:rFonts w:hint="default" w:ascii="Times New Roman" w:hAnsi="Times New Roman" w:eastAsia="宋体" w:cs="Times New Roman"/>
                <w:b/>
                <w:bCs/>
                <w:color w:val="auto"/>
                <w:sz w:val="21"/>
                <w:szCs w:val="21"/>
                <w:lang w:eastAsia="zh-CN"/>
              </w:rPr>
              <w:t>监测结果及达标分析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965"/>
              <w:gridCol w:w="1965"/>
              <w:gridCol w:w="1965"/>
            </w:tblGrid>
            <w:tr w14:paraId="5B5B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64" w:type="dxa"/>
                  <w:vMerge w:val="restart"/>
                  <w:vAlign w:val="center"/>
                </w:tcPr>
                <w:p w14:paraId="7D3966B5">
                  <w:pPr>
                    <w:widowControl/>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采样地点</w:t>
                  </w:r>
                </w:p>
              </w:tc>
              <w:tc>
                <w:tcPr>
                  <w:tcW w:w="1965" w:type="dxa"/>
                  <w:vMerge w:val="restart"/>
                  <w:vAlign w:val="center"/>
                </w:tcPr>
                <w:p w14:paraId="449CFD5E">
                  <w:pPr>
                    <w:widowControl/>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采样日期</w:t>
                  </w:r>
                </w:p>
              </w:tc>
              <w:tc>
                <w:tcPr>
                  <w:tcW w:w="1965" w:type="dxa"/>
                  <w:vMerge w:val="restart"/>
                  <w:vAlign w:val="center"/>
                </w:tcPr>
                <w:p w14:paraId="51B5C326">
                  <w:pPr>
                    <w:widowControl/>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采样时间</w:t>
                  </w:r>
                </w:p>
              </w:tc>
              <w:tc>
                <w:tcPr>
                  <w:tcW w:w="1965" w:type="dxa"/>
                  <w:vAlign w:val="center"/>
                </w:tcPr>
                <w:p w14:paraId="296608FB">
                  <w:pPr>
                    <w:widowControl/>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日均值（ug/m</w:t>
                  </w:r>
                  <w:r>
                    <w:rPr>
                      <w:rFonts w:hint="default" w:ascii="Times New Roman" w:hAnsi="Times New Roman" w:eastAsia="宋体" w:cs="Times New Roman"/>
                      <w:b/>
                      <w:color w:val="auto"/>
                      <w:kern w:val="0"/>
                      <w:sz w:val="21"/>
                      <w:szCs w:val="21"/>
                      <w:vertAlign w:val="superscript"/>
                      <w:lang w:val="en-US" w:eastAsia="zh-CN"/>
                    </w:rPr>
                    <w:t>3</w:t>
                  </w:r>
                  <w:r>
                    <w:rPr>
                      <w:rFonts w:hint="default" w:ascii="Times New Roman" w:hAnsi="Times New Roman" w:eastAsia="宋体" w:cs="Times New Roman"/>
                      <w:b/>
                      <w:color w:val="auto"/>
                      <w:kern w:val="0"/>
                      <w:sz w:val="21"/>
                      <w:szCs w:val="21"/>
                      <w:vertAlign w:val="baseline"/>
                      <w:lang w:val="en-US" w:eastAsia="zh-CN"/>
                    </w:rPr>
                    <w:t>）</w:t>
                  </w:r>
                </w:p>
              </w:tc>
            </w:tr>
            <w:tr w14:paraId="6C49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64" w:type="dxa"/>
                  <w:vMerge w:val="continue"/>
                  <w:vAlign w:val="center"/>
                </w:tcPr>
                <w:p w14:paraId="0F4727E8">
                  <w:pPr>
                    <w:widowControl/>
                    <w:spacing w:line="240" w:lineRule="auto"/>
                    <w:jc w:val="center"/>
                    <w:rPr>
                      <w:rFonts w:hint="default" w:ascii="Times New Roman" w:hAnsi="Times New Roman" w:eastAsia="宋体" w:cs="Times New Roman"/>
                      <w:b/>
                      <w:color w:val="auto"/>
                      <w:kern w:val="0"/>
                      <w:sz w:val="21"/>
                      <w:szCs w:val="21"/>
                      <w:vertAlign w:val="baseline"/>
                      <w:lang w:eastAsia="zh-CN"/>
                    </w:rPr>
                  </w:pPr>
                </w:p>
              </w:tc>
              <w:tc>
                <w:tcPr>
                  <w:tcW w:w="1965" w:type="dxa"/>
                  <w:vMerge w:val="continue"/>
                  <w:vAlign w:val="center"/>
                </w:tcPr>
                <w:p w14:paraId="16549E56">
                  <w:pPr>
                    <w:widowControl/>
                    <w:spacing w:line="240" w:lineRule="auto"/>
                    <w:jc w:val="center"/>
                    <w:rPr>
                      <w:rFonts w:hint="default" w:ascii="Times New Roman" w:hAnsi="Times New Roman" w:eastAsia="宋体" w:cs="Times New Roman"/>
                      <w:b/>
                      <w:color w:val="auto"/>
                      <w:kern w:val="0"/>
                      <w:sz w:val="21"/>
                      <w:szCs w:val="21"/>
                      <w:vertAlign w:val="baseline"/>
                      <w:lang w:eastAsia="zh-CN"/>
                    </w:rPr>
                  </w:pPr>
                </w:p>
              </w:tc>
              <w:tc>
                <w:tcPr>
                  <w:tcW w:w="1965" w:type="dxa"/>
                  <w:vMerge w:val="continue"/>
                  <w:vAlign w:val="center"/>
                </w:tcPr>
                <w:p w14:paraId="67EC80D0">
                  <w:pPr>
                    <w:widowControl/>
                    <w:spacing w:line="240" w:lineRule="auto"/>
                    <w:jc w:val="center"/>
                    <w:rPr>
                      <w:rFonts w:hint="default" w:ascii="Times New Roman" w:hAnsi="Times New Roman" w:eastAsia="宋体" w:cs="Times New Roman"/>
                      <w:b/>
                      <w:color w:val="auto"/>
                      <w:kern w:val="0"/>
                      <w:sz w:val="21"/>
                      <w:szCs w:val="21"/>
                      <w:vertAlign w:val="baseline"/>
                      <w:lang w:eastAsia="zh-CN"/>
                    </w:rPr>
                  </w:pPr>
                </w:p>
              </w:tc>
              <w:tc>
                <w:tcPr>
                  <w:tcW w:w="1965" w:type="dxa"/>
                  <w:vAlign w:val="center"/>
                </w:tcPr>
                <w:p w14:paraId="43B52605">
                  <w:pPr>
                    <w:widowControl/>
                    <w:spacing w:line="240" w:lineRule="auto"/>
                    <w:jc w:val="center"/>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总悬浮颗粒物</w:t>
                  </w:r>
                </w:p>
              </w:tc>
            </w:tr>
            <w:tr w14:paraId="0B0F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64" w:type="dxa"/>
                  <w:vMerge w:val="restart"/>
                  <w:vAlign w:val="center"/>
                </w:tcPr>
                <w:p w14:paraId="7A093824">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厂区内1个点</w:t>
                  </w:r>
                </w:p>
              </w:tc>
              <w:tc>
                <w:tcPr>
                  <w:tcW w:w="1965" w:type="dxa"/>
                  <w:vAlign w:val="center"/>
                </w:tcPr>
                <w:p w14:paraId="17E1A06F">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04.14-15</w:t>
                  </w:r>
                </w:p>
              </w:tc>
              <w:tc>
                <w:tcPr>
                  <w:tcW w:w="1965" w:type="dxa"/>
                  <w:vAlign w:val="center"/>
                </w:tcPr>
                <w:p w14:paraId="2BF91E34">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00：02-次日00:02</w:t>
                  </w:r>
                </w:p>
              </w:tc>
              <w:tc>
                <w:tcPr>
                  <w:tcW w:w="1965" w:type="dxa"/>
                  <w:vAlign w:val="center"/>
                </w:tcPr>
                <w:p w14:paraId="5B97B14E">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85</w:t>
                  </w:r>
                </w:p>
              </w:tc>
            </w:tr>
            <w:tr w14:paraId="3074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64" w:type="dxa"/>
                  <w:vMerge w:val="continue"/>
                  <w:vAlign w:val="center"/>
                </w:tcPr>
                <w:p w14:paraId="71CE925F">
                  <w:pPr>
                    <w:widowControl/>
                    <w:spacing w:line="240" w:lineRule="auto"/>
                    <w:jc w:val="center"/>
                    <w:rPr>
                      <w:rFonts w:hint="default" w:ascii="Times New Roman" w:hAnsi="Times New Roman" w:eastAsia="宋体" w:cs="Times New Roman"/>
                      <w:b w:val="0"/>
                      <w:bCs/>
                      <w:color w:val="auto"/>
                      <w:kern w:val="0"/>
                      <w:sz w:val="21"/>
                      <w:szCs w:val="21"/>
                      <w:vertAlign w:val="baseline"/>
                      <w:lang w:eastAsia="zh-CN"/>
                    </w:rPr>
                  </w:pPr>
                </w:p>
              </w:tc>
              <w:tc>
                <w:tcPr>
                  <w:tcW w:w="1965" w:type="dxa"/>
                  <w:vAlign w:val="center"/>
                </w:tcPr>
                <w:p w14:paraId="3A13289A">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04.15-16</w:t>
                  </w:r>
                </w:p>
              </w:tc>
              <w:tc>
                <w:tcPr>
                  <w:tcW w:w="1965" w:type="dxa"/>
                  <w:vAlign w:val="center"/>
                </w:tcPr>
                <w:p w14:paraId="47AD0BC9">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00：07-次日00:07</w:t>
                  </w:r>
                </w:p>
              </w:tc>
              <w:tc>
                <w:tcPr>
                  <w:tcW w:w="1965" w:type="dxa"/>
                  <w:vAlign w:val="center"/>
                </w:tcPr>
                <w:p w14:paraId="20BEE542">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97</w:t>
                  </w:r>
                </w:p>
              </w:tc>
            </w:tr>
            <w:tr w14:paraId="68CF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64" w:type="dxa"/>
                  <w:vMerge w:val="continue"/>
                  <w:vAlign w:val="center"/>
                </w:tcPr>
                <w:p w14:paraId="1024D2DE">
                  <w:pPr>
                    <w:widowControl/>
                    <w:spacing w:line="240" w:lineRule="auto"/>
                    <w:jc w:val="center"/>
                    <w:rPr>
                      <w:rFonts w:hint="default" w:ascii="Times New Roman" w:hAnsi="Times New Roman" w:eastAsia="宋体" w:cs="Times New Roman"/>
                      <w:b w:val="0"/>
                      <w:bCs/>
                      <w:color w:val="auto"/>
                      <w:kern w:val="0"/>
                      <w:sz w:val="21"/>
                      <w:szCs w:val="21"/>
                      <w:vertAlign w:val="baseline"/>
                      <w:lang w:eastAsia="zh-CN"/>
                    </w:rPr>
                  </w:pPr>
                </w:p>
              </w:tc>
              <w:tc>
                <w:tcPr>
                  <w:tcW w:w="1965" w:type="dxa"/>
                  <w:vAlign w:val="center"/>
                </w:tcPr>
                <w:p w14:paraId="42185224">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04.16-17</w:t>
                  </w:r>
                </w:p>
              </w:tc>
              <w:tc>
                <w:tcPr>
                  <w:tcW w:w="1965" w:type="dxa"/>
                  <w:vAlign w:val="center"/>
                </w:tcPr>
                <w:p w14:paraId="463BB027">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00：14-次日00:14</w:t>
                  </w:r>
                </w:p>
              </w:tc>
              <w:tc>
                <w:tcPr>
                  <w:tcW w:w="1965" w:type="dxa"/>
                  <w:vAlign w:val="center"/>
                </w:tcPr>
                <w:p w14:paraId="439088D3">
                  <w:pPr>
                    <w:widowControl/>
                    <w:spacing w:line="240" w:lineRule="auto"/>
                    <w:jc w:val="center"/>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134</w:t>
                  </w:r>
                </w:p>
              </w:tc>
            </w:tr>
          </w:tbl>
          <w:p w14:paraId="21053486">
            <w:pPr>
              <w:pStyle w:val="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1"/>
              </w:rPr>
            </w:pPr>
            <w:r>
              <w:rPr>
                <w:rFonts w:hint="default" w:ascii="Times New Roman" w:hAnsi="Times New Roman" w:eastAsia="宋体" w:cs="Times New Roman"/>
                <w:color w:val="auto"/>
                <w:sz w:val="24"/>
                <w:szCs w:val="32"/>
                <w:lang w:val="en-US" w:eastAsia="zh-CN"/>
              </w:rPr>
              <w:t>根据上表可知，项目所在区域的环境空气质量中TSP检测的污染物浓度均未超标，TSP检测结果符合《环境空气质量标准》（GB3095-2012）中二级标准及其修改单。</w:t>
            </w:r>
          </w:p>
          <w:p w14:paraId="1A7BEFA5">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声环境质量</w:t>
            </w:r>
            <w:r>
              <w:rPr>
                <w:rFonts w:hint="default" w:ascii="Times New Roman" w:hAnsi="Times New Roman" w:eastAsia="宋体" w:cs="Times New Roman"/>
                <w:b/>
                <w:bCs/>
                <w:color w:val="auto"/>
                <w:lang w:eastAsia="zh-CN"/>
              </w:rPr>
              <w:t>现状</w:t>
            </w:r>
          </w:p>
          <w:p w14:paraId="42663E3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cs="Times New Roman"/>
                <w:color w:val="auto"/>
              </w:rPr>
              <w:t>对照《建设项目环境影响报告表编制技术指南（污染影响类）》（试行），</w:t>
            </w:r>
            <w:r>
              <w:rPr>
                <w:rFonts w:hint="eastAsia" w:cs="Times New Roman"/>
                <w:color w:val="auto"/>
              </w:rPr>
              <w:t>本项目周围</w:t>
            </w:r>
            <w:r>
              <w:rPr>
                <w:rFonts w:hint="eastAsia" w:cs="Times New Roman"/>
                <w:color w:val="auto"/>
                <w:lang w:val="en-US"/>
              </w:rPr>
              <w:t>50米</w:t>
            </w:r>
            <w:r>
              <w:rPr>
                <w:rFonts w:hint="eastAsia" w:cs="Times New Roman"/>
                <w:color w:val="auto"/>
                <w:lang w:val="en-US" w:eastAsia="zh-CN"/>
              </w:rPr>
              <w:t>无</w:t>
            </w:r>
            <w:r>
              <w:rPr>
                <w:rFonts w:hint="eastAsia" w:cs="Times New Roman"/>
                <w:color w:val="auto"/>
                <w:lang w:val="en-US"/>
              </w:rPr>
              <w:t>居民，</w:t>
            </w:r>
            <w:r>
              <w:rPr>
                <w:rFonts w:hint="eastAsia" w:cs="Times New Roman"/>
                <w:color w:val="auto"/>
                <w:lang w:eastAsia="zh-CN"/>
              </w:rPr>
              <w:t>因此无需</w:t>
            </w:r>
            <w:r>
              <w:rPr>
                <w:rFonts w:cs="Times New Roman"/>
                <w:color w:val="auto"/>
              </w:rPr>
              <w:t>开展</w:t>
            </w:r>
            <w:r>
              <w:rPr>
                <w:rFonts w:hint="eastAsia"/>
                <w:color w:val="auto"/>
                <w:lang w:val="en-US"/>
              </w:rPr>
              <w:t>声环境</w:t>
            </w:r>
            <w:r>
              <w:rPr>
                <w:rFonts w:cs="Times New Roman"/>
                <w:color w:val="auto"/>
              </w:rPr>
              <w:t>现状调查</w:t>
            </w:r>
            <w:r>
              <w:rPr>
                <w:rFonts w:hint="default" w:ascii="Times New Roman" w:hAnsi="Times New Roman" w:eastAsia="宋体" w:cs="Times New Roman"/>
                <w:color w:val="auto"/>
                <w:sz w:val="24"/>
                <w:szCs w:val="24"/>
                <w:lang w:val="en-US" w:eastAsia="zh-CN"/>
              </w:rPr>
              <w:t>。</w:t>
            </w:r>
          </w:p>
          <w:p w14:paraId="077CAD79">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rPr>
            </w:pPr>
            <w:bookmarkStart w:id="0" w:name="_Toc497507374"/>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生态环境</w:t>
            </w:r>
          </w:p>
          <w:p w14:paraId="2FAABEE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color w:val="auto"/>
              </w:rPr>
              <w:t>项目区域主要为</w:t>
            </w:r>
            <w:r>
              <w:rPr>
                <w:rFonts w:hint="eastAsia"/>
                <w:color w:val="auto"/>
              </w:rPr>
              <w:t>工业厂区</w:t>
            </w:r>
            <w:r>
              <w:rPr>
                <w:color w:val="auto"/>
              </w:rPr>
              <w:t>，</w:t>
            </w:r>
            <w:r>
              <w:rPr>
                <w:rFonts w:hint="eastAsia"/>
                <w:color w:val="auto"/>
              </w:rPr>
              <w:t>本项目</w:t>
            </w:r>
            <w:r>
              <w:rPr>
                <w:rFonts w:hint="eastAsia"/>
                <w:color w:val="auto"/>
                <w:lang w:eastAsia="zh-CN"/>
              </w:rPr>
              <w:t>用地属于</w:t>
            </w:r>
            <w:r>
              <w:rPr>
                <w:rFonts w:hint="eastAsia" w:cs="Times New Roman"/>
                <w:color w:val="auto"/>
                <w:w w:val="100"/>
                <w:kern w:val="2"/>
                <w:sz w:val="24"/>
                <w:szCs w:val="24"/>
                <w:lang w:val="en-US" w:eastAsia="zh-CN" w:bidi="ar-SA"/>
              </w:rPr>
              <w:t>工业用地</w:t>
            </w:r>
            <w:r>
              <w:rPr>
                <w:rFonts w:hint="eastAsia"/>
                <w:color w:val="auto"/>
              </w:rPr>
              <w:t>，且用地范围内不涉及生态环境保护目标，</w:t>
            </w:r>
            <w:r>
              <w:rPr>
                <w:rFonts w:hint="default" w:ascii="Times New Roman" w:hAnsi="Times New Roman" w:eastAsia="宋体" w:cs="Times New Roman"/>
                <w:color w:val="auto"/>
              </w:rPr>
              <w:t>对照《建设项目环境影响报告表编制技术指南（污染影响类）》（试行），</w:t>
            </w:r>
            <w:r>
              <w:rPr>
                <w:rFonts w:hint="default" w:ascii="Times New Roman" w:hAnsi="Times New Roman" w:eastAsia="宋体" w:cs="Times New Roman"/>
                <w:color w:val="auto"/>
                <w:lang w:eastAsia="zh-CN"/>
              </w:rPr>
              <w:t>原则上</w:t>
            </w:r>
            <w:r>
              <w:rPr>
                <w:rFonts w:hint="default" w:ascii="Times New Roman" w:hAnsi="Times New Roman" w:eastAsia="宋体" w:cs="Times New Roman"/>
                <w:color w:val="auto"/>
              </w:rPr>
              <w:t>不开展生态现状调查工作</w:t>
            </w:r>
            <w:r>
              <w:rPr>
                <w:rFonts w:hint="default" w:ascii="Times New Roman" w:hAnsi="Times New Roman" w:eastAsia="宋体" w:cs="Times New Roman"/>
                <w:color w:val="auto"/>
                <w:highlight w:val="none"/>
                <w:lang w:eastAsia="zh-CN"/>
              </w:rPr>
              <w:t>项目。</w:t>
            </w:r>
          </w:p>
          <w:p w14:paraId="2081A13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firstLine="482" w:firstLineChars="200"/>
              <w:jc w:val="left"/>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4</w:t>
            </w:r>
            <w:r>
              <w:rPr>
                <w:rFonts w:hint="default" w:ascii="Times New Roman" w:hAnsi="Times New Roman" w:eastAsia="宋体" w:cs="Times New Roman"/>
                <w:b/>
                <w:bCs/>
                <w:color w:val="auto"/>
                <w:lang w:val="en-US" w:eastAsia="zh-CN"/>
              </w:rPr>
              <w:t>、地表水环境</w:t>
            </w:r>
          </w:p>
          <w:p w14:paraId="2306B091">
            <w:pPr>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lang w:eastAsia="zh-CN"/>
              </w:rPr>
              <w:t>本项目厂区</w:t>
            </w:r>
            <w:r>
              <w:rPr>
                <w:rFonts w:hint="eastAsia" w:cs="Times New Roman"/>
                <w:color w:val="auto"/>
                <w:lang w:eastAsia="zh-CN"/>
              </w:rPr>
              <w:t>西</w:t>
            </w:r>
            <w:r>
              <w:rPr>
                <w:rFonts w:hint="default" w:ascii="Times New Roman" w:hAnsi="Times New Roman" w:eastAsia="宋体" w:cs="Times New Roman"/>
                <w:color w:val="auto"/>
                <w:lang w:eastAsia="zh-CN"/>
              </w:rPr>
              <w:t>侧</w:t>
            </w:r>
            <w:r>
              <w:rPr>
                <w:rFonts w:hint="eastAsia" w:cs="Times New Roman"/>
                <w:color w:val="auto"/>
                <w:lang w:val="en-US" w:eastAsia="zh-CN"/>
              </w:rPr>
              <w:t>紧邻</w:t>
            </w:r>
            <w:r>
              <w:rPr>
                <w:rFonts w:hint="default" w:ascii="Times New Roman" w:hAnsi="Times New Roman" w:eastAsia="宋体" w:cs="Times New Roman"/>
                <w:color w:val="auto"/>
                <w:lang w:eastAsia="zh-CN"/>
              </w:rPr>
              <w:t>柳河，</w:t>
            </w:r>
            <w:r>
              <w:rPr>
                <w:rFonts w:cs="Times New Roman"/>
                <w:color w:val="auto"/>
              </w:rPr>
              <w:t>根据《</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年承德市</w:t>
            </w:r>
            <w:r>
              <w:rPr>
                <w:rFonts w:hint="eastAsia" w:cs="Times New Roman"/>
                <w:color w:val="auto"/>
                <w:sz w:val="24"/>
                <w:szCs w:val="24"/>
                <w:lang w:eastAsia="zh-CN"/>
              </w:rPr>
              <w:t>生态</w:t>
            </w:r>
            <w:r>
              <w:rPr>
                <w:rFonts w:hint="default" w:ascii="Times New Roman" w:hAnsi="Times New Roman" w:eastAsia="宋体" w:cs="Times New Roman"/>
                <w:color w:val="auto"/>
                <w:sz w:val="24"/>
                <w:szCs w:val="24"/>
              </w:rPr>
              <w:t>环境状况公报</w:t>
            </w:r>
            <w:r>
              <w:rPr>
                <w:rFonts w:cs="Times New Roman"/>
                <w:color w:val="auto"/>
              </w:rPr>
              <w:t>》，柳河</w:t>
            </w:r>
            <w:r>
              <w:rPr>
                <w:rFonts w:hint="eastAsia" w:cs="Times New Roman"/>
                <w:color w:val="auto"/>
                <w:lang w:eastAsia="zh-CN"/>
              </w:rPr>
              <w:t>水质总体为优，与</w:t>
            </w:r>
            <w:r>
              <w:rPr>
                <w:rFonts w:hint="eastAsia" w:cs="Times New Roman"/>
                <w:color w:val="auto"/>
                <w:lang w:val="en-US" w:eastAsia="zh-CN"/>
              </w:rPr>
              <w:t>2022年持平。监测的3个断面中，三块石、大杖子（二）水质为Ⅰ类，26#桥水质为Ⅱ类</w:t>
            </w:r>
            <w:r>
              <w:rPr>
                <w:rFonts w:hint="default" w:ascii="Times New Roman" w:hAnsi="Times New Roman" w:eastAsia="宋体" w:cs="Times New Roman"/>
                <w:color w:val="auto"/>
                <w:highlight w:val="none"/>
                <w:lang w:eastAsia="zh-CN"/>
              </w:rPr>
              <w:t>。</w:t>
            </w:r>
          </w:p>
          <w:p w14:paraId="3532962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firstLine="482" w:firstLineChars="200"/>
              <w:jc w:val="left"/>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5</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地下水、</w:t>
            </w:r>
            <w:r>
              <w:rPr>
                <w:rFonts w:hint="default" w:ascii="Times New Roman" w:hAnsi="Times New Roman" w:eastAsia="宋体" w:cs="Times New Roman"/>
                <w:b/>
                <w:bCs/>
                <w:color w:val="auto"/>
                <w:lang w:val="en-US" w:eastAsia="zh-CN"/>
              </w:rPr>
              <w:t>土壤环境</w:t>
            </w:r>
          </w:p>
          <w:bookmarkEnd w:id="0"/>
          <w:p w14:paraId="51DCFA8D">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eastAsia"/>
                <w:color w:val="auto"/>
                <w:sz w:val="24"/>
                <w:szCs w:val="24"/>
                <w:lang w:val="en-US"/>
              </w:rPr>
              <w:t>根据《建设项目环境影响报告表编制技术指南》（污染影响类）（试行）要求，原则上不开展环境质量现状调查。根据项目的产污特点，</w:t>
            </w:r>
            <w:r>
              <w:rPr>
                <w:rFonts w:hint="eastAsia"/>
                <w:color w:val="auto"/>
                <w:sz w:val="24"/>
                <w:szCs w:val="24"/>
                <w:lang w:val="en-US" w:eastAsia="zh-CN"/>
              </w:rPr>
              <w:t>项目采用分区防渗</w:t>
            </w:r>
            <w:r>
              <w:rPr>
                <w:rFonts w:hint="default" w:ascii="Times New Roman" w:hAnsi="Times New Roman" w:eastAsia="宋体" w:cs="Times New Roman"/>
                <w:color w:val="auto"/>
                <w:sz w:val="24"/>
                <w:szCs w:val="24"/>
                <w:vertAlign w:val="baseline"/>
                <w:lang w:eastAsia="zh-CN"/>
              </w:rPr>
              <w:t>，危废间为重点防渗区，采取相应措施后，等效黏土防渗层Mb≥6.0m，K≤1×10</w:t>
            </w:r>
            <w:r>
              <w:rPr>
                <w:rFonts w:hint="default" w:ascii="Times New Roman" w:hAnsi="Times New Roman" w:eastAsia="宋体" w:cs="Times New Roman"/>
                <w:color w:val="auto"/>
                <w:sz w:val="24"/>
                <w:szCs w:val="24"/>
                <w:vertAlign w:val="superscript"/>
                <w:lang w:eastAsia="zh-CN"/>
              </w:rPr>
              <w:t>-10</w:t>
            </w:r>
            <w:r>
              <w:rPr>
                <w:rFonts w:hint="default" w:ascii="Times New Roman" w:hAnsi="Times New Roman" w:eastAsia="宋体" w:cs="Times New Roman"/>
                <w:color w:val="auto"/>
                <w:sz w:val="24"/>
                <w:szCs w:val="24"/>
                <w:vertAlign w:val="baseline"/>
                <w:lang w:eastAsia="zh-CN"/>
              </w:rPr>
              <w:t>cm/s；封闭式生产车间、封闭式</w:t>
            </w:r>
            <w:r>
              <w:rPr>
                <w:rFonts w:hint="eastAsia" w:cs="Times New Roman"/>
                <w:color w:val="auto"/>
                <w:sz w:val="24"/>
                <w:szCs w:val="24"/>
                <w:vertAlign w:val="baseline"/>
                <w:lang w:eastAsia="zh-CN"/>
              </w:rPr>
              <w:t>原料</w:t>
            </w:r>
            <w:r>
              <w:rPr>
                <w:rFonts w:hint="default" w:ascii="Times New Roman" w:hAnsi="Times New Roman" w:eastAsia="宋体" w:cs="Times New Roman"/>
                <w:color w:val="auto"/>
                <w:sz w:val="24"/>
                <w:szCs w:val="24"/>
                <w:vertAlign w:val="baseline"/>
                <w:lang w:eastAsia="zh-CN"/>
              </w:rPr>
              <w:t>车间</w:t>
            </w:r>
            <w:r>
              <w:rPr>
                <w:rFonts w:hint="eastAsia" w:cs="Times New Roman"/>
                <w:color w:val="auto"/>
                <w:sz w:val="24"/>
                <w:szCs w:val="24"/>
                <w:vertAlign w:val="baseline"/>
                <w:lang w:eastAsia="zh-CN"/>
              </w:rPr>
              <w:t>及封闭式成品车间、沉淀池</w:t>
            </w:r>
            <w:r>
              <w:rPr>
                <w:rFonts w:hint="default" w:ascii="Times New Roman" w:hAnsi="Times New Roman" w:eastAsia="宋体" w:cs="Times New Roman"/>
                <w:color w:val="auto"/>
                <w:sz w:val="24"/>
                <w:szCs w:val="24"/>
                <w:vertAlign w:val="baseline"/>
                <w:lang w:eastAsia="zh-CN"/>
              </w:rPr>
              <w:t>为一般防渗区，等效黏土防渗层Mb≥6.0m，K≤10</w:t>
            </w:r>
            <w:r>
              <w:rPr>
                <w:rFonts w:hint="default" w:ascii="Times New Roman" w:hAnsi="Times New Roman" w:eastAsia="宋体" w:cs="Times New Roman"/>
                <w:color w:val="auto"/>
                <w:sz w:val="24"/>
                <w:szCs w:val="24"/>
                <w:vertAlign w:val="superscript"/>
                <w:lang w:eastAsia="zh-CN"/>
              </w:rPr>
              <w:t>-7</w:t>
            </w:r>
            <w:r>
              <w:rPr>
                <w:rFonts w:hint="default" w:ascii="Times New Roman" w:hAnsi="Times New Roman" w:eastAsia="宋体" w:cs="Times New Roman"/>
                <w:color w:val="auto"/>
                <w:sz w:val="24"/>
                <w:szCs w:val="24"/>
                <w:vertAlign w:val="baseline"/>
                <w:lang w:eastAsia="zh-CN"/>
              </w:rPr>
              <w:t>cm/s；厂区空地等区域为简单防渗区，进行一般水泥地面硬化</w:t>
            </w:r>
            <w:r>
              <w:rPr>
                <w:rFonts w:hint="eastAsia"/>
                <w:color w:val="auto"/>
                <w:sz w:val="24"/>
                <w:szCs w:val="24"/>
                <w:lang w:val="en-US"/>
              </w:rPr>
              <w:t>。</w:t>
            </w:r>
            <w:r>
              <w:rPr>
                <w:rFonts w:hint="eastAsia"/>
                <w:color w:val="auto"/>
                <w:sz w:val="24"/>
                <w:szCs w:val="24"/>
                <w:lang w:val="en-US" w:eastAsia="zh-CN"/>
              </w:rPr>
              <w:t>不存在明显的污染途径</w:t>
            </w:r>
            <w:r>
              <w:rPr>
                <w:rFonts w:hint="eastAsia"/>
                <w:color w:val="auto"/>
                <w:sz w:val="24"/>
                <w:szCs w:val="24"/>
                <w:lang w:val="en-US"/>
              </w:rPr>
              <w:t>，故不展开现状调查</w:t>
            </w:r>
            <w:r>
              <w:rPr>
                <w:rFonts w:hint="default" w:ascii="Times New Roman" w:hAnsi="Times New Roman" w:eastAsia="宋体" w:cs="Times New Roman"/>
                <w:color w:val="auto"/>
                <w:sz w:val="24"/>
                <w:szCs w:val="24"/>
              </w:rPr>
              <w:t>。</w:t>
            </w:r>
          </w:p>
        </w:tc>
      </w:tr>
      <w:tr w14:paraId="424191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5" w:hRule="atLeast"/>
        </w:trPr>
        <w:tc>
          <w:tcPr>
            <w:tcW w:w="799" w:type="dxa"/>
            <w:tcBorders>
              <w:top w:val="single" w:color="000000" w:sz="4" w:space="0"/>
              <w:bottom w:val="single" w:color="000000" w:sz="4" w:space="0"/>
              <w:right w:val="single" w:color="000000" w:sz="4" w:space="0"/>
            </w:tcBorders>
            <w:vAlign w:val="center"/>
          </w:tcPr>
          <w:p w14:paraId="6A186C6F">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环境保护目标</w:t>
            </w:r>
          </w:p>
        </w:tc>
        <w:tc>
          <w:tcPr>
            <w:tcW w:w="8190" w:type="dxa"/>
            <w:tcBorders>
              <w:top w:val="single" w:color="000000" w:sz="4" w:space="0"/>
              <w:left w:val="single" w:color="000000" w:sz="4" w:space="0"/>
              <w:bottom w:val="single" w:color="000000" w:sz="4" w:space="0"/>
            </w:tcBorders>
            <w:vAlign w:val="center"/>
          </w:tcPr>
          <w:p w14:paraId="6873EDA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通过现场调查了解，</w:t>
            </w:r>
            <w:r>
              <w:rPr>
                <w:rFonts w:hint="default" w:ascii="Times New Roman" w:hAnsi="Times New Roman" w:eastAsia="宋体" w:cs="Times New Roman"/>
                <w:color w:val="auto"/>
                <w:highlight w:val="none"/>
              </w:rPr>
              <w:t>本项目主要环</w:t>
            </w:r>
            <w:r>
              <w:rPr>
                <w:rFonts w:hint="default" w:ascii="Times New Roman" w:hAnsi="Times New Roman" w:eastAsia="宋体" w:cs="Times New Roman"/>
                <w:color w:val="auto"/>
              </w:rPr>
              <w:t>境空气保护目标为居民区。本项目厂界外50m范围内无声环境敏感保护目标</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环境保护</w:t>
            </w:r>
            <w:r>
              <w:rPr>
                <w:rFonts w:hint="default" w:ascii="Times New Roman" w:hAnsi="Times New Roman" w:eastAsia="宋体" w:cs="Times New Roman"/>
                <w:color w:val="auto"/>
                <w:highlight w:val="none"/>
              </w:rPr>
              <w:t>目标如下表所示，</w:t>
            </w:r>
            <w:r>
              <w:rPr>
                <w:rFonts w:hint="default" w:ascii="Times New Roman" w:hAnsi="Times New Roman" w:eastAsia="宋体" w:cs="Times New Roman"/>
                <w:color w:val="auto"/>
                <w:highlight w:val="none"/>
                <w:lang w:eastAsia="zh-CN"/>
              </w:rPr>
              <w:t>保护目标</w:t>
            </w:r>
            <w:r>
              <w:rPr>
                <w:rFonts w:hint="default" w:ascii="Times New Roman" w:hAnsi="Times New Roman" w:eastAsia="宋体" w:cs="Times New Roman"/>
                <w:color w:val="auto"/>
                <w:highlight w:val="none"/>
              </w:rPr>
              <w:t>分布示意图见附图。</w:t>
            </w:r>
          </w:p>
          <w:p w14:paraId="2009A40C">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eastAsia"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lang w:eastAsia="zh-CN"/>
              </w:rPr>
              <w:t>环境保护</w:t>
            </w:r>
            <w:r>
              <w:rPr>
                <w:rFonts w:hint="default" w:ascii="Times New Roman" w:hAnsi="Times New Roman" w:eastAsia="宋体" w:cs="Times New Roman"/>
                <w:b/>
                <w:color w:val="auto"/>
                <w:sz w:val="21"/>
                <w:szCs w:val="21"/>
                <w:highlight w:val="none"/>
              </w:rPr>
              <w:t>目标</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335"/>
              <w:gridCol w:w="1780"/>
              <w:gridCol w:w="1065"/>
              <w:gridCol w:w="997"/>
              <w:gridCol w:w="1065"/>
              <w:gridCol w:w="930"/>
              <w:gridCol w:w="813"/>
            </w:tblGrid>
            <w:tr w14:paraId="4E9E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92" w:type="dxa"/>
                  <w:noWrap w:val="0"/>
                  <w:vAlign w:val="center"/>
                </w:tcPr>
                <w:p w14:paraId="1D5FF5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环境要素</w:t>
                  </w:r>
                </w:p>
              </w:tc>
              <w:tc>
                <w:tcPr>
                  <w:tcW w:w="2115" w:type="dxa"/>
                  <w:gridSpan w:val="2"/>
                  <w:noWrap w:val="0"/>
                  <w:vAlign w:val="center"/>
                </w:tcPr>
                <w:p w14:paraId="66CC4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1065" w:type="dxa"/>
                  <w:noWrap w:val="0"/>
                  <w:vAlign w:val="center"/>
                </w:tcPr>
                <w:p w14:paraId="66A085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97" w:type="dxa"/>
                  <w:noWrap w:val="0"/>
                  <w:vAlign w:val="center"/>
                </w:tcPr>
                <w:p w14:paraId="6443CD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w:t>
                  </w:r>
                </w:p>
                <w:p w14:paraId="38BDB5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rPr>
                    <w:t>方位</w:t>
                  </w:r>
                </w:p>
              </w:tc>
              <w:tc>
                <w:tcPr>
                  <w:tcW w:w="1065" w:type="dxa"/>
                  <w:noWrap w:val="0"/>
                  <w:vAlign w:val="center"/>
                </w:tcPr>
                <w:p w14:paraId="490693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rPr>
                    <w:t>相对厂址距离/m</w:t>
                  </w:r>
                </w:p>
              </w:tc>
              <w:tc>
                <w:tcPr>
                  <w:tcW w:w="930" w:type="dxa"/>
                  <w:noWrap w:val="0"/>
                  <w:vAlign w:val="center"/>
                </w:tcPr>
                <w:p w14:paraId="3FB53A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lang w:val="zh-CN" w:eastAsia="zh-CN" w:bidi="zh-CN"/>
                    </w:rPr>
                    <w:t>功能区</w:t>
                  </w:r>
                </w:p>
              </w:tc>
              <w:tc>
                <w:tcPr>
                  <w:tcW w:w="813" w:type="dxa"/>
                  <w:noWrap w:val="0"/>
                  <w:vAlign w:val="center"/>
                </w:tcPr>
                <w:p w14:paraId="102BB6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val="0"/>
                      <w:color w:val="auto"/>
                      <w:sz w:val="21"/>
                      <w:szCs w:val="21"/>
                      <w:highlight w:val="none"/>
                    </w:rPr>
                    <w:t>保护级别</w:t>
                  </w:r>
                </w:p>
              </w:tc>
            </w:tr>
            <w:tr w14:paraId="3E1B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92" w:type="dxa"/>
                  <w:vMerge w:val="restart"/>
                  <w:noWrap w:val="0"/>
                  <w:vAlign w:val="center"/>
                </w:tcPr>
                <w:p w14:paraId="77D932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环境空气</w:t>
                  </w:r>
                </w:p>
              </w:tc>
              <w:tc>
                <w:tcPr>
                  <w:tcW w:w="335" w:type="dxa"/>
                  <w:noWrap w:val="0"/>
                  <w:vAlign w:val="center"/>
                </w:tcPr>
                <w:p w14:paraId="6481A85C">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E</w:t>
                  </w:r>
                </w:p>
              </w:tc>
              <w:tc>
                <w:tcPr>
                  <w:tcW w:w="1780" w:type="dxa"/>
                  <w:noWrap w:val="0"/>
                  <w:vAlign w:val="center"/>
                </w:tcPr>
                <w:p w14:paraId="511B7E13">
                  <w:pPr>
                    <w:pStyle w:val="39"/>
                    <w:keepNex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117°</w:t>
                  </w:r>
                  <w:r>
                    <w:rPr>
                      <w:rFonts w:hint="default"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24.382</w:t>
                  </w:r>
                  <w:r>
                    <w:rPr>
                      <w:rFonts w:hint="default" w:ascii="Times New Roman" w:hAnsi="Times New Roman" w:eastAsia="宋体" w:cs="Times New Roman"/>
                      <w:color w:val="auto"/>
                      <w:sz w:val="21"/>
                      <w:szCs w:val="21"/>
                      <w:lang w:eastAsia="zh-CN"/>
                    </w:rPr>
                    <w:t>″</w:t>
                  </w:r>
                </w:p>
              </w:tc>
              <w:tc>
                <w:tcPr>
                  <w:tcW w:w="1065" w:type="dxa"/>
                  <w:vMerge w:val="restart"/>
                  <w:noWrap w:val="0"/>
                  <w:vAlign w:val="center"/>
                </w:tcPr>
                <w:p w14:paraId="7B0A8D2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en-US" w:eastAsia="zh-CN"/>
                    </w:rPr>
                    <w:t>平安堡村</w:t>
                  </w:r>
                </w:p>
              </w:tc>
              <w:tc>
                <w:tcPr>
                  <w:tcW w:w="997" w:type="dxa"/>
                  <w:vMerge w:val="restart"/>
                  <w:noWrap w:val="0"/>
                  <w:vAlign w:val="center"/>
                </w:tcPr>
                <w:p w14:paraId="18161B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北</w:t>
                  </w:r>
                </w:p>
              </w:tc>
              <w:tc>
                <w:tcPr>
                  <w:tcW w:w="1065" w:type="dxa"/>
                  <w:vMerge w:val="restart"/>
                  <w:noWrap w:val="0"/>
                  <w:vAlign w:val="center"/>
                </w:tcPr>
                <w:p w14:paraId="2829A1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122</w:t>
                  </w:r>
                </w:p>
              </w:tc>
              <w:tc>
                <w:tcPr>
                  <w:tcW w:w="930" w:type="dxa"/>
                  <w:vMerge w:val="restart"/>
                  <w:noWrap w:val="0"/>
                  <w:vAlign w:val="center"/>
                </w:tcPr>
                <w:p w14:paraId="5B358F3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居民</w:t>
                  </w:r>
                </w:p>
              </w:tc>
              <w:tc>
                <w:tcPr>
                  <w:tcW w:w="813" w:type="dxa"/>
                  <w:vMerge w:val="restart"/>
                  <w:noWrap w:val="0"/>
                  <w:vAlign w:val="center"/>
                </w:tcPr>
                <w:p w14:paraId="3C774E0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环境空气二类区</w:t>
                  </w:r>
                </w:p>
              </w:tc>
            </w:tr>
            <w:tr w14:paraId="55D6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92" w:type="dxa"/>
                  <w:vMerge w:val="continue"/>
                  <w:noWrap w:val="0"/>
                  <w:vAlign w:val="center"/>
                </w:tcPr>
                <w:p w14:paraId="04F77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335" w:type="dxa"/>
                  <w:noWrap w:val="0"/>
                  <w:vAlign w:val="center"/>
                </w:tcPr>
                <w:p w14:paraId="41D4EFB8">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N</w:t>
                  </w:r>
                </w:p>
              </w:tc>
              <w:tc>
                <w:tcPr>
                  <w:tcW w:w="1780" w:type="dxa"/>
                  <w:noWrap w:val="0"/>
                  <w:vAlign w:val="center"/>
                </w:tcPr>
                <w:p w14:paraId="21AD06E5">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eastAsia="zh-CN"/>
                    </w:rPr>
                    <w:t>40°</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14.727</w:t>
                  </w:r>
                  <w:r>
                    <w:rPr>
                      <w:rFonts w:hint="default" w:ascii="Times New Roman" w:hAnsi="Times New Roman" w:eastAsia="宋体" w:cs="Times New Roman"/>
                      <w:color w:val="auto"/>
                      <w:sz w:val="21"/>
                      <w:szCs w:val="21"/>
                      <w:lang w:eastAsia="zh-CN"/>
                    </w:rPr>
                    <w:t>″</w:t>
                  </w:r>
                </w:p>
              </w:tc>
              <w:tc>
                <w:tcPr>
                  <w:tcW w:w="1065" w:type="dxa"/>
                  <w:vMerge w:val="continue"/>
                  <w:noWrap w:val="0"/>
                  <w:vAlign w:val="center"/>
                </w:tcPr>
                <w:p w14:paraId="291D225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997" w:type="dxa"/>
                  <w:vMerge w:val="continue"/>
                  <w:noWrap w:val="0"/>
                  <w:vAlign w:val="center"/>
                </w:tcPr>
                <w:p w14:paraId="18F905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065" w:type="dxa"/>
                  <w:vMerge w:val="continue"/>
                  <w:noWrap w:val="0"/>
                  <w:vAlign w:val="center"/>
                </w:tcPr>
                <w:p w14:paraId="59E46E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930" w:type="dxa"/>
                  <w:vMerge w:val="continue"/>
                  <w:noWrap w:val="0"/>
                  <w:vAlign w:val="center"/>
                </w:tcPr>
                <w:p w14:paraId="0FE0799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813" w:type="dxa"/>
                  <w:vMerge w:val="continue"/>
                  <w:noWrap w:val="0"/>
                  <w:vAlign w:val="center"/>
                </w:tcPr>
                <w:p w14:paraId="0C6FCD0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7965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92" w:type="dxa"/>
                  <w:vMerge w:val="continue"/>
                  <w:noWrap w:val="0"/>
                  <w:vAlign w:val="center"/>
                </w:tcPr>
                <w:p w14:paraId="6A84D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335" w:type="dxa"/>
                  <w:noWrap w:val="0"/>
                  <w:vAlign w:val="center"/>
                </w:tcPr>
                <w:p w14:paraId="5D0DA1AA">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E</w:t>
                  </w:r>
                </w:p>
              </w:tc>
              <w:tc>
                <w:tcPr>
                  <w:tcW w:w="1780" w:type="dxa"/>
                  <w:noWrap w:val="0"/>
                  <w:vAlign w:val="center"/>
                </w:tcPr>
                <w:p w14:paraId="0B671BF4">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eastAsia="zh-CN"/>
                    </w:rPr>
                    <w:t>117°</w:t>
                  </w:r>
                  <w:r>
                    <w:rPr>
                      <w:rFonts w:hint="eastAsia" w:cs="Times New Roman"/>
                      <w:color w:val="auto"/>
                      <w:sz w:val="21"/>
                      <w:szCs w:val="21"/>
                      <w:lang w:val="en-US" w:eastAsia="zh-CN"/>
                    </w:rPr>
                    <w:t>35</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36.046</w:t>
                  </w:r>
                  <w:r>
                    <w:rPr>
                      <w:rFonts w:hint="default" w:ascii="Times New Roman" w:hAnsi="Times New Roman" w:eastAsia="宋体" w:cs="Times New Roman"/>
                      <w:color w:val="auto"/>
                      <w:sz w:val="21"/>
                      <w:szCs w:val="21"/>
                      <w:lang w:eastAsia="zh-CN"/>
                    </w:rPr>
                    <w:t>″</w:t>
                  </w:r>
                </w:p>
              </w:tc>
              <w:tc>
                <w:tcPr>
                  <w:tcW w:w="1065" w:type="dxa"/>
                  <w:vMerge w:val="restart"/>
                  <w:noWrap w:val="0"/>
                  <w:vAlign w:val="center"/>
                </w:tcPr>
                <w:p w14:paraId="3816DE86">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平安堡村</w:t>
                  </w:r>
                </w:p>
              </w:tc>
              <w:tc>
                <w:tcPr>
                  <w:tcW w:w="997" w:type="dxa"/>
                  <w:vMerge w:val="restart"/>
                  <w:noWrap w:val="0"/>
                  <w:vAlign w:val="center"/>
                </w:tcPr>
                <w:p w14:paraId="22696C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东南</w:t>
                  </w:r>
                </w:p>
              </w:tc>
              <w:tc>
                <w:tcPr>
                  <w:tcW w:w="1065" w:type="dxa"/>
                  <w:vMerge w:val="restart"/>
                  <w:noWrap w:val="0"/>
                  <w:vAlign w:val="center"/>
                </w:tcPr>
                <w:p w14:paraId="674534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129</w:t>
                  </w:r>
                </w:p>
              </w:tc>
              <w:tc>
                <w:tcPr>
                  <w:tcW w:w="930" w:type="dxa"/>
                  <w:vMerge w:val="continue"/>
                  <w:noWrap w:val="0"/>
                  <w:vAlign w:val="center"/>
                </w:tcPr>
                <w:p w14:paraId="53BDAE6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813" w:type="dxa"/>
                  <w:vMerge w:val="continue"/>
                  <w:noWrap w:val="0"/>
                  <w:vAlign w:val="center"/>
                </w:tcPr>
                <w:p w14:paraId="32B673E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7559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92" w:type="dxa"/>
                  <w:vMerge w:val="continue"/>
                  <w:noWrap w:val="0"/>
                  <w:vAlign w:val="center"/>
                </w:tcPr>
                <w:p w14:paraId="2CA374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335" w:type="dxa"/>
                  <w:noWrap w:val="0"/>
                  <w:vAlign w:val="center"/>
                </w:tcPr>
                <w:p w14:paraId="515E8E48">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N</w:t>
                  </w:r>
                </w:p>
              </w:tc>
              <w:tc>
                <w:tcPr>
                  <w:tcW w:w="1780" w:type="dxa"/>
                  <w:noWrap w:val="0"/>
                  <w:vAlign w:val="center"/>
                </w:tcPr>
                <w:p w14:paraId="37F4BB41">
                  <w:pPr>
                    <w:pStyle w:val="39"/>
                    <w:keepNex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40°</w:t>
                  </w:r>
                  <w:r>
                    <w:rPr>
                      <w:rFonts w:hint="eastAsia" w:cs="Times New Roman"/>
                      <w:color w:val="auto"/>
                      <w:sz w:val="21"/>
                      <w:szCs w:val="21"/>
                      <w:lang w:val="en-US" w:eastAsia="zh-CN"/>
                    </w:rPr>
                    <w:t>29</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58.234</w:t>
                  </w:r>
                  <w:r>
                    <w:rPr>
                      <w:rFonts w:hint="default" w:ascii="Times New Roman" w:hAnsi="Times New Roman" w:eastAsia="宋体" w:cs="Times New Roman"/>
                      <w:color w:val="auto"/>
                      <w:sz w:val="21"/>
                      <w:szCs w:val="21"/>
                      <w:lang w:eastAsia="zh-CN"/>
                    </w:rPr>
                    <w:t>″</w:t>
                  </w:r>
                </w:p>
              </w:tc>
              <w:tc>
                <w:tcPr>
                  <w:tcW w:w="1065" w:type="dxa"/>
                  <w:vMerge w:val="continue"/>
                  <w:noWrap w:val="0"/>
                  <w:vAlign w:val="center"/>
                </w:tcPr>
                <w:p w14:paraId="4EDC46B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997" w:type="dxa"/>
                  <w:vMerge w:val="continue"/>
                  <w:noWrap w:val="0"/>
                  <w:vAlign w:val="center"/>
                </w:tcPr>
                <w:p w14:paraId="12A724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cs="Times New Roman"/>
                      <w:color w:val="auto"/>
                      <w:sz w:val="21"/>
                      <w:szCs w:val="21"/>
                      <w:lang w:eastAsia="zh-CN"/>
                    </w:rPr>
                  </w:pPr>
                </w:p>
              </w:tc>
              <w:tc>
                <w:tcPr>
                  <w:tcW w:w="1065" w:type="dxa"/>
                  <w:vMerge w:val="continue"/>
                  <w:noWrap w:val="0"/>
                  <w:vAlign w:val="center"/>
                </w:tcPr>
                <w:p w14:paraId="06DAA1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cs="Times New Roman"/>
                      <w:color w:val="auto"/>
                      <w:sz w:val="21"/>
                      <w:szCs w:val="21"/>
                      <w:lang w:val="en-US" w:eastAsia="zh-CN"/>
                    </w:rPr>
                  </w:pPr>
                </w:p>
              </w:tc>
              <w:tc>
                <w:tcPr>
                  <w:tcW w:w="930" w:type="dxa"/>
                  <w:vMerge w:val="continue"/>
                  <w:noWrap w:val="0"/>
                  <w:vAlign w:val="center"/>
                </w:tcPr>
                <w:p w14:paraId="3D745F2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813" w:type="dxa"/>
                  <w:vMerge w:val="continue"/>
                  <w:noWrap w:val="0"/>
                  <w:vAlign w:val="center"/>
                </w:tcPr>
                <w:p w14:paraId="4F2AA02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48D3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92" w:type="dxa"/>
                  <w:vMerge w:val="continue"/>
                  <w:noWrap w:val="0"/>
                  <w:vAlign w:val="center"/>
                </w:tcPr>
                <w:p w14:paraId="602A8B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335" w:type="dxa"/>
                  <w:noWrap w:val="0"/>
                  <w:vAlign w:val="center"/>
                </w:tcPr>
                <w:p w14:paraId="10FD7109">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E</w:t>
                  </w:r>
                </w:p>
              </w:tc>
              <w:tc>
                <w:tcPr>
                  <w:tcW w:w="1780" w:type="dxa"/>
                  <w:noWrap w:val="0"/>
                  <w:vAlign w:val="center"/>
                </w:tcPr>
                <w:p w14:paraId="3CA9BBC0">
                  <w:pPr>
                    <w:pStyle w:val="39"/>
                    <w:keepNex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117°</w:t>
                  </w:r>
                  <w:r>
                    <w:rPr>
                      <w:rFonts w:hint="eastAsia" w:cs="Times New Roman"/>
                      <w:color w:val="auto"/>
                      <w:sz w:val="21"/>
                      <w:szCs w:val="21"/>
                      <w:lang w:val="en-US" w:eastAsia="zh-CN"/>
                    </w:rPr>
                    <w:t>35</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38.093</w:t>
                  </w:r>
                  <w:r>
                    <w:rPr>
                      <w:rFonts w:hint="default" w:ascii="Times New Roman" w:hAnsi="Times New Roman" w:eastAsia="宋体" w:cs="Times New Roman"/>
                      <w:color w:val="auto"/>
                      <w:sz w:val="21"/>
                      <w:szCs w:val="21"/>
                      <w:lang w:eastAsia="zh-CN"/>
                    </w:rPr>
                    <w:t>″</w:t>
                  </w:r>
                </w:p>
              </w:tc>
              <w:tc>
                <w:tcPr>
                  <w:tcW w:w="1065" w:type="dxa"/>
                  <w:vMerge w:val="restart"/>
                  <w:noWrap w:val="0"/>
                  <w:vAlign w:val="center"/>
                </w:tcPr>
                <w:p w14:paraId="00DB57B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土城头村</w:t>
                  </w:r>
                </w:p>
              </w:tc>
              <w:tc>
                <w:tcPr>
                  <w:tcW w:w="997" w:type="dxa"/>
                  <w:vMerge w:val="restart"/>
                  <w:noWrap w:val="0"/>
                  <w:vAlign w:val="center"/>
                </w:tcPr>
                <w:p w14:paraId="529091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cs="Times New Roman"/>
                      <w:color w:val="auto"/>
                      <w:sz w:val="21"/>
                      <w:szCs w:val="21"/>
                      <w:lang w:eastAsia="zh-CN"/>
                    </w:rPr>
                  </w:pPr>
                  <w:r>
                    <w:rPr>
                      <w:rFonts w:hint="eastAsia" w:cs="Times New Roman"/>
                      <w:color w:val="auto"/>
                      <w:sz w:val="21"/>
                      <w:szCs w:val="21"/>
                      <w:lang w:eastAsia="zh-CN"/>
                    </w:rPr>
                    <w:t>南</w:t>
                  </w:r>
                </w:p>
              </w:tc>
              <w:tc>
                <w:tcPr>
                  <w:tcW w:w="1065" w:type="dxa"/>
                  <w:vMerge w:val="restart"/>
                  <w:noWrap w:val="0"/>
                  <w:vAlign w:val="center"/>
                </w:tcPr>
                <w:p w14:paraId="089633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413</w:t>
                  </w:r>
                </w:p>
              </w:tc>
              <w:tc>
                <w:tcPr>
                  <w:tcW w:w="930" w:type="dxa"/>
                  <w:vMerge w:val="continue"/>
                  <w:noWrap w:val="0"/>
                  <w:vAlign w:val="center"/>
                </w:tcPr>
                <w:p w14:paraId="63EBD2E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813" w:type="dxa"/>
                  <w:vMerge w:val="continue"/>
                  <w:noWrap w:val="0"/>
                  <w:vAlign w:val="center"/>
                </w:tcPr>
                <w:p w14:paraId="416B64B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630A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92" w:type="dxa"/>
                  <w:vMerge w:val="continue"/>
                  <w:noWrap w:val="0"/>
                  <w:vAlign w:val="center"/>
                </w:tcPr>
                <w:p w14:paraId="421F2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335" w:type="dxa"/>
                  <w:noWrap w:val="0"/>
                  <w:vAlign w:val="center"/>
                </w:tcPr>
                <w:p w14:paraId="3EB1B931">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N</w:t>
                  </w:r>
                </w:p>
              </w:tc>
              <w:tc>
                <w:tcPr>
                  <w:tcW w:w="1780" w:type="dxa"/>
                  <w:noWrap w:val="0"/>
                  <w:vAlign w:val="center"/>
                </w:tcPr>
                <w:p w14:paraId="213B3AFA">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eastAsia="zh-CN"/>
                    </w:rPr>
                    <w:t>40°</w:t>
                  </w:r>
                  <w:r>
                    <w:rPr>
                      <w:rFonts w:hint="eastAsia" w:cs="Times New Roman"/>
                      <w:color w:val="auto"/>
                      <w:sz w:val="21"/>
                      <w:szCs w:val="21"/>
                      <w:lang w:val="en-US" w:eastAsia="zh-CN"/>
                    </w:rPr>
                    <w:t>29</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47.613</w:t>
                  </w:r>
                  <w:r>
                    <w:rPr>
                      <w:rFonts w:hint="default" w:ascii="Times New Roman" w:hAnsi="Times New Roman" w:eastAsia="宋体" w:cs="Times New Roman"/>
                      <w:color w:val="auto"/>
                      <w:sz w:val="21"/>
                      <w:szCs w:val="21"/>
                      <w:lang w:eastAsia="zh-CN"/>
                    </w:rPr>
                    <w:t>″</w:t>
                  </w:r>
                </w:p>
              </w:tc>
              <w:tc>
                <w:tcPr>
                  <w:tcW w:w="1065" w:type="dxa"/>
                  <w:vMerge w:val="continue"/>
                  <w:noWrap w:val="0"/>
                  <w:vAlign w:val="center"/>
                </w:tcPr>
                <w:p w14:paraId="403851B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997" w:type="dxa"/>
                  <w:vMerge w:val="continue"/>
                  <w:noWrap w:val="0"/>
                  <w:vAlign w:val="center"/>
                </w:tcPr>
                <w:p w14:paraId="7BB95F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065" w:type="dxa"/>
                  <w:vMerge w:val="continue"/>
                  <w:noWrap w:val="0"/>
                  <w:vAlign w:val="center"/>
                </w:tcPr>
                <w:p w14:paraId="105A3D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930" w:type="dxa"/>
                  <w:vMerge w:val="continue"/>
                  <w:noWrap w:val="0"/>
                  <w:vAlign w:val="center"/>
                </w:tcPr>
                <w:p w14:paraId="79983D0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813" w:type="dxa"/>
                  <w:vMerge w:val="continue"/>
                  <w:noWrap w:val="0"/>
                  <w:vAlign w:val="center"/>
                </w:tcPr>
                <w:p w14:paraId="5017994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5F86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92" w:type="dxa"/>
                  <w:vMerge w:val="restart"/>
                  <w:noWrap w:val="0"/>
                  <w:vAlign w:val="center"/>
                </w:tcPr>
                <w:p w14:paraId="14F512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地表水</w:t>
                  </w:r>
                </w:p>
              </w:tc>
              <w:tc>
                <w:tcPr>
                  <w:tcW w:w="335" w:type="dxa"/>
                  <w:noWrap w:val="0"/>
                  <w:vAlign w:val="center"/>
                </w:tcPr>
                <w:p w14:paraId="59633648">
                  <w:pPr>
                    <w:pStyle w:val="39"/>
                    <w:keepNext/>
                    <w:rPr>
                      <w:rFonts w:hint="default" w:ascii="Times New Roman" w:hAnsi="Times New Roman" w:eastAsia="宋体" w:cs="Times New Roman"/>
                      <w:snapToGrid w:val="0"/>
                      <w:color w:val="auto"/>
                      <w:sz w:val="21"/>
                      <w:szCs w:val="21"/>
                      <w:lang w:val="zh-CN" w:eastAsia="zh-CN" w:bidi="ar-SA"/>
                    </w:rPr>
                  </w:pPr>
                  <w:r>
                    <w:rPr>
                      <w:rFonts w:hint="default" w:ascii="Times New Roman" w:hAnsi="Times New Roman" w:eastAsia="宋体" w:cs="Times New Roman"/>
                      <w:snapToGrid w:val="0"/>
                      <w:color w:val="auto"/>
                      <w:sz w:val="21"/>
                      <w:szCs w:val="21"/>
                      <w:lang w:val="en-US" w:eastAsia="zh-CN" w:bidi="ar-SA"/>
                    </w:rPr>
                    <w:t>E</w:t>
                  </w:r>
                </w:p>
              </w:tc>
              <w:tc>
                <w:tcPr>
                  <w:tcW w:w="1780" w:type="dxa"/>
                  <w:noWrap w:val="0"/>
                  <w:vAlign w:val="center"/>
                </w:tcPr>
                <w:p w14:paraId="1745895D">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117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36.48911</w:t>
                  </w:r>
                  <w:r>
                    <w:rPr>
                      <w:rFonts w:hint="default" w:ascii="Times New Roman" w:hAnsi="Times New Roman" w:eastAsia="宋体" w:cs="Times New Roman"/>
                      <w:color w:val="auto"/>
                      <w:sz w:val="21"/>
                      <w:szCs w:val="21"/>
                      <w:lang w:eastAsia="zh-CN"/>
                    </w:rPr>
                    <w:t>″</w:t>
                  </w:r>
                </w:p>
              </w:tc>
              <w:tc>
                <w:tcPr>
                  <w:tcW w:w="1065" w:type="dxa"/>
                  <w:vMerge w:val="restart"/>
                  <w:noWrap w:val="0"/>
                  <w:vAlign w:val="center"/>
                </w:tcPr>
                <w:p w14:paraId="18D2274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柳河</w:t>
                  </w:r>
                </w:p>
              </w:tc>
              <w:tc>
                <w:tcPr>
                  <w:tcW w:w="997" w:type="dxa"/>
                  <w:vMerge w:val="restart"/>
                  <w:noWrap w:val="0"/>
                  <w:vAlign w:val="center"/>
                </w:tcPr>
                <w:p w14:paraId="3BD277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西</w:t>
                  </w:r>
                </w:p>
              </w:tc>
              <w:tc>
                <w:tcPr>
                  <w:tcW w:w="1065" w:type="dxa"/>
                  <w:vMerge w:val="restart"/>
                  <w:noWrap w:val="0"/>
                  <w:vAlign w:val="center"/>
                </w:tcPr>
                <w:p w14:paraId="576CCE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紧邻</w:t>
                  </w:r>
                </w:p>
              </w:tc>
              <w:tc>
                <w:tcPr>
                  <w:tcW w:w="930" w:type="dxa"/>
                  <w:vMerge w:val="restart"/>
                  <w:noWrap w:val="0"/>
                  <w:vAlign w:val="center"/>
                </w:tcPr>
                <w:p w14:paraId="077771A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水环境</w:t>
                  </w:r>
                </w:p>
              </w:tc>
              <w:tc>
                <w:tcPr>
                  <w:tcW w:w="813" w:type="dxa"/>
                  <w:vMerge w:val="restart"/>
                  <w:noWrap w:val="0"/>
                  <w:vAlign w:val="center"/>
                </w:tcPr>
                <w:p w14:paraId="1E162109">
                  <w:pPr>
                    <w:pStyle w:val="39"/>
                    <w:keepNex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地表水</w:t>
                  </w:r>
                </w:p>
                <w:p w14:paraId="1C1C6F3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r>
                    <w:rPr>
                      <w:rFonts w:hint="default" w:ascii="Times New Roman" w:hAnsi="Times New Roman" w:eastAsia="宋体" w:cs="Times New Roman"/>
                      <w:color w:val="auto"/>
                      <w:sz w:val="21"/>
                      <w:szCs w:val="21"/>
                      <w:lang w:eastAsia="zh-CN"/>
                    </w:rPr>
                    <w:t>类</w:t>
                  </w:r>
                </w:p>
              </w:tc>
            </w:tr>
            <w:tr w14:paraId="7122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92" w:type="dxa"/>
                  <w:vMerge w:val="continue"/>
                  <w:noWrap w:val="0"/>
                  <w:vAlign w:val="center"/>
                </w:tcPr>
                <w:p w14:paraId="609716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335" w:type="dxa"/>
                  <w:noWrap w:val="0"/>
                  <w:vAlign w:val="center"/>
                </w:tcPr>
                <w:p w14:paraId="7307EFF2">
                  <w:pPr>
                    <w:pStyle w:val="39"/>
                    <w:keepNext/>
                    <w:rPr>
                      <w:rFonts w:hint="default" w:ascii="Times New Roman" w:hAnsi="Times New Roman" w:eastAsia="宋体" w:cs="Times New Roman"/>
                      <w:snapToGrid w:val="0"/>
                      <w:color w:val="auto"/>
                      <w:sz w:val="21"/>
                      <w:szCs w:val="21"/>
                      <w:lang w:val="zh-CN" w:eastAsia="zh-CN" w:bidi="ar-SA"/>
                    </w:rPr>
                  </w:pPr>
                  <w:r>
                    <w:rPr>
                      <w:rFonts w:hint="default" w:ascii="Times New Roman" w:hAnsi="Times New Roman" w:eastAsia="宋体" w:cs="Times New Roman"/>
                      <w:snapToGrid w:val="0"/>
                      <w:color w:val="auto"/>
                      <w:sz w:val="21"/>
                      <w:szCs w:val="21"/>
                      <w:lang w:val="en-US" w:eastAsia="zh-CN" w:bidi="ar-SA"/>
                    </w:rPr>
                    <w:t>N</w:t>
                  </w:r>
                </w:p>
              </w:tc>
              <w:tc>
                <w:tcPr>
                  <w:tcW w:w="1780" w:type="dxa"/>
                  <w:noWrap w:val="0"/>
                  <w:vAlign w:val="center"/>
                </w:tcPr>
                <w:p w14:paraId="0177A2E5">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val="en-US" w:eastAsia="zh-CN"/>
                    </w:rPr>
                    <w:t>23</w:t>
                  </w:r>
                  <w:r>
                    <w:rPr>
                      <w:rFonts w:hint="default" w:ascii="Times New Roman" w:hAnsi="Times New Roman" w:eastAsia="宋体" w:cs="Times New Roman"/>
                      <w:color w:val="auto"/>
                      <w:sz w:val="21"/>
                      <w:szCs w:val="21"/>
                      <w:lang w:val="en-US" w:eastAsia="zh-CN"/>
                    </w:rPr>
                    <w:t>.73327</w:t>
                  </w:r>
                  <w:r>
                    <w:rPr>
                      <w:rFonts w:hint="default" w:ascii="Times New Roman" w:hAnsi="Times New Roman" w:eastAsia="宋体" w:cs="Times New Roman"/>
                      <w:color w:val="auto"/>
                      <w:sz w:val="21"/>
                      <w:szCs w:val="21"/>
                      <w:lang w:eastAsia="zh-CN"/>
                    </w:rPr>
                    <w:t>″</w:t>
                  </w:r>
                </w:p>
              </w:tc>
              <w:tc>
                <w:tcPr>
                  <w:tcW w:w="1065" w:type="dxa"/>
                  <w:vMerge w:val="continue"/>
                  <w:noWrap w:val="0"/>
                  <w:vAlign w:val="center"/>
                </w:tcPr>
                <w:p w14:paraId="0AF42B6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997" w:type="dxa"/>
                  <w:vMerge w:val="continue"/>
                  <w:noWrap w:val="0"/>
                  <w:vAlign w:val="center"/>
                </w:tcPr>
                <w:p w14:paraId="5C09C9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065" w:type="dxa"/>
                  <w:vMerge w:val="continue"/>
                  <w:noWrap w:val="0"/>
                  <w:vAlign w:val="center"/>
                </w:tcPr>
                <w:p w14:paraId="57AEF1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930" w:type="dxa"/>
                  <w:vMerge w:val="continue"/>
                  <w:noWrap w:val="0"/>
                  <w:vAlign w:val="center"/>
                </w:tcPr>
                <w:p w14:paraId="7B1BC24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p>
              </w:tc>
              <w:tc>
                <w:tcPr>
                  <w:tcW w:w="813" w:type="dxa"/>
                  <w:vMerge w:val="continue"/>
                  <w:noWrap w:val="0"/>
                  <w:vAlign w:val="center"/>
                </w:tcPr>
                <w:p w14:paraId="5CC276F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p>
              </w:tc>
            </w:tr>
            <w:tr w14:paraId="3D1C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092" w:type="dxa"/>
                  <w:noWrap w:val="0"/>
                  <w:vAlign w:val="center"/>
                </w:tcPr>
                <w:p w14:paraId="620A1F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地下水</w:t>
                  </w:r>
                </w:p>
              </w:tc>
              <w:tc>
                <w:tcPr>
                  <w:tcW w:w="335" w:type="dxa"/>
                  <w:noWrap w:val="0"/>
                  <w:vAlign w:val="center"/>
                </w:tcPr>
                <w:p w14:paraId="4173EB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zh-CN" w:eastAsia="zh-CN" w:bidi="zh-CN"/>
                    </w:rPr>
                    <w:t>—</w:t>
                  </w:r>
                </w:p>
              </w:tc>
              <w:tc>
                <w:tcPr>
                  <w:tcW w:w="1780" w:type="dxa"/>
                  <w:noWrap w:val="0"/>
                  <w:vAlign w:val="center"/>
                </w:tcPr>
                <w:p w14:paraId="119E03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rPr>
                    <w:t>—</w:t>
                  </w:r>
                </w:p>
              </w:tc>
              <w:tc>
                <w:tcPr>
                  <w:tcW w:w="1065" w:type="dxa"/>
                  <w:noWrap w:val="0"/>
                  <w:vAlign w:val="center"/>
                </w:tcPr>
                <w:p w14:paraId="1A182EC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地下水</w:t>
                  </w:r>
                </w:p>
              </w:tc>
              <w:tc>
                <w:tcPr>
                  <w:tcW w:w="997" w:type="dxa"/>
                  <w:noWrap w:val="0"/>
                  <w:vAlign w:val="center"/>
                </w:tcPr>
                <w:p w14:paraId="69DF52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p>
              </w:tc>
              <w:tc>
                <w:tcPr>
                  <w:tcW w:w="1065" w:type="dxa"/>
                  <w:noWrap w:val="0"/>
                  <w:vAlign w:val="center"/>
                </w:tcPr>
                <w:p w14:paraId="173C62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930" w:type="dxa"/>
                  <w:noWrap w:val="0"/>
                  <w:vAlign w:val="center"/>
                </w:tcPr>
                <w:p w14:paraId="7D50E53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13" w:type="dxa"/>
                  <w:noWrap w:val="0"/>
                  <w:vAlign w:val="center"/>
                </w:tcPr>
                <w:p w14:paraId="563102E9">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6C8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92" w:type="dxa"/>
                  <w:noWrap w:val="0"/>
                  <w:vAlign w:val="center"/>
                </w:tcPr>
                <w:p w14:paraId="4DBC4F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rPr>
                    <w:t>生态环境</w:t>
                  </w:r>
                </w:p>
              </w:tc>
              <w:tc>
                <w:tcPr>
                  <w:tcW w:w="335" w:type="dxa"/>
                  <w:noWrap w:val="0"/>
                  <w:vAlign w:val="center"/>
                </w:tcPr>
                <w:p w14:paraId="658B57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zh-CN" w:eastAsia="zh-CN" w:bidi="zh-CN"/>
                    </w:rPr>
                    <w:t>—</w:t>
                  </w:r>
                </w:p>
              </w:tc>
              <w:tc>
                <w:tcPr>
                  <w:tcW w:w="1780" w:type="dxa"/>
                  <w:noWrap w:val="0"/>
                  <w:vAlign w:val="center"/>
                </w:tcPr>
                <w:p w14:paraId="19849E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1065" w:type="dxa"/>
                  <w:noWrap w:val="0"/>
                  <w:vAlign w:val="center"/>
                </w:tcPr>
                <w:p w14:paraId="75E1EE8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区域生态环境</w:t>
                  </w:r>
                </w:p>
              </w:tc>
              <w:tc>
                <w:tcPr>
                  <w:tcW w:w="997" w:type="dxa"/>
                  <w:noWrap w:val="0"/>
                  <w:vAlign w:val="center"/>
                </w:tcPr>
                <w:p w14:paraId="5E0F7B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5" w:type="dxa"/>
                  <w:noWrap w:val="0"/>
                  <w:vAlign w:val="center"/>
                </w:tcPr>
                <w:p w14:paraId="6FAD09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30" w:type="dxa"/>
                  <w:noWrap w:val="0"/>
                  <w:vAlign w:val="center"/>
                </w:tcPr>
                <w:p w14:paraId="1D50751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w:t>
                  </w:r>
                </w:p>
              </w:tc>
              <w:tc>
                <w:tcPr>
                  <w:tcW w:w="813" w:type="dxa"/>
                  <w:noWrap w:val="0"/>
                  <w:vAlign w:val="center"/>
                </w:tcPr>
                <w:p w14:paraId="044CDE2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w:t>
                  </w:r>
                </w:p>
              </w:tc>
            </w:tr>
            <w:tr w14:paraId="1FB0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92" w:type="dxa"/>
                  <w:noWrap w:val="0"/>
                  <w:vAlign w:val="center"/>
                </w:tcPr>
                <w:p w14:paraId="264DC7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其他敏感目标</w:t>
                  </w:r>
                </w:p>
              </w:tc>
              <w:tc>
                <w:tcPr>
                  <w:tcW w:w="335" w:type="dxa"/>
                  <w:noWrap w:val="0"/>
                  <w:vAlign w:val="center"/>
                </w:tcPr>
                <w:p w14:paraId="32E926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zh-CN" w:eastAsia="zh-CN" w:bidi="zh-CN"/>
                    </w:rPr>
                    <w:t>—</w:t>
                  </w:r>
                </w:p>
              </w:tc>
              <w:tc>
                <w:tcPr>
                  <w:tcW w:w="1780" w:type="dxa"/>
                  <w:noWrap w:val="0"/>
                  <w:vAlign w:val="center"/>
                </w:tcPr>
                <w:p w14:paraId="77712B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rPr>
                    <w:t>—</w:t>
                  </w:r>
                </w:p>
              </w:tc>
              <w:tc>
                <w:tcPr>
                  <w:tcW w:w="1065" w:type="dxa"/>
                  <w:noWrap w:val="0"/>
                  <w:vAlign w:val="center"/>
                </w:tcPr>
                <w:p w14:paraId="6206847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生态红线</w:t>
                  </w:r>
                </w:p>
              </w:tc>
              <w:tc>
                <w:tcPr>
                  <w:tcW w:w="997" w:type="dxa"/>
                  <w:noWrap w:val="0"/>
                  <w:vAlign w:val="center"/>
                </w:tcPr>
                <w:p w14:paraId="335FDB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rPr>
                    <w:t>—</w:t>
                  </w:r>
                </w:p>
              </w:tc>
              <w:tc>
                <w:tcPr>
                  <w:tcW w:w="1065" w:type="dxa"/>
                  <w:noWrap w:val="0"/>
                  <w:vAlign w:val="center"/>
                </w:tcPr>
                <w:p w14:paraId="01F789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rPr>
                    <w:t>—</w:t>
                  </w:r>
                </w:p>
              </w:tc>
              <w:tc>
                <w:tcPr>
                  <w:tcW w:w="930" w:type="dxa"/>
                  <w:noWrap w:val="0"/>
                  <w:vAlign w:val="center"/>
                </w:tcPr>
                <w:p w14:paraId="74CBD37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w:t>
                  </w:r>
                </w:p>
              </w:tc>
              <w:tc>
                <w:tcPr>
                  <w:tcW w:w="813" w:type="dxa"/>
                  <w:noWrap w:val="0"/>
                  <w:vAlign w:val="center"/>
                </w:tcPr>
                <w:p w14:paraId="65FCFE69">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w:t>
                  </w:r>
                </w:p>
              </w:tc>
            </w:tr>
          </w:tbl>
          <w:p w14:paraId="2FC01D97">
            <w:pPr>
              <w:pStyle w:val="29"/>
              <w:keepNext w:val="0"/>
              <w:keepLines w:val="0"/>
              <w:pageBreakBefore w:val="0"/>
              <w:widowControl w:val="0"/>
              <w:kinsoku/>
              <w:wordWrap/>
              <w:overflowPunct/>
              <w:topLinePunct w:val="0"/>
              <w:autoSpaceDE w:val="0"/>
              <w:autoSpaceDN w:val="0"/>
              <w:bidi w:val="0"/>
              <w:adjustRightInd/>
              <w:snapToGrid/>
              <w:spacing w:before="0"/>
              <w:ind w:left="0" w:right="0"/>
              <w:jc w:val="both"/>
              <w:textAlignment w:val="auto"/>
              <w:rPr>
                <w:rFonts w:hint="default" w:ascii="Times New Roman" w:hAnsi="Times New Roman" w:eastAsia="宋体" w:cs="Times New Roman"/>
                <w:color w:val="auto"/>
                <w:sz w:val="24"/>
                <w:szCs w:val="24"/>
              </w:rPr>
            </w:pPr>
          </w:p>
        </w:tc>
      </w:tr>
      <w:tr w14:paraId="4EEFDA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3" w:hRule="atLeast"/>
        </w:trPr>
        <w:tc>
          <w:tcPr>
            <w:tcW w:w="799" w:type="dxa"/>
            <w:tcBorders>
              <w:top w:val="single" w:color="000000" w:sz="4" w:space="0"/>
              <w:bottom w:val="single" w:color="000000" w:sz="4" w:space="0"/>
              <w:right w:val="single" w:color="000000" w:sz="4" w:space="0"/>
            </w:tcBorders>
            <w:vAlign w:val="center"/>
          </w:tcPr>
          <w:p w14:paraId="1FA1AC00">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污染物排放控制标准</w:t>
            </w:r>
          </w:p>
        </w:tc>
        <w:tc>
          <w:tcPr>
            <w:tcW w:w="8190" w:type="dxa"/>
            <w:tcBorders>
              <w:top w:val="single" w:color="000000" w:sz="4" w:space="0"/>
              <w:left w:val="single" w:color="000000" w:sz="4" w:space="0"/>
              <w:bottom w:val="single" w:color="000000" w:sz="4" w:space="0"/>
            </w:tcBorders>
            <w:vAlign w:val="center"/>
          </w:tcPr>
          <w:p w14:paraId="490BBCFB">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施工期：</w:t>
            </w:r>
          </w:p>
          <w:p w14:paraId="4EF76E9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1</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kern w:val="0"/>
                <w:sz w:val="24"/>
                <w:szCs w:val="24"/>
                <w:lang w:val="en-US" w:eastAsia="zh-CN" w:bidi="ar"/>
              </w:rPr>
              <w:t>施工期大气污染物中颗粒物执行《施工场地扬尘排放标准》(DB13/2934-2019)表1扬尘排放浓度限值：监测点PM</w:t>
            </w:r>
            <w:r>
              <w:rPr>
                <w:rFonts w:hint="default" w:ascii="Times New Roman" w:hAnsi="Times New Roman" w:eastAsia="宋体" w:cs="Times New Roman"/>
                <w:color w:val="auto"/>
                <w:kern w:val="0"/>
                <w:sz w:val="24"/>
                <w:szCs w:val="24"/>
                <w:vertAlign w:val="subscript"/>
                <w:lang w:val="en-US" w:eastAsia="zh-CN" w:bidi="ar"/>
              </w:rPr>
              <w:t>10</w:t>
            </w:r>
            <w:r>
              <w:rPr>
                <w:rFonts w:hint="default" w:ascii="Times New Roman" w:hAnsi="Times New Roman" w:eastAsia="宋体" w:cs="Times New Roman"/>
                <w:color w:val="auto"/>
                <w:kern w:val="0"/>
                <w:sz w:val="24"/>
                <w:szCs w:val="24"/>
                <w:lang w:val="en-US" w:eastAsia="zh-CN" w:bidi="ar"/>
              </w:rPr>
              <w:t>小时平均浓度实测值与同时段所属县（市、区）PM</w:t>
            </w:r>
            <w:r>
              <w:rPr>
                <w:rFonts w:hint="default" w:ascii="Times New Roman" w:hAnsi="Times New Roman" w:eastAsia="宋体" w:cs="Times New Roman"/>
                <w:color w:val="auto"/>
                <w:kern w:val="0"/>
                <w:sz w:val="24"/>
                <w:szCs w:val="24"/>
                <w:vertAlign w:val="subscript"/>
                <w:lang w:val="en-US" w:eastAsia="zh-CN" w:bidi="ar"/>
              </w:rPr>
              <w:t>10</w:t>
            </w:r>
            <w:r>
              <w:rPr>
                <w:rFonts w:hint="default" w:ascii="Times New Roman" w:hAnsi="Times New Roman" w:eastAsia="宋体" w:cs="Times New Roman"/>
                <w:color w:val="auto"/>
                <w:kern w:val="0"/>
                <w:sz w:val="24"/>
                <w:szCs w:val="24"/>
                <w:lang w:val="en-US" w:eastAsia="zh-CN" w:bidi="ar"/>
              </w:rPr>
              <w:t>小时平均浓度的差值限值＜80μg/m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p>
          <w:p w14:paraId="29F3B3D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pacing w:val="0"/>
                <w:sz w:val="24"/>
                <w:szCs w:val="32"/>
                <w:lang w:eastAsia="zh-CN"/>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2</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施工噪声执行《建筑施工场界环境噪声排放标准》（GB1</w:t>
            </w:r>
            <w:r>
              <w:rPr>
                <w:rFonts w:hint="eastAsia" w:cs="Times New Roman"/>
                <w:color w:val="auto"/>
                <w:spacing w:val="0"/>
                <w:sz w:val="24"/>
                <w:szCs w:val="24"/>
                <w:lang w:eastAsia="zh-CN"/>
              </w:rPr>
              <w:t>23</w:t>
            </w:r>
            <w:r>
              <w:rPr>
                <w:rFonts w:hint="default" w:ascii="Times New Roman" w:hAnsi="Times New Roman" w:eastAsia="宋体" w:cs="Times New Roman"/>
                <w:color w:val="auto"/>
                <w:spacing w:val="0"/>
                <w:sz w:val="24"/>
                <w:szCs w:val="24"/>
              </w:rPr>
              <w:t>23-2011）标准</w:t>
            </w:r>
            <w:r>
              <w:rPr>
                <w:rFonts w:hint="default" w:ascii="Times New Roman" w:hAnsi="Times New Roman" w:eastAsia="宋体" w:cs="Times New Roman"/>
                <w:color w:val="auto"/>
                <w:spacing w:val="0"/>
                <w:sz w:val="24"/>
                <w:szCs w:val="24"/>
                <w:lang w:eastAsia="zh-CN"/>
              </w:rPr>
              <w:t>：昼夜</w:t>
            </w:r>
            <w:r>
              <w:rPr>
                <w:rFonts w:hint="default" w:ascii="Times New Roman" w:hAnsi="Times New Roman" w:eastAsia="宋体" w:cs="Times New Roman"/>
                <w:color w:val="auto"/>
                <w:spacing w:val="0"/>
                <w:sz w:val="24"/>
                <w:szCs w:val="24"/>
                <w:lang w:val="en-US" w:eastAsia="zh-CN"/>
              </w:rPr>
              <w:t>70</w:t>
            </w:r>
            <w:r>
              <w:rPr>
                <w:rFonts w:hint="default" w:ascii="Times New Roman" w:hAnsi="Times New Roman" w:eastAsia="宋体" w:cs="Times New Roman"/>
                <w:color w:val="auto"/>
                <w:spacing w:val="0"/>
                <w:sz w:val="24"/>
                <w:szCs w:val="24"/>
              </w:rPr>
              <w:t>dB（A）、夜间</w:t>
            </w:r>
            <w:r>
              <w:rPr>
                <w:rFonts w:hint="default" w:ascii="Times New Roman" w:hAnsi="Times New Roman" w:eastAsia="宋体" w:cs="Times New Roman"/>
                <w:color w:val="auto"/>
                <w:spacing w:val="0"/>
                <w:sz w:val="24"/>
                <w:szCs w:val="24"/>
                <w:lang w:val="en-US" w:eastAsia="zh-CN"/>
              </w:rPr>
              <w:t>55</w:t>
            </w:r>
            <w:r>
              <w:rPr>
                <w:rFonts w:hint="default" w:ascii="Times New Roman" w:hAnsi="Times New Roman" w:eastAsia="宋体" w:cs="Times New Roman"/>
                <w:color w:val="auto"/>
                <w:spacing w:val="0"/>
                <w:sz w:val="24"/>
                <w:szCs w:val="24"/>
              </w:rPr>
              <w:t>dB（A）</w:t>
            </w:r>
            <w:r>
              <w:rPr>
                <w:rFonts w:hint="default" w:ascii="Times New Roman" w:hAnsi="Times New Roman" w:eastAsia="宋体" w:cs="Times New Roman"/>
                <w:color w:val="auto"/>
                <w:spacing w:val="0"/>
                <w:sz w:val="24"/>
                <w:szCs w:val="24"/>
                <w:lang w:eastAsia="zh-CN"/>
              </w:rPr>
              <w:t>。</w:t>
            </w:r>
          </w:p>
          <w:p w14:paraId="3829186A">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spacing w:val="0"/>
                <w:sz w:val="24"/>
                <w:szCs w:val="32"/>
                <w:lang w:eastAsia="zh-CN"/>
              </w:rPr>
            </w:pPr>
            <w:r>
              <w:rPr>
                <w:rFonts w:hint="default" w:ascii="Times New Roman" w:hAnsi="Times New Roman" w:eastAsia="宋体" w:cs="Times New Roman"/>
                <w:b/>
                <w:bCs/>
                <w:color w:val="auto"/>
                <w:spacing w:val="0"/>
                <w:sz w:val="24"/>
                <w:szCs w:val="32"/>
                <w:lang w:eastAsia="zh-CN"/>
              </w:rPr>
              <w:t>运营期：</w:t>
            </w:r>
          </w:p>
          <w:p w14:paraId="36A2DE7E">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spacing w:val="0"/>
                <w:w w:val="100"/>
                <w:sz w:val="24"/>
                <w:szCs w:val="24"/>
                <w:lang w:eastAsia="zh-CN"/>
              </w:rPr>
            </w:pPr>
            <w:r>
              <w:rPr>
                <w:rFonts w:hint="default" w:ascii="Times New Roman" w:hAnsi="Times New Roman" w:eastAsia="宋体" w:cs="Times New Roman"/>
                <w:color w:val="auto"/>
                <w:spacing w:val="0"/>
                <w:w w:val="100"/>
                <w:szCs w:val="24"/>
                <w:lang w:eastAsia="zh-CN"/>
              </w:rPr>
              <w:t>（</w:t>
            </w:r>
            <w:r>
              <w:rPr>
                <w:rFonts w:hint="default" w:ascii="Times New Roman" w:hAnsi="Times New Roman" w:eastAsia="宋体" w:cs="Times New Roman"/>
                <w:color w:val="auto"/>
                <w:spacing w:val="0"/>
                <w:w w:val="100"/>
                <w:szCs w:val="24"/>
                <w:lang w:val="en-US" w:eastAsia="zh-CN"/>
              </w:rPr>
              <w:t>1</w:t>
            </w:r>
            <w:r>
              <w:rPr>
                <w:rFonts w:hint="default" w:ascii="Times New Roman" w:hAnsi="Times New Roman" w:eastAsia="宋体" w:cs="Times New Roman"/>
                <w:color w:val="auto"/>
                <w:lang w:eastAsia="zh-CN"/>
              </w:rPr>
              <w:t>）颗粒物有组织排放执行《大气污染物综合排放标准》（GB16297-1996）表2</w:t>
            </w:r>
            <w:r>
              <w:rPr>
                <w:rFonts w:hint="default" w:ascii="Times New Roman" w:hAnsi="Times New Roman" w:eastAsia="宋体" w:cs="Times New Roman"/>
                <w:color w:val="auto"/>
              </w:rPr>
              <w:t>中二级标准：颗粒物有组织排放浓度120mg/m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，排放速率</w:t>
            </w:r>
            <w:r>
              <w:rPr>
                <w:rFonts w:hint="eastAsia" w:cs="Times New Roman"/>
                <w:color w:val="auto"/>
                <w:lang w:val="en-US" w:eastAsia="zh-CN"/>
              </w:rPr>
              <w:t>5.9</w:t>
            </w:r>
            <w:r>
              <w:rPr>
                <w:rFonts w:hint="default" w:ascii="Times New Roman" w:hAnsi="Times New Roman" w:eastAsia="宋体" w:cs="Times New Roman"/>
                <w:color w:val="auto"/>
              </w:rPr>
              <w:t>kg/h，排气筒高度</w:t>
            </w:r>
            <w:r>
              <w:rPr>
                <w:rFonts w:hint="eastAsia" w:cs="Times New Roman"/>
                <w:color w:val="auto"/>
                <w:lang w:val="en-US" w:eastAsia="zh-CN"/>
              </w:rPr>
              <w:t>20</w:t>
            </w:r>
            <w:r>
              <w:rPr>
                <w:rFonts w:hint="default" w:ascii="Times New Roman" w:hAnsi="Times New Roman" w:eastAsia="宋体" w:cs="Times New Roman"/>
                <w:color w:val="auto"/>
                <w:lang w:val="en-US" w:eastAsia="zh-CN"/>
              </w:rPr>
              <w:t>m，还应高出周围200m半径范围的建筑物5m以上</w:t>
            </w:r>
            <w:r>
              <w:rPr>
                <w:rFonts w:hint="default" w:ascii="Times New Roman" w:hAnsi="Times New Roman" w:eastAsia="宋体" w:cs="Times New Roman"/>
                <w:color w:val="auto"/>
              </w:rPr>
              <w:t>；</w:t>
            </w:r>
          </w:p>
          <w:p w14:paraId="7D1E5C6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pacing w:val="0"/>
                <w:w w:val="100"/>
                <w:highlight w:val="none"/>
                <w:lang w:eastAsia="zh-CN"/>
              </w:rPr>
              <w:t>（</w:t>
            </w:r>
            <w:r>
              <w:rPr>
                <w:rFonts w:hint="default" w:ascii="Times New Roman" w:hAnsi="Times New Roman" w:eastAsia="宋体" w:cs="Times New Roman"/>
                <w:color w:val="auto"/>
                <w:spacing w:val="0"/>
                <w:w w:val="100"/>
                <w:highlight w:val="none"/>
                <w:lang w:val="en-US" w:eastAsia="zh-CN"/>
              </w:rPr>
              <w:t>2</w:t>
            </w:r>
            <w:r>
              <w:rPr>
                <w:rFonts w:hint="default" w:ascii="Times New Roman" w:hAnsi="Times New Roman" w:eastAsia="宋体" w:cs="Times New Roman"/>
                <w:color w:val="auto"/>
                <w:spacing w:val="0"/>
                <w:w w:val="100"/>
                <w:highlight w:val="none"/>
                <w:lang w:eastAsia="zh-CN"/>
              </w:rPr>
              <w:t>）</w:t>
            </w:r>
            <w:r>
              <w:rPr>
                <w:rFonts w:hint="eastAsia" w:cs="Times New Roman"/>
                <w:color w:val="auto"/>
                <w:spacing w:val="0"/>
                <w:w w:val="100"/>
                <w:highlight w:val="none"/>
                <w:lang w:eastAsia="zh-CN"/>
              </w:rPr>
              <w:t>无组织执行</w:t>
            </w:r>
            <w:r>
              <w:rPr>
                <w:rFonts w:hint="eastAsia"/>
                <w:color w:val="auto"/>
              </w:rPr>
              <w:t>《大气污染物综合排放标准》（GB16297-1996）表2中：</w:t>
            </w:r>
            <w:r>
              <w:rPr>
                <w:color w:val="auto"/>
              </w:rPr>
              <w:t>颗粒物无组织排放周界外浓度最高点1.0mg/Nm</w:t>
            </w:r>
            <w:r>
              <w:rPr>
                <w:color w:val="auto"/>
                <w:vertAlign w:val="superscript"/>
              </w:rPr>
              <w:t>3</w:t>
            </w:r>
            <w:r>
              <w:rPr>
                <w:rFonts w:hint="default" w:ascii="Times New Roman" w:hAnsi="Times New Roman" w:eastAsia="宋体" w:cs="Times New Roman"/>
                <w:color w:val="auto"/>
                <w:sz w:val="24"/>
                <w:highlight w:val="none"/>
              </w:rPr>
              <w:t>。</w:t>
            </w:r>
          </w:p>
          <w:p w14:paraId="16DD341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pacing w:val="0"/>
                <w:w w:val="100"/>
                <w:lang w:eastAsia="zh-CN"/>
              </w:rPr>
            </w:pPr>
            <w:r>
              <w:rPr>
                <w:rFonts w:hint="default" w:ascii="Times New Roman" w:hAnsi="Times New Roman" w:eastAsia="宋体" w:cs="Times New Roman"/>
                <w:color w:val="auto"/>
                <w:spacing w:val="0"/>
                <w:w w:val="100"/>
                <w:highlight w:val="none"/>
                <w:lang w:eastAsia="zh-CN"/>
              </w:rPr>
              <w:t>（</w:t>
            </w:r>
            <w:r>
              <w:rPr>
                <w:rFonts w:hint="default" w:ascii="Times New Roman" w:hAnsi="Times New Roman" w:eastAsia="宋体" w:cs="Times New Roman"/>
                <w:color w:val="auto"/>
                <w:spacing w:val="0"/>
                <w:w w:val="100"/>
                <w:highlight w:val="none"/>
                <w:lang w:val="en-US" w:eastAsia="zh-CN"/>
              </w:rPr>
              <w:t>3</w:t>
            </w:r>
            <w:r>
              <w:rPr>
                <w:rFonts w:hint="default" w:ascii="Times New Roman" w:hAnsi="Times New Roman" w:eastAsia="宋体" w:cs="Times New Roman"/>
                <w:color w:val="auto"/>
                <w:spacing w:val="0"/>
                <w:w w:val="100"/>
                <w:highlight w:val="none"/>
                <w:lang w:eastAsia="zh-CN"/>
              </w:rPr>
              <w:t>）</w:t>
            </w:r>
            <w:r>
              <w:rPr>
                <w:rFonts w:hint="default" w:ascii="Times New Roman" w:hAnsi="Times New Roman" w:eastAsia="宋体" w:cs="Times New Roman"/>
                <w:color w:val="auto"/>
                <w:spacing w:val="0"/>
                <w:w w:val="100"/>
                <w:sz w:val="24"/>
                <w:szCs w:val="24"/>
                <w:lang w:eastAsia="zh-CN"/>
              </w:rPr>
              <w:t>噪声执行</w:t>
            </w:r>
            <w:r>
              <w:rPr>
                <w:rFonts w:hint="default" w:ascii="Times New Roman" w:hAnsi="Times New Roman" w:eastAsia="宋体" w:cs="Times New Roman"/>
                <w:color w:val="auto"/>
                <w:spacing w:val="0"/>
                <w:w w:val="100"/>
                <w:sz w:val="24"/>
                <w:szCs w:val="24"/>
              </w:rPr>
              <w:t>《工业企业厂界环境噪声排放标准》（GB12348-2008）</w:t>
            </w:r>
            <w:r>
              <w:rPr>
                <w:rFonts w:hint="eastAsia" w:cs="Times New Roman"/>
                <w:color w:val="auto"/>
                <w:spacing w:val="0"/>
                <w:w w:val="100"/>
                <w:sz w:val="24"/>
                <w:szCs w:val="24"/>
                <w:lang w:eastAsia="zh-CN"/>
              </w:rPr>
              <w:t>厂界四周</w:t>
            </w:r>
            <w:r>
              <w:rPr>
                <w:rFonts w:hint="default" w:ascii="Times New Roman" w:hAnsi="Times New Roman" w:eastAsia="宋体" w:cs="Times New Roman"/>
                <w:color w:val="auto"/>
                <w:spacing w:val="0"/>
                <w:w w:val="100"/>
                <w:sz w:val="24"/>
                <w:szCs w:val="24"/>
              </w:rPr>
              <w:t>执行</w:t>
            </w:r>
            <w:r>
              <w:rPr>
                <w:rFonts w:hint="eastAsia" w:cs="Times New Roman"/>
                <w:color w:val="auto"/>
                <w:spacing w:val="0"/>
                <w:w w:val="100"/>
                <w:sz w:val="24"/>
                <w:szCs w:val="24"/>
                <w:lang w:val="en-US" w:eastAsia="zh-CN"/>
              </w:rPr>
              <w:t>3</w:t>
            </w:r>
            <w:r>
              <w:rPr>
                <w:rFonts w:hint="default" w:ascii="Times New Roman" w:hAnsi="Times New Roman" w:eastAsia="宋体" w:cs="Times New Roman"/>
                <w:color w:val="auto"/>
                <w:spacing w:val="0"/>
                <w:w w:val="100"/>
                <w:sz w:val="24"/>
                <w:szCs w:val="24"/>
              </w:rPr>
              <w:t>类标准：昼间</w:t>
            </w:r>
            <w:r>
              <w:rPr>
                <w:rFonts w:hint="eastAsia" w:cs="Times New Roman"/>
                <w:color w:val="auto"/>
                <w:spacing w:val="0"/>
                <w:w w:val="100"/>
                <w:sz w:val="24"/>
                <w:szCs w:val="24"/>
                <w:lang w:val="en-US" w:eastAsia="zh-CN"/>
              </w:rPr>
              <w:t>65</w:t>
            </w:r>
            <w:r>
              <w:rPr>
                <w:rFonts w:hint="default" w:ascii="Times New Roman" w:hAnsi="Times New Roman" w:eastAsia="宋体" w:cs="Times New Roman"/>
                <w:color w:val="auto"/>
                <w:spacing w:val="0"/>
                <w:w w:val="100"/>
                <w:sz w:val="24"/>
                <w:szCs w:val="24"/>
              </w:rPr>
              <w:t>dB（A）、夜间5</w:t>
            </w:r>
            <w:r>
              <w:rPr>
                <w:rFonts w:hint="eastAsia" w:cs="Times New Roman"/>
                <w:color w:val="auto"/>
                <w:spacing w:val="0"/>
                <w:w w:val="100"/>
                <w:sz w:val="24"/>
                <w:szCs w:val="24"/>
                <w:lang w:val="en-US" w:eastAsia="zh-CN"/>
              </w:rPr>
              <w:t>5</w:t>
            </w:r>
            <w:r>
              <w:rPr>
                <w:rFonts w:hint="default" w:ascii="Times New Roman" w:hAnsi="Times New Roman" w:eastAsia="宋体" w:cs="Times New Roman"/>
                <w:color w:val="auto"/>
                <w:spacing w:val="0"/>
                <w:w w:val="100"/>
                <w:sz w:val="24"/>
                <w:szCs w:val="24"/>
              </w:rPr>
              <w:t>dB（A）</w:t>
            </w:r>
            <w:r>
              <w:rPr>
                <w:rFonts w:hint="default" w:ascii="Times New Roman" w:hAnsi="Times New Roman" w:eastAsia="宋体" w:cs="Times New Roman"/>
                <w:color w:val="auto"/>
                <w:sz w:val="24"/>
                <w:vertAlign w:val="baseline"/>
                <w:lang w:eastAsia="zh-CN"/>
              </w:rPr>
              <w:t>。</w:t>
            </w:r>
          </w:p>
          <w:p w14:paraId="60EB193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lang w:eastAsia="zh-CN"/>
              </w:rPr>
              <w:t>（</w:t>
            </w:r>
            <w:r>
              <w:rPr>
                <w:rFonts w:hint="eastAsia" w:cs="Times New Roman"/>
                <w:color w:val="auto"/>
                <w:lang w:val="en-US" w:eastAsia="zh-CN"/>
              </w:rPr>
              <w:t>4</w:t>
            </w:r>
            <w:r>
              <w:rPr>
                <w:rFonts w:hint="default" w:ascii="Times New Roman" w:hAnsi="Times New Roman" w:eastAsia="宋体" w:cs="Times New Roman"/>
                <w:color w:val="auto"/>
                <w:lang w:eastAsia="zh-CN"/>
              </w:rPr>
              <w:t>）一般固体废物执行</w:t>
            </w:r>
            <w:r>
              <w:rPr>
                <w:rFonts w:hint="default" w:ascii="Times New Roman" w:hAnsi="Times New Roman" w:eastAsia="宋体" w:cs="Times New Roman"/>
                <w:color w:val="auto"/>
              </w:rPr>
              <w:t>《一般工业固体废物贮存</w:t>
            </w:r>
            <w:r>
              <w:rPr>
                <w:rFonts w:hint="default" w:ascii="Times New Roman" w:hAnsi="Times New Roman" w:eastAsia="宋体" w:cs="Times New Roman"/>
                <w:color w:val="auto"/>
                <w:lang w:eastAsia="zh-CN"/>
              </w:rPr>
              <w:t>和填埋</w:t>
            </w:r>
            <w:r>
              <w:rPr>
                <w:rFonts w:hint="default" w:ascii="Times New Roman" w:hAnsi="Times New Roman" w:eastAsia="宋体" w:cs="Times New Roman"/>
                <w:color w:val="auto"/>
              </w:rPr>
              <w:t>场污染控制标准》（GB</w:t>
            </w:r>
            <w:r>
              <w:rPr>
                <w:rFonts w:hint="default" w:ascii="Times New Roman" w:hAnsi="Times New Roman" w:eastAsia="宋体" w:cs="Times New Roman"/>
                <w:color w:val="auto"/>
                <w:lang w:val="en-US" w:eastAsia="zh-CN"/>
              </w:rPr>
              <w:t>18599</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2020</w:t>
            </w:r>
            <w:r>
              <w:rPr>
                <w:rFonts w:hint="default" w:ascii="Times New Roman" w:hAnsi="Times New Roman" w:eastAsia="宋体" w:cs="Times New Roman"/>
                <w:color w:val="auto"/>
              </w:rPr>
              <w:t>）</w:t>
            </w:r>
            <w:r>
              <w:rPr>
                <w:rFonts w:hint="eastAsia" w:cs="Times New Roman"/>
                <w:color w:val="auto"/>
                <w:spacing w:val="0"/>
                <w:w w:val="100"/>
                <w:sz w:val="24"/>
                <w:szCs w:val="24"/>
                <w:lang w:eastAsia="zh-CN"/>
              </w:rPr>
              <w:t>；</w:t>
            </w:r>
            <w:r>
              <w:rPr>
                <w:rFonts w:hint="default" w:ascii="Times New Roman" w:hAnsi="Times New Roman" w:eastAsia="宋体" w:cs="Times New Roman"/>
                <w:color w:val="auto"/>
              </w:rPr>
              <w:t>危险废物</w:t>
            </w:r>
            <w:r>
              <w:rPr>
                <w:rFonts w:hint="eastAsia"/>
                <w:color w:val="auto"/>
                <w:lang w:eastAsia="zh-CN"/>
              </w:rPr>
              <w:t>《危险废物贮存污染控制标准》（GB18597-2023）。</w:t>
            </w:r>
          </w:p>
        </w:tc>
      </w:tr>
      <w:tr w14:paraId="58B490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1" w:hRule="atLeast"/>
        </w:trPr>
        <w:tc>
          <w:tcPr>
            <w:tcW w:w="799" w:type="dxa"/>
            <w:tcBorders>
              <w:top w:val="single" w:color="000000" w:sz="4" w:space="0"/>
              <w:right w:val="single" w:color="000000" w:sz="4" w:space="0"/>
            </w:tcBorders>
            <w:vAlign w:val="center"/>
          </w:tcPr>
          <w:p w14:paraId="68C06A6B">
            <w:pPr>
              <w:pStyle w:val="29"/>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总量控制指标</w:t>
            </w:r>
          </w:p>
        </w:tc>
        <w:tc>
          <w:tcPr>
            <w:tcW w:w="8190" w:type="dxa"/>
            <w:tcBorders>
              <w:top w:val="single" w:color="000000" w:sz="4" w:space="0"/>
              <w:left w:val="single" w:color="000000" w:sz="4" w:space="0"/>
            </w:tcBorders>
            <w:vAlign w:val="center"/>
          </w:tcPr>
          <w:p w14:paraId="5DA962AB">
            <w:pPr>
              <w:pStyle w:val="29"/>
              <w:keepNext w:val="0"/>
              <w:keepLines w:val="0"/>
              <w:pageBreakBefore w:val="0"/>
              <w:widowControl w:val="0"/>
              <w:tabs>
                <w:tab w:val="left" w:pos="4986"/>
              </w:tabs>
              <w:kinsoku/>
              <w:wordWrap/>
              <w:overflowPunct/>
              <w:topLinePunct w:val="0"/>
              <w:autoSpaceDE w:val="0"/>
              <w:autoSpaceDN w:val="0"/>
              <w:bidi w:val="0"/>
              <w:adjustRightInd/>
              <w:snapToGrid/>
              <w:spacing w:before="0" w:line="500" w:lineRule="exact"/>
              <w:ind w:left="0" w:right="0" w:firstLine="480" w:firstLineChars="200"/>
              <w:jc w:val="left"/>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lang w:eastAsia="zh-CN"/>
              </w:rPr>
              <w:t>根据《关于印发&lt;建设项目主要污染物排放总量指标审核及管理暂行办法&gt;的通知》(环发[2014]197 号)、《关于进一步改革和优化建设项目主要污染物排放总量核定工作的通知》(冀环总[2014]283 号)中相关要求，对拟建项目实施后的污染物排放总量控制指标进行核算，总量控制因子为二氧化硫、氮氧化物和 COD、氨氮。</w:t>
            </w:r>
            <w:r>
              <w:rPr>
                <w:color w:val="auto"/>
                <w:sz w:val="24"/>
                <w:szCs w:val="24"/>
              </w:rPr>
              <w:t>颗粒物作为污染物</w:t>
            </w:r>
            <w:r>
              <w:rPr>
                <w:rFonts w:hint="eastAsia"/>
                <w:color w:val="auto"/>
                <w:sz w:val="24"/>
                <w:szCs w:val="24"/>
                <w:lang w:eastAsia="zh-CN"/>
              </w:rPr>
              <w:t>管理</w:t>
            </w:r>
            <w:r>
              <w:rPr>
                <w:color w:val="auto"/>
                <w:sz w:val="24"/>
                <w:szCs w:val="24"/>
              </w:rPr>
              <w:t>总量</w:t>
            </w:r>
            <w:r>
              <w:rPr>
                <w:rFonts w:hint="eastAsia"/>
                <w:color w:val="auto"/>
                <w:sz w:val="24"/>
                <w:szCs w:val="24"/>
                <w:lang w:eastAsia="zh-CN"/>
              </w:rPr>
              <w:t>。</w:t>
            </w:r>
          </w:p>
          <w:p w14:paraId="50D2A195">
            <w:pPr>
              <w:pStyle w:val="29"/>
              <w:keepNext w:val="0"/>
              <w:keepLines w:val="0"/>
              <w:pageBreakBefore w:val="0"/>
              <w:widowControl w:val="0"/>
              <w:tabs>
                <w:tab w:val="left" w:pos="4986"/>
              </w:tabs>
              <w:kinsoku/>
              <w:wordWrap/>
              <w:overflowPunct/>
              <w:topLinePunct w:val="0"/>
              <w:autoSpaceDE w:val="0"/>
              <w:autoSpaceDN w:val="0"/>
              <w:bidi w:val="0"/>
              <w:adjustRightInd/>
              <w:snapToGrid/>
              <w:spacing w:before="0" w:line="500" w:lineRule="exact"/>
              <w:ind w:left="0" w:right="0"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1、废气</w:t>
            </w:r>
          </w:p>
          <w:p w14:paraId="587E1D25">
            <w:pPr>
              <w:pStyle w:val="29"/>
              <w:keepNext w:val="0"/>
              <w:keepLines w:val="0"/>
              <w:pageBreakBefore w:val="0"/>
              <w:widowControl w:val="0"/>
              <w:tabs>
                <w:tab w:val="left" w:pos="4986"/>
              </w:tabs>
              <w:kinsoku/>
              <w:wordWrap/>
              <w:overflowPunct/>
              <w:topLinePunct w:val="0"/>
              <w:autoSpaceDE w:val="0"/>
              <w:autoSpaceDN w:val="0"/>
              <w:bidi w:val="0"/>
              <w:adjustRightInd/>
              <w:snapToGrid/>
              <w:spacing w:before="0" w:line="500" w:lineRule="exact"/>
              <w:ind w:left="0" w:right="0"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拟建项目运营期废气主要污染因子为颗粒物</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经核算，拟建项目有组织废气排放量为颗粒物</w:t>
            </w:r>
            <w:r>
              <w:rPr>
                <w:rFonts w:hint="eastAsia" w:ascii="Times New Roman" w:hAnsi="Times New Roman" w:cs="Times New Roman"/>
                <w:color w:val="auto"/>
                <w:lang w:val="en-US" w:eastAsia="zh-CN"/>
              </w:rPr>
              <w:t>3.456</w:t>
            </w:r>
            <w:r>
              <w:rPr>
                <w:rFonts w:hint="default" w:ascii="Times New Roman" w:hAnsi="Times New Roman" w:eastAsia="宋体" w:cs="Times New Roman"/>
                <w:color w:val="auto"/>
                <w:lang w:eastAsia="zh-CN"/>
              </w:rPr>
              <w:t>t/a，</w:t>
            </w:r>
            <w:r>
              <w:rPr>
                <w:rFonts w:hint="eastAsia" w:ascii="Times New Roman" w:hAnsi="Times New Roman" w:cs="Times New Roman"/>
                <w:color w:val="auto"/>
                <w:lang w:eastAsia="zh-CN"/>
              </w:rPr>
              <w:t>因此</w:t>
            </w:r>
            <w:r>
              <w:rPr>
                <w:rFonts w:hint="default" w:ascii="Times New Roman" w:hAnsi="Times New Roman" w:eastAsia="宋体" w:cs="Times New Roman"/>
                <w:color w:val="auto"/>
                <w:lang w:eastAsia="zh-CN"/>
              </w:rPr>
              <w:t>本次评价</w:t>
            </w:r>
            <w:r>
              <w:rPr>
                <w:rFonts w:hint="eastAsia" w:ascii="Times New Roman" w:hAnsi="Times New Roman" w:cs="Times New Roman"/>
                <w:color w:val="auto"/>
                <w:lang w:eastAsia="zh-CN"/>
              </w:rPr>
              <w:t>不涉及废气</w:t>
            </w:r>
            <w:r>
              <w:rPr>
                <w:rFonts w:hint="default" w:ascii="Times New Roman" w:hAnsi="Times New Roman" w:eastAsia="宋体" w:cs="Times New Roman"/>
                <w:color w:val="auto"/>
                <w:lang w:eastAsia="zh-CN"/>
              </w:rPr>
              <w:t>总量控制指标</w:t>
            </w:r>
            <w:r>
              <w:rPr>
                <w:rFonts w:hint="eastAsia" w:ascii="Times New Roman" w:hAnsi="Times New Roman" w:cs="Times New Roman"/>
                <w:color w:val="auto"/>
                <w:lang w:eastAsia="zh-CN"/>
              </w:rPr>
              <w:t>，颗粒物管理总量指标为</w:t>
            </w:r>
            <w:r>
              <w:rPr>
                <w:rFonts w:hint="eastAsia" w:ascii="Times New Roman" w:hAnsi="Times New Roman" w:cs="Times New Roman"/>
                <w:color w:val="auto"/>
                <w:lang w:val="en-US" w:eastAsia="zh-CN"/>
              </w:rPr>
              <w:t>3.456</w:t>
            </w:r>
            <w:r>
              <w:rPr>
                <w:rFonts w:hint="default" w:ascii="Times New Roman" w:hAnsi="Times New Roman" w:eastAsia="宋体" w:cs="Times New Roman"/>
                <w:color w:val="auto"/>
                <w:lang w:eastAsia="zh-CN"/>
              </w:rPr>
              <w:t>t/a。</w:t>
            </w:r>
          </w:p>
          <w:p w14:paraId="23E82ECA">
            <w:pPr>
              <w:pStyle w:val="29"/>
              <w:keepNext w:val="0"/>
              <w:keepLines w:val="0"/>
              <w:pageBreakBefore w:val="0"/>
              <w:widowControl w:val="0"/>
              <w:tabs>
                <w:tab w:val="left" w:pos="4986"/>
              </w:tabs>
              <w:kinsoku/>
              <w:wordWrap/>
              <w:overflowPunct/>
              <w:topLinePunct w:val="0"/>
              <w:autoSpaceDE w:val="0"/>
              <w:autoSpaceDN w:val="0"/>
              <w:bidi w:val="0"/>
              <w:adjustRightInd/>
              <w:snapToGrid/>
              <w:spacing w:before="0" w:line="500" w:lineRule="exact"/>
              <w:ind w:left="0" w:right="0"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2、废水</w:t>
            </w:r>
          </w:p>
          <w:p w14:paraId="2EAF6256">
            <w:pPr>
              <w:pStyle w:val="29"/>
              <w:keepNext w:val="0"/>
              <w:keepLines w:val="0"/>
              <w:pageBreakBefore w:val="0"/>
              <w:widowControl w:val="0"/>
              <w:tabs>
                <w:tab w:val="left" w:pos="4986"/>
              </w:tabs>
              <w:kinsoku/>
              <w:wordWrap/>
              <w:overflowPunct/>
              <w:topLinePunct w:val="0"/>
              <w:autoSpaceDE w:val="0"/>
              <w:autoSpaceDN w:val="0"/>
              <w:bidi w:val="0"/>
              <w:adjustRightInd/>
              <w:snapToGrid/>
              <w:spacing w:before="0" w:line="500" w:lineRule="exact"/>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lang w:eastAsia="zh-CN"/>
              </w:rPr>
              <w:t>本项目废水污染源主要为</w:t>
            </w:r>
            <w:r>
              <w:rPr>
                <w:rFonts w:hint="eastAsia" w:ascii="Times New Roman" w:hAnsi="Times New Roman" w:cs="Times New Roman"/>
                <w:color w:val="auto"/>
                <w:lang w:eastAsia="zh-CN"/>
              </w:rPr>
              <w:t>生产废水，</w:t>
            </w:r>
            <w:r>
              <w:rPr>
                <w:rFonts w:hint="default" w:ascii="Times New Roman" w:hAnsi="Times New Roman" w:eastAsia="宋体" w:cs="Times New Roman"/>
                <w:color w:val="auto"/>
                <w:lang w:eastAsia="zh-CN"/>
              </w:rPr>
              <w:t>废水排入沉淀池内沉淀，经沉淀后回用生产；</w:t>
            </w:r>
            <w:r>
              <w:rPr>
                <w:rFonts w:hint="eastAsia" w:ascii="Times New Roman" w:hAnsi="Times New Roman" w:cs="Times New Roman"/>
                <w:color w:val="auto"/>
                <w:lang w:eastAsia="zh-CN"/>
              </w:rPr>
              <w:t>上料仓喷淋用水，全部进入物料；厂区及车间内抑尘用水，全部蒸发；生活污水排入化粪池定期清掏，项目废水不外排。</w:t>
            </w:r>
            <w:r>
              <w:rPr>
                <w:rFonts w:hint="default" w:ascii="Times New Roman" w:hAnsi="Times New Roman" w:eastAsia="宋体" w:cs="Times New Roman"/>
                <w:color w:val="auto"/>
                <w:lang w:eastAsia="zh-CN"/>
              </w:rPr>
              <w:t>因此，本项目</w:t>
            </w:r>
            <w:r>
              <w:rPr>
                <w:rFonts w:hint="eastAsia" w:ascii="Times New Roman" w:hAnsi="Times New Roman" w:cs="Times New Roman"/>
                <w:color w:val="auto"/>
                <w:lang w:eastAsia="zh-CN"/>
              </w:rPr>
              <w:t>不涉及废水</w:t>
            </w:r>
            <w:r>
              <w:rPr>
                <w:rFonts w:hint="default" w:ascii="Times New Roman" w:hAnsi="Times New Roman" w:eastAsia="宋体" w:cs="Times New Roman"/>
                <w:color w:val="auto"/>
                <w:lang w:eastAsia="zh-CN"/>
              </w:rPr>
              <w:t>总量控制指标。</w:t>
            </w:r>
          </w:p>
        </w:tc>
      </w:tr>
    </w:tbl>
    <w:p w14:paraId="0C941B74">
      <w:pPr>
        <w:spacing w:after="0"/>
        <w:jc w:val="right"/>
        <w:rPr>
          <w:rFonts w:hint="default" w:ascii="Times New Roman" w:hAnsi="Times New Roman" w:eastAsia="宋体" w:cs="Times New Roman"/>
          <w:color w:val="auto"/>
          <w:sz w:val="21"/>
        </w:rPr>
        <w:sectPr>
          <w:footerReference r:id="rId8" w:type="default"/>
          <w:footerReference r:id="rId9" w:type="even"/>
          <w:pgSz w:w="11910" w:h="16850"/>
          <w:pgMar w:top="1417" w:right="1417" w:bottom="1417" w:left="1417" w:header="0" w:footer="817" w:gutter="0"/>
          <w:pgBorders>
            <w:top w:val="none" w:sz="0" w:space="0"/>
            <w:left w:val="none" w:sz="0" w:space="0"/>
            <w:bottom w:val="none" w:sz="0" w:space="0"/>
            <w:right w:val="none" w:sz="0" w:space="0"/>
          </w:pgBorders>
          <w:pgNumType w:fmt="decimal"/>
          <w:cols w:space="720" w:num="1"/>
        </w:sectPr>
      </w:pPr>
    </w:p>
    <w:p w14:paraId="60E67791">
      <w:pPr>
        <w:pStyle w:val="4"/>
        <w:bidi w:val="0"/>
        <w:rPr>
          <w:rFonts w:hint="default" w:ascii="Times New Roman" w:hAnsi="Times New Roman" w:eastAsia="宋体" w:cs="Times New Roman"/>
          <w:color w:val="auto"/>
          <w:sz w:val="21"/>
        </w:rPr>
      </w:pPr>
      <w:r>
        <w:rPr>
          <w:rFonts w:hint="default" w:ascii="Times New Roman" w:hAnsi="Times New Roman" w:eastAsia="宋体" w:cs="Times New Roman"/>
          <w:color w:val="auto"/>
        </w:rPr>
        <w:t>四、主要环境影响和保护措施</w:t>
      </w:r>
    </w:p>
    <w:tbl>
      <w:tblPr>
        <w:tblStyle w:val="21"/>
        <w:tblW w:w="4900" w:type="pct"/>
        <w:tblInd w:w="1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47"/>
        <w:gridCol w:w="8167"/>
      </w:tblGrid>
      <w:tr w14:paraId="0B95C0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9" w:hRule="atLeast"/>
        </w:trPr>
        <w:tc>
          <w:tcPr>
            <w:tcW w:w="746" w:type="dxa"/>
            <w:tcBorders>
              <w:bottom w:val="single" w:color="000000" w:sz="4" w:space="0"/>
              <w:right w:val="single" w:color="000000" w:sz="4" w:space="0"/>
            </w:tcBorders>
            <w:vAlign w:val="center"/>
          </w:tcPr>
          <w:p w14:paraId="471B51B9">
            <w:pPr>
              <w:pStyle w:val="29"/>
              <w:spacing w:before="157" w:line="242" w:lineRule="auto"/>
              <w:ind w:right="43"/>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施工期环境保护措施</w:t>
            </w:r>
          </w:p>
        </w:tc>
        <w:tc>
          <w:tcPr>
            <w:tcW w:w="8161" w:type="dxa"/>
            <w:tcBorders>
              <w:left w:val="single" w:color="000000" w:sz="4" w:space="0"/>
              <w:bottom w:val="single" w:color="000000" w:sz="4" w:space="0"/>
            </w:tcBorders>
            <w:vAlign w:val="center"/>
          </w:tcPr>
          <w:p w14:paraId="6C412C64">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施工</w:t>
            </w:r>
            <w:r>
              <w:rPr>
                <w:rFonts w:hint="eastAsia" w:ascii="Times New Roman" w:hAnsi="Times New Roman" w:cs="Times New Roman"/>
                <w:b/>
                <w:bCs/>
                <w:color w:val="auto"/>
                <w:sz w:val="24"/>
                <w:szCs w:val="24"/>
                <w:lang w:eastAsia="zh-CN"/>
              </w:rPr>
              <w:t>期</w:t>
            </w:r>
            <w:r>
              <w:rPr>
                <w:rFonts w:hint="default" w:ascii="Times New Roman" w:hAnsi="Times New Roman" w:cs="Times New Roman"/>
                <w:b/>
                <w:bCs/>
                <w:color w:val="auto"/>
                <w:sz w:val="24"/>
                <w:szCs w:val="24"/>
              </w:rPr>
              <w:t>扬尘</w:t>
            </w:r>
          </w:p>
          <w:p w14:paraId="3CBFD486">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项目建设阶段土方挖掘及运输、土地平整、建筑材料装卸及堆存、工程施工、车辆行驶等过程产生的扬尘，对周边环境空气产生一定的影响。</w:t>
            </w:r>
          </w:p>
          <w:p w14:paraId="59505481">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施工过程中由于土石方挖掘会破坏地表的原有结构，造成地面扬尘污染环境。扬尘量的大小与建设施工现场条件、施工阶段、管理水平、机械化程度及施工季节、土质及天气条件等诸多因素有关。根据对多个建筑施工工地的扬尘情况进行的类比调查：建筑施工扬尘较严重，施工场界周边无组织排放浓度一般达到4-6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左右；当风速为2.5m/s时，工地内的颗粒物浓度为上风向对照点的1.9倍。实践表明，施工场地</w:t>
            </w:r>
            <w:r>
              <w:rPr>
                <w:rFonts w:hint="eastAsia" w:ascii="Times New Roman" w:hAnsi="Times New Roman" w:cs="Times New Roman"/>
                <w:color w:val="auto"/>
                <w:sz w:val="24"/>
                <w:szCs w:val="24"/>
                <w:lang w:eastAsia="zh-CN"/>
              </w:rPr>
              <w:t>是否</w:t>
            </w:r>
            <w:r>
              <w:rPr>
                <w:rFonts w:hint="default" w:ascii="Times New Roman" w:hAnsi="Times New Roman" w:cs="Times New Roman"/>
                <w:color w:val="auto"/>
                <w:sz w:val="24"/>
                <w:szCs w:val="24"/>
              </w:rPr>
              <w:t>洒水对扬尘的影响很大，场地洒水后扬尘量将降低28%～75%，大大减少其对区域环境空气的影响。</w:t>
            </w:r>
          </w:p>
          <w:p w14:paraId="4812FE43">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对照《河北省扬尘污染防治办法》（河北省人民政府令[2020]第1号）的规定，项目建设阶段采取以下扬尘污染防治措施：</w:t>
            </w:r>
          </w:p>
          <w:p w14:paraId="621E9B6B">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①施工场地四周设置防尘围挡，高度不低于2.5m，降低施工扬尘对区域大气环境的影响；</w:t>
            </w:r>
          </w:p>
          <w:p w14:paraId="53104D15">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②土地挖掘、平整及施工建设过程中采用洒水措施，及时向易产生扬尘的施工厂地、路面洒水，大风天增加洒水量及洒水次数，减少扬尘产生；</w:t>
            </w:r>
          </w:p>
          <w:p w14:paraId="52D84BA0">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③建筑材料、设备的运输及建筑垃圾清运过程中，运输车辆减速慢行，运输建筑垃圾采用篷布遮盖，以避免沿途洒落，对运输道路及时进行清扫，减少运输扬尘；</w:t>
            </w:r>
          </w:p>
          <w:p w14:paraId="4A80B0D8">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④施工时减少土地开挖面积，降低开挖土量，施工后及时回填，可有效地减少施工扬尘量；</w:t>
            </w:r>
          </w:p>
          <w:p w14:paraId="51DA43F2">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⑤合理布设料场位置，建筑材料专用堆放地用篷布遮挡，定期洒水抑尘，及时清运建筑垃圾避免长时间堆存，减少建筑材料在堆放时由于风力作用产生的扬尘。</w:t>
            </w:r>
          </w:p>
          <w:p w14:paraId="612A8B29">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通过采取上述措施，工程施工场地下风向PM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贡献浓度可控制在80ug/m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以下，符合《施工场地扬尘排放标准》(DB13/2934-2019)表1扬尘排放浓度限值要求，施工期大气环境影响可以接受。</w:t>
            </w:r>
          </w:p>
          <w:p w14:paraId="15203EB2">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施工</w:t>
            </w:r>
            <w:r>
              <w:rPr>
                <w:rFonts w:hint="eastAsia" w:ascii="Times New Roman" w:hAnsi="Times New Roman" w:cs="Times New Roman"/>
                <w:b/>
                <w:bCs/>
                <w:color w:val="auto"/>
                <w:sz w:val="24"/>
                <w:szCs w:val="24"/>
                <w:lang w:eastAsia="zh-CN"/>
              </w:rPr>
              <w:t>期</w:t>
            </w:r>
            <w:r>
              <w:rPr>
                <w:rFonts w:hint="default" w:ascii="Times New Roman" w:hAnsi="Times New Roman" w:cs="Times New Roman"/>
                <w:b/>
                <w:bCs/>
                <w:color w:val="auto"/>
                <w:sz w:val="24"/>
                <w:szCs w:val="24"/>
              </w:rPr>
              <w:t>废水</w:t>
            </w:r>
          </w:p>
          <w:p w14:paraId="1B647CC0">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项目建设过程中产生的污水主要为施工作业产生的泥浆水、受雨水冲刷造成地表径流而形成的泥浆水等施工污水及工人的生活污水。采取的施工废水污染防治措施为：</w:t>
            </w:r>
          </w:p>
          <w:p w14:paraId="039875C5">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因项目建设地紧邻柳河，避免</w:t>
            </w:r>
            <w:r>
              <w:rPr>
                <w:rFonts w:hint="eastAsia" w:ascii="Times New Roman" w:hAnsi="Times New Roman" w:cs="Times New Roman"/>
                <w:color w:val="auto"/>
                <w:sz w:val="24"/>
                <w:szCs w:val="24"/>
                <w:lang w:eastAsia="zh-CN"/>
              </w:rPr>
              <w:t>受</w:t>
            </w:r>
            <w:r>
              <w:rPr>
                <w:rFonts w:hint="default" w:ascii="Times New Roman" w:hAnsi="Times New Roman" w:cs="Times New Roman"/>
                <w:color w:val="auto"/>
                <w:sz w:val="24"/>
                <w:szCs w:val="24"/>
              </w:rPr>
              <w:t>雨水影响，</w:t>
            </w:r>
            <w:r>
              <w:rPr>
                <w:rFonts w:hint="eastAsia" w:cs="Times New Roman"/>
                <w:color w:val="auto"/>
                <w:sz w:val="24"/>
                <w:szCs w:val="24"/>
                <w:lang w:eastAsia="zh-CN"/>
              </w:rPr>
              <w:t>项目施工时</w:t>
            </w:r>
            <w:r>
              <w:rPr>
                <w:rFonts w:hint="default" w:ascii="Times New Roman" w:hAnsi="Times New Roman" w:cs="Times New Roman"/>
                <w:color w:val="auto"/>
                <w:sz w:val="24"/>
                <w:szCs w:val="24"/>
              </w:rPr>
              <w:t>应合理选择施工时间，</w:t>
            </w:r>
            <w:r>
              <w:rPr>
                <w:rFonts w:hint="eastAsia" w:cs="Times New Roman"/>
                <w:color w:val="auto"/>
                <w:sz w:val="24"/>
                <w:szCs w:val="24"/>
                <w:lang w:eastAsia="zh-CN"/>
              </w:rPr>
              <w:t>避开雨季施工。并</w:t>
            </w:r>
            <w:r>
              <w:rPr>
                <w:rFonts w:hint="default" w:ascii="Times New Roman" w:hAnsi="Times New Roman" w:cs="Times New Roman"/>
                <w:color w:val="auto"/>
                <w:sz w:val="24"/>
                <w:szCs w:val="24"/>
              </w:rPr>
              <w:t>施工现场修建临时性集水池，将施工废水引至集水池收集处理后，用于建筑场地的洒水降尘，不外排；集水池远离河道修建。另外，项目应加强施工管理，合理安排施工进度、施工时段，降低废水污染。</w:t>
            </w:r>
          </w:p>
          <w:p w14:paraId="5C6BB46F">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采取的职工生活污水污染防治措施为：建设过程中工人生活污水产生量较少，主要是工人的盥洗用水，泼洒至施工现场用于降尘使用。</w:t>
            </w:r>
          </w:p>
          <w:p w14:paraId="7AB49419">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在采取上述措施后，项目施工期间对区域水环境影响可接受。</w:t>
            </w:r>
          </w:p>
          <w:p w14:paraId="5CD260B0">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施工</w:t>
            </w:r>
            <w:r>
              <w:rPr>
                <w:rFonts w:hint="eastAsia" w:ascii="Times New Roman" w:hAnsi="Times New Roman" w:cs="Times New Roman"/>
                <w:b/>
                <w:bCs/>
                <w:color w:val="auto"/>
                <w:sz w:val="24"/>
                <w:szCs w:val="24"/>
                <w:lang w:eastAsia="zh-CN"/>
              </w:rPr>
              <w:t>期</w:t>
            </w:r>
            <w:r>
              <w:rPr>
                <w:rFonts w:hint="default" w:ascii="Times New Roman" w:hAnsi="Times New Roman" w:cs="Times New Roman"/>
                <w:b/>
                <w:bCs/>
                <w:color w:val="auto"/>
                <w:sz w:val="24"/>
                <w:szCs w:val="24"/>
              </w:rPr>
              <w:t>噪声</w:t>
            </w:r>
          </w:p>
          <w:p w14:paraId="33038AFF">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项目建设过程中，噪声主要来自建设施工机械、施工作业和运输车辆的噪声。采取的噪声污染防治措施为：</w:t>
            </w:r>
          </w:p>
          <w:p w14:paraId="0592F83C">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①</w:t>
            </w:r>
            <w:r>
              <w:rPr>
                <w:rFonts w:hint="default" w:ascii="Times New Roman" w:hAnsi="Times New Roman" w:cs="Times New Roman"/>
                <w:color w:val="auto"/>
                <w:sz w:val="24"/>
                <w:szCs w:val="24"/>
              </w:rPr>
              <w:t>选用低噪声的施工设备和先进的施工工艺，保持设备处于良好的运转状态；闲置设备及时关闭，定时检修。</w:t>
            </w:r>
          </w:p>
          <w:p w14:paraId="09EFDAAE">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②</w:t>
            </w:r>
            <w:r>
              <w:rPr>
                <w:rFonts w:hint="default" w:ascii="Times New Roman" w:hAnsi="Times New Roman" w:cs="Times New Roman"/>
                <w:color w:val="auto"/>
                <w:sz w:val="24"/>
                <w:szCs w:val="24"/>
              </w:rPr>
              <w:t>夜间22:00~6:00不建设，不在同一时间集中使用大量的动力机械设备；如昼间6:00~22:00施工期间使用噪声值大的设备分散使用。</w:t>
            </w:r>
          </w:p>
          <w:p w14:paraId="58EAF604">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③</w:t>
            </w:r>
            <w:r>
              <w:rPr>
                <w:rFonts w:hint="default" w:ascii="Times New Roman" w:hAnsi="Times New Roman" w:cs="Times New Roman"/>
                <w:color w:val="auto"/>
                <w:sz w:val="24"/>
                <w:szCs w:val="24"/>
              </w:rPr>
              <w:t>对于运输材料、土石方等物料的车辆，不在敏感时段运输，加强管理，车辆减速、禁鸣，场地内运输车辆不长时间行驶。</w:t>
            </w:r>
          </w:p>
          <w:p w14:paraId="5326EB78">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④</w:t>
            </w:r>
            <w:r>
              <w:rPr>
                <w:rFonts w:hint="default" w:ascii="Times New Roman" w:hAnsi="Times New Roman" w:cs="Times New Roman"/>
                <w:color w:val="auto"/>
                <w:sz w:val="24"/>
                <w:szCs w:val="24"/>
              </w:rPr>
              <w:t>加强建设阶段的环境管理工作。</w:t>
            </w:r>
          </w:p>
          <w:p w14:paraId="55EDD398">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建设单位采用上述措施后，项目施工期产生的噪声可满足《建筑施工场界环境噪声排放标准》（GB1</w:t>
            </w:r>
            <w:r>
              <w:rPr>
                <w:rFonts w:hint="eastAsia" w:cs="Times New Roman"/>
                <w:color w:val="auto"/>
                <w:sz w:val="24"/>
                <w:szCs w:val="24"/>
                <w:lang w:eastAsia="zh-CN"/>
              </w:rPr>
              <w:t>23</w:t>
            </w:r>
            <w:r>
              <w:rPr>
                <w:rFonts w:hint="default" w:ascii="Times New Roman" w:hAnsi="Times New Roman" w:cs="Times New Roman"/>
                <w:color w:val="auto"/>
                <w:sz w:val="24"/>
                <w:szCs w:val="24"/>
              </w:rPr>
              <w:t>23-2011）的要求，噪声达标排放。</w:t>
            </w:r>
          </w:p>
          <w:p w14:paraId="4EB90D4B">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施工期固体废物</w:t>
            </w:r>
          </w:p>
          <w:p w14:paraId="28A28E79">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项目建设过程中产生的固体废物主要为弃土、弃渣、建筑垃圾和工人施工产生的生活垃圾。采取的</w:t>
            </w:r>
            <w:r>
              <w:rPr>
                <w:rFonts w:hint="eastAsia" w:cs="Times New Roman"/>
                <w:color w:val="auto"/>
                <w:sz w:val="24"/>
                <w:szCs w:val="24"/>
                <w:lang w:eastAsia="zh-CN"/>
              </w:rPr>
              <w:t>固体</w:t>
            </w:r>
            <w:r>
              <w:rPr>
                <w:rFonts w:hint="default" w:ascii="Times New Roman" w:hAnsi="Times New Roman" w:cs="Times New Roman"/>
                <w:color w:val="auto"/>
                <w:sz w:val="24"/>
                <w:szCs w:val="24"/>
              </w:rPr>
              <w:t>废物处置措施为：</w:t>
            </w:r>
          </w:p>
          <w:p w14:paraId="69AE91FD">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①</w:t>
            </w:r>
            <w:r>
              <w:rPr>
                <w:rFonts w:hint="default" w:ascii="Times New Roman" w:hAnsi="Times New Roman" w:cs="Times New Roman"/>
                <w:color w:val="auto"/>
                <w:sz w:val="24"/>
                <w:szCs w:val="24"/>
              </w:rPr>
              <w:t>建设过程中产生的弃土、石及建筑垃圾等指定地点堆存，优先进行回用，剩余部分及时清运，送至区域指定建筑垃圾场堆存处置。</w:t>
            </w:r>
          </w:p>
          <w:p w14:paraId="4C00CBB1">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②</w:t>
            </w:r>
            <w:r>
              <w:rPr>
                <w:rFonts w:hint="default" w:ascii="Times New Roman" w:hAnsi="Times New Roman" w:cs="Times New Roman"/>
                <w:color w:val="auto"/>
                <w:sz w:val="24"/>
                <w:szCs w:val="24"/>
              </w:rPr>
              <w:t>建设过程中产生的生活垃圾集中收集，送至区域指定垃圾集中堆存点，由区域环卫部门统一负责处置。</w:t>
            </w:r>
          </w:p>
          <w:p w14:paraId="647A826F">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采取上述措施后，施工期固体废物均得到妥善处置。</w:t>
            </w:r>
          </w:p>
          <w:p w14:paraId="0FE336B4">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综上所述，本项目施工期产生一定的施工废气、废水、固废和施工噪声，对周围环境有一定影响，但是这种影响是短暂的，影响程度较轻，且会随着施工期结束而终止。</w:t>
            </w:r>
          </w:p>
          <w:p w14:paraId="5063C879">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5、生态环境</w:t>
            </w:r>
          </w:p>
          <w:p w14:paraId="5F3F46F2">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r>
              <w:rPr>
                <w:rFonts w:hint="eastAsia"/>
                <w:color w:val="auto"/>
                <w:highlight w:val="none"/>
              </w:rPr>
              <w:t>本项目用地为建设用地，在原工业厂区内部进行建设，未对周围生态环境进行破坏，未对周边生态整体环境造成影响</w:t>
            </w:r>
            <w:r>
              <w:rPr>
                <w:rFonts w:hint="default" w:ascii="Times New Roman" w:hAnsi="Times New Roman" w:eastAsia="宋体" w:cs="Times New Roman"/>
                <w:color w:val="auto"/>
                <w:sz w:val="24"/>
                <w:szCs w:val="24"/>
                <w:highlight w:val="none"/>
                <w:lang w:eastAsia="zh-CN"/>
              </w:rPr>
              <w:t>。</w:t>
            </w:r>
          </w:p>
          <w:p w14:paraId="52052BFA">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0AFCFB7B">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52409399">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3C0166AB">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56ED7DE8">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461DDEE6">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48DE4B28">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4FED3975">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009BDA17">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60F0F744">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01E02245">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79D6E195">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3B322406">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color w:val="auto"/>
              </w:rPr>
            </w:pPr>
          </w:p>
          <w:p w14:paraId="57A415C4">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color w:val="auto"/>
                <w:lang w:eastAsia="zh-CN"/>
              </w:rPr>
            </w:pPr>
          </w:p>
        </w:tc>
      </w:tr>
      <w:tr w14:paraId="1895EA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91" w:hRule="atLeast"/>
        </w:trPr>
        <w:tc>
          <w:tcPr>
            <w:tcW w:w="746" w:type="dxa"/>
            <w:tcBorders>
              <w:top w:val="single" w:color="000000" w:sz="4" w:space="0"/>
              <w:right w:val="single" w:color="000000" w:sz="4" w:space="0"/>
            </w:tcBorders>
            <w:vAlign w:val="center"/>
          </w:tcPr>
          <w:p w14:paraId="64995ED5">
            <w:pPr>
              <w:pStyle w:val="29"/>
              <w:spacing w:before="1" w:line="242" w:lineRule="auto"/>
              <w:ind w:right="43"/>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运营期环境影响和保护措施</w:t>
            </w:r>
          </w:p>
        </w:tc>
        <w:tc>
          <w:tcPr>
            <w:tcW w:w="8161" w:type="dxa"/>
            <w:tcBorders>
              <w:top w:val="single" w:color="000000" w:sz="4" w:space="0"/>
              <w:left w:val="single" w:color="000000" w:sz="4" w:space="0"/>
            </w:tcBorders>
            <w:vAlign w:val="center"/>
          </w:tcPr>
          <w:p w14:paraId="3D577C0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1、废气</w:t>
            </w:r>
          </w:p>
          <w:p w14:paraId="4E3FD8A6">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1.1废气源强估算</w:t>
            </w:r>
          </w:p>
          <w:p w14:paraId="1B38E7A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eastAsia="zh-CN"/>
              </w:rPr>
              <w:t>本项目废气</w:t>
            </w:r>
            <w:r>
              <w:rPr>
                <w:rFonts w:hint="default" w:ascii="Times New Roman" w:hAnsi="Times New Roman" w:eastAsia="宋体" w:cs="Times New Roman"/>
                <w:color w:val="auto"/>
                <w:spacing w:val="0"/>
                <w:sz w:val="24"/>
              </w:rPr>
              <w:t>主要为</w:t>
            </w:r>
            <w:r>
              <w:rPr>
                <w:rFonts w:hint="default" w:ascii="Times New Roman" w:hAnsi="Times New Roman" w:eastAsia="宋体" w:cs="Times New Roman"/>
                <w:color w:val="auto"/>
                <w:spacing w:val="0"/>
                <w:sz w:val="24"/>
                <w:lang w:eastAsia="zh-CN"/>
              </w:rPr>
              <w:t>原料入厂、堆存、</w:t>
            </w:r>
            <w:r>
              <w:rPr>
                <w:rFonts w:hint="eastAsia" w:cs="Times New Roman"/>
                <w:color w:val="auto"/>
                <w:spacing w:val="0"/>
                <w:sz w:val="24"/>
                <w:lang w:eastAsia="zh-CN"/>
              </w:rPr>
              <w:t>上料</w:t>
            </w:r>
            <w:r>
              <w:rPr>
                <w:rFonts w:hint="default" w:ascii="Times New Roman" w:hAnsi="Times New Roman" w:eastAsia="宋体" w:cs="Times New Roman"/>
                <w:color w:val="auto"/>
                <w:spacing w:val="0"/>
                <w:sz w:val="24"/>
                <w:lang w:eastAsia="zh-CN"/>
              </w:rPr>
              <w:t>产生的颗粒物；</w:t>
            </w:r>
            <w:r>
              <w:rPr>
                <w:rFonts w:hint="eastAsia" w:cs="Times New Roman"/>
                <w:color w:val="auto"/>
                <w:spacing w:val="0"/>
                <w:sz w:val="24"/>
                <w:lang w:eastAsia="zh-CN"/>
              </w:rPr>
              <w:t>钢渣预选、除杂</w:t>
            </w:r>
            <w:r>
              <w:rPr>
                <w:rFonts w:hint="default" w:ascii="Times New Roman" w:hAnsi="Times New Roman" w:eastAsia="宋体" w:cs="Times New Roman"/>
                <w:color w:val="auto"/>
                <w:spacing w:val="0"/>
                <w:sz w:val="24"/>
                <w:lang w:eastAsia="zh-CN"/>
              </w:rPr>
              <w:t>产生的颗粒物及车辆运输产生的颗粒物。</w:t>
            </w:r>
          </w:p>
          <w:p w14:paraId="0582B12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spacing w:val="0"/>
                <w:sz w:val="24"/>
                <w:lang w:eastAsia="zh-CN"/>
              </w:rPr>
              <w:t>原料入厂、堆存、</w:t>
            </w:r>
            <w:r>
              <w:rPr>
                <w:rFonts w:hint="eastAsia" w:cs="Times New Roman"/>
                <w:color w:val="auto"/>
                <w:spacing w:val="0"/>
                <w:sz w:val="24"/>
                <w:lang w:eastAsia="zh-CN"/>
              </w:rPr>
              <w:t>上料</w:t>
            </w:r>
            <w:r>
              <w:rPr>
                <w:rFonts w:hint="default" w:ascii="Times New Roman" w:hAnsi="Times New Roman" w:eastAsia="宋体" w:cs="Times New Roman"/>
                <w:color w:val="auto"/>
                <w:spacing w:val="0"/>
                <w:sz w:val="24"/>
                <w:lang w:eastAsia="zh-CN"/>
              </w:rPr>
              <w:t>产生的颗粒物</w:t>
            </w:r>
          </w:p>
          <w:p w14:paraId="64C0FC1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本项目原料入厂后进行汽车装卸</w:t>
            </w:r>
            <w:r>
              <w:rPr>
                <w:rFonts w:hint="eastAsia" w:cs="Times New Roman"/>
                <w:color w:val="auto"/>
                <w:highlight w:val="none"/>
                <w:lang w:eastAsia="zh-CN"/>
              </w:rPr>
              <w:t>、</w:t>
            </w:r>
            <w:r>
              <w:rPr>
                <w:rFonts w:hint="default" w:ascii="Times New Roman" w:hAnsi="Times New Roman" w:eastAsia="宋体" w:cs="Times New Roman"/>
                <w:color w:val="auto"/>
                <w:highlight w:val="none"/>
              </w:rPr>
              <w:t>原料堆存</w:t>
            </w:r>
            <w:r>
              <w:rPr>
                <w:rFonts w:hint="eastAsia" w:cs="Times New Roman"/>
                <w:color w:val="auto"/>
                <w:highlight w:val="none"/>
                <w:lang w:eastAsia="zh-CN"/>
              </w:rPr>
              <w:t>及上料等</w:t>
            </w:r>
            <w:r>
              <w:rPr>
                <w:rFonts w:hint="default" w:ascii="Times New Roman" w:hAnsi="Times New Roman" w:eastAsia="宋体" w:cs="Times New Roman"/>
                <w:color w:val="auto"/>
                <w:highlight w:val="none"/>
              </w:rPr>
              <w:t>过程中会产生粉尘，主要污染因子为颗粒物。</w:t>
            </w:r>
            <w:r>
              <w:rPr>
                <w:rFonts w:hint="eastAsia" w:cs="Times New Roman"/>
                <w:color w:val="auto"/>
                <w:highlight w:val="none"/>
                <w:lang w:eastAsia="zh-CN"/>
              </w:rPr>
              <w:t>此</w:t>
            </w:r>
            <w:r>
              <w:rPr>
                <w:rFonts w:hint="default" w:ascii="Times New Roman" w:hAnsi="Times New Roman" w:eastAsia="宋体" w:cs="Times New Roman"/>
                <w:color w:val="auto"/>
                <w:highlight w:val="none"/>
              </w:rPr>
              <w:t>过程粉尘采用喷淋+封闭车间等措施处理。参照《排放源统计调查产排污核算方法和系数手册》（环境部公告2021年第24号），附表</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工业源固体物料堆场颗粒物核算系数手册，工业企业固体物料堆存颗粒物包括装卸</w:t>
            </w:r>
            <w:r>
              <w:rPr>
                <w:rFonts w:hint="eastAsia" w:cs="Times New Roman"/>
                <w:color w:val="auto"/>
                <w:highlight w:val="none"/>
                <w:lang w:eastAsia="zh-CN"/>
              </w:rPr>
              <w:t>扬尘</w:t>
            </w:r>
            <w:r>
              <w:rPr>
                <w:rFonts w:hint="default" w:ascii="Times New Roman" w:hAnsi="Times New Roman" w:eastAsia="宋体" w:cs="Times New Roman"/>
                <w:color w:val="auto"/>
                <w:highlight w:val="none"/>
              </w:rPr>
              <w:t>和风蚀扬尘，颗粒物产生量核算公式如下：</w:t>
            </w:r>
          </w:p>
          <w:p w14:paraId="62B70875">
            <w:pPr>
              <w:pStyle w:val="2"/>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P=ZC</w:t>
            </w:r>
            <w:r>
              <w:rPr>
                <w:rFonts w:hint="default" w:ascii="Times New Roman" w:hAnsi="Times New Roman" w:eastAsia="宋体" w:cs="Times New Roman"/>
                <w:b w:val="0"/>
                <w:bCs w:val="0"/>
                <w:color w:val="auto"/>
                <w:highlight w:val="none"/>
                <w:vertAlign w:val="subscript"/>
              </w:rPr>
              <w:t>y</w:t>
            </w:r>
            <w:r>
              <w:rPr>
                <w:rFonts w:hint="default" w:ascii="Times New Roman" w:hAnsi="Times New Roman" w:eastAsia="宋体" w:cs="Times New Roman"/>
                <w:b w:val="0"/>
                <w:bCs w:val="0"/>
                <w:color w:val="auto"/>
                <w:highlight w:val="none"/>
              </w:rPr>
              <w:t>+FC={N</w:t>
            </w:r>
            <w:r>
              <w:rPr>
                <w:rFonts w:hint="default" w:ascii="Times New Roman" w:hAnsi="Times New Roman" w:eastAsia="宋体" w:cs="Times New Roman"/>
                <w:b w:val="0"/>
                <w:bCs w:val="0"/>
                <w:color w:val="auto"/>
                <w:highlight w:val="none"/>
                <w:vertAlign w:val="subscript"/>
                <w:lang w:val="en-US" w:eastAsia="zh-CN"/>
              </w:rPr>
              <w:t>c</w:t>
            </w:r>
            <w:r>
              <w:rPr>
                <w:rFonts w:hint="default" w:ascii="Times New Roman" w:hAnsi="Times New Roman" w:eastAsia="宋体" w:cs="Times New Roman"/>
                <w:b w:val="0"/>
                <w:bCs w:val="0"/>
                <w:color w:val="auto"/>
                <w:highlight w:val="none"/>
              </w:rPr>
              <w:t>×D×(a/b)+2×E</w:t>
            </w:r>
            <w:r>
              <w:rPr>
                <w:rFonts w:hint="default" w:ascii="Times New Roman" w:hAnsi="Times New Roman" w:eastAsia="宋体" w:cs="Times New Roman"/>
                <w:b w:val="0"/>
                <w:bCs w:val="0"/>
                <w:color w:val="auto"/>
                <w:highlight w:val="none"/>
                <w:vertAlign w:val="subscript"/>
                <w:lang w:val="en-US" w:eastAsia="zh-CN"/>
              </w:rPr>
              <w:t>f</w:t>
            </w:r>
            <w:r>
              <w:rPr>
                <w:rFonts w:hint="default" w:ascii="Times New Roman" w:hAnsi="Times New Roman" w:eastAsia="宋体" w:cs="Times New Roman"/>
                <w:b w:val="0"/>
                <w:bCs w:val="0"/>
                <w:color w:val="auto"/>
                <w:highlight w:val="none"/>
              </w:rPr>
              <w:t>×S}×10</w:t>
            </w:r>
            <w:r>
              <w:rPr>
                <w:rFonts w:hint="default" w:ascii="Times New Roman" w:hAnsi="Times New Roman" w:eastAsia="宋体" w:cs="Times New Roman"/>
                <w:b w:val="0"/>
                <w:bCs w:val="0"/>
                <w:color w:val="auto"/>
                <w:highlight w:val="none"/>
                <w:vertAlign w:val="superscript"/>
              </w:rPr>
              <w:t>-</w:t>
            </w:r>
            <w:r>
              <w:rPr>
                <w:rFonts w:hint="default" w:ascii="Times New Roman" w:hAnsi="Times New Roman" w:eastAsia="宋体" w:cs="Times New Roman"/>
                <w:b w:val="0"/>
                <w:bCs w:val="0"/>
                <w:color w:val="auto"/>
                <w:highlight w:val="none"/>
                <w:vertAlign w:val="superscript"/>
                <w:lang w:val="en-US" w:eastAsia="zh-CN"/>
              </w:rPr>
              <w:t>3</w:t>
            </w:r>
          </w:p>
          <w:p w14:paraId="3124DC3D">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式中：P指颗粒物产生量（单位：吨）；</w:t>
            </w:r>
          </w:p>
          <w:p w14:paraId="7ABED810">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ZC</w:t>
            </w:r>
            <w:r>
              <w:rPr>
                <w:rFonts w:hint="default" w:ascii="Times New Roman" w:hAnsi="Times New Roman" w:eastAsia="宋体" w:cs="Times New Roman"/>
                <w:b w:val="0"/>
                <w:bCs w:val="0"/>
                <w:color w:val="auto"/>
                <w:highlight w:val="none"/>
                <w:vertAlign w:val="subscript"/>
                <w:lang w:val="en-US" w:eastAsia="zh-CN"/>
              </w:rPr>
              <w:t>y</w:t>
            </w:r>
            <w:r>
              <w:rPr>
                <w:rFonts w:hint="default" w:ascii="Times New Roman" w:hAnsi="Times New Roman" w:eastAsia="宋体" w:cs="Times New Roman"/>
                <w:b w:val="0"/>
                <w:bCs w:val="0"/>
                <w:color w:val="auto"/>
                <w:highlight w:val="none"/>
              </w:rPr>
              <w:t>指装卸扬尘产生量（单位：吨）；</w:t>
            </w:r>
          </w:p>
          <w:p w14:paraId="3040BEF4">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FC指风蚀扬尘产生量（单位：吨）；</w:t>
            </w:r>
          </w:p>
          <w:p w14:paraId="020C2EAB">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N</w:t>
            </w:r>
            <w:r>
              <w:rPr>
                <w:rFonts w:hint="default" w:ascii="Times New Roman" w:hAnsi="Times New Roman" w:eastAsia="宋体" w:cs="Times New Roman"/>
                <w:b w:val="0"/>
                <w:bCs w:val="0"/>
                <w:color w:val="auto"/>
                <w:highlight w:val="none"/>
                <w:vertAlign w:val="subscript"/>
                <w:lang w:val="en-US" w:eastAsia="zh-CN"/>
              </w:rPr>
              <w:t>c</w:t>
            </w:r>
            <w:r>
              <w:rPr>
                <w:rFonts w:hint="default" w:ascii="Times New Roman" w:hAnsi="Times New Roman" w:eastAsia="宋体" w:cs="Times New Roman"/>
                <w:b w:val="0"/>
                <w:bCs w:val="0"/>
                <w:color w:val="auto"/>
                <w:highlight w:val="none"/>
              </w:rPr>
              <w:t>指年物料运载车次（单位：车）；</w:t>
            </w:r>
          </w:p>
          <w:p w14:paraId="541EF30E">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D指单车平均运载量（单位：吨/车）；</w:t>
            </w:r>
          </w:p>
          <w:p w14:paraId="3397B275">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（a/b）指装卸扬尘概化系数（单位：千克/吨），a指各省风速概化系数，见附录1，b指物料含水率概化系数，见附录2；</w:t>
            </w:r>
          </w:p>
          <w:p w14:paraId="55B880E1">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960" w:firstLineChars="4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E</w:t>
            </w:r>
            <w:r>
              <w:rPr>
                <w:rFonts w:hint="default" w:ascii="Times New Roman" w:hAnsi="Times New Roman" w:eastAsia="宋体" w:cs="Times New Roman"/>
                <w:b w:val="0"/>
                <w:bCs w:val="0"/>
                <w:color w:val="auto"/>
                <w:highlight w:val="none"/>
                <w:vertAlign w:val="subscript"/>
                <w:lang w:val="en-US" w:eastAsia="zh-CN"/>
              </w:rPr>
              <w:t>f</w:t>
            </w:r>
            <w:r>
              <w:rPr>
                <w:rFonts w:hint="default" w:ascii="Times New Roman" w:hAnsi="Times New Roman" w:eastAsia="宋体" w:cs="Times New Roman"/>
                <w:b w:val="0"/>
                <w:bCs w:val="0"/>
                <w:color w:val="auto"/>
                <w:highlight w:val="none"/>
              </w:rPr>
              <w:t>指堆场风蚀扬尘概化系数，见附录3（单位：千克/平方米）；</w:t>
            </w:r>
          </w:p>
          <w:p w14:paraId="49EAB059">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right="0" w:firstLine="960" w:firstLineChars="40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val="0"/>
                <w:bCs w:val="0"/>
                <w:color w:val="auto"/>
                <w:highlight w:val="none"/>
              </w:rPr>
              <w:t>S指堆场占地面积（单位：平方米）。</w:t>
            </w:r>
          </w:p>
          <w:p w14:paraId="0393E98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根据本项目实际情况，查阅工业源固体物料堆场颗粒物核算系数手册，式</w:t>
            </w:r>
          </w:p>
          <w:p w14:paraId="47CC6CAF">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中Nc×D为</w:t>
            </w: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0万t/a，a取0.0010，b取0.0005，E</w:t>
            </w:r>
            <w:r>
              <w:rPr>
                <w:rFonts w:hint="default" w:ascii="Times New Roman" w:hAnsi="Times New Roman" w:eastAsia="宋体" w:cs="Times New Roman"/>
                <w:color w:val="auto"/>
                <w:highlight w:val="none"/>
                <w:vertAlign w:val="subscript"/>
                <w:lang w:val="en-US" w:eastAsia="zh-CN"/>
              </w:rPr>
              <w:t>f</w:t>
            </w:r>
            <w:r>
              <w:rPr>
                <w:rFonts w:hint="default" w:ascii="Times New Roman" w:hAnsi="Times New Roman" w:eastAsia="宋体" w:cs="Times New Roman"/>
                <w:color w:val="auto"/>
                <w:highlight w:val="none"/>
                <w:lang w:val="en-US" w:eastAsia="zh-CN"/>
              </w:rPr>
              <w:t>取46.1652，S料场占地面积为</w:t>
            </w:r>
            <w:r>
              <w:rPr>
                <w:rFonts w:hint="eastAsia" w:cs="Times New Roman"/>
                <w:color w:val="auto"/>
                <w:highlight w:val="none"/>
                <w:lang w:val="en-US" w:eastAsia="zh-CN"/>
              </w:rPr>
              <w:t>515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，则颗粒物产生量为</w:t>
            </w:r>
            <w:r>
              <w:rPr>
                <w:rFonts w:hint="eastAsia" w:cs="Times New Roman"/>
                <w:color w:val="auto"/>
                <w:highlight w:val="none"/>
                <w:lang w:val="en-US" w:eastAsia="zh-CN"/>
              </w:rPr>
              <w:t>247.550</w:t>
            </w:r>
            <w:r>
              <w:rPr>
                <w:rFonts w:hint="default"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w:t>
            </w:r>
          </w:p>
          <w:p w14:paraId="35D34C1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工业企业固体物料堆场颗粒物排放量核算公式如下：</w:t>
            </w:r>
          </w:p>
          <w:p w14:paraId="6C00456C">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U</w:t>
            </w:r>
            <w:r>
              <w:rPr>
                <w:rFonts w:hint="default" w:ascii="Times New Roman" w:hAnsi="Times New Roman" w:eastAsia="宋体" w:cs="Times New Roman"/>
                <w:b w:val="0"/>
                <w:bCs w:val="0"/>
                <w:color w:val="auto"/>
                <w:highlight w:val="none"/>
                <w:vertAlign w:val="subscript"/>
                <w:lang w:val="en-US" w:eastAsia="zh-CN"/>
              </w:rPr>
              <w:t>C</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P×（1-C</w:t>
            </w:r>
            <w:r>
              <w:rPr>
                <w:rFonts w:hint="default" w:ascii="Times New Roman" w:hAnsi="Times New Roman" w:eastAsia="宋体" w:cs="Times New Roman"/>
                <w:b w:val="0"/>
                <w:bCs w:val="0"/>
                <w:color w:val="auto"/>
                <w:highlight w:val="none"/>
                <w:vertAlign w:val="subscript"/>
                <w:lang w:val="en-US" w:eastAsia="zh-CN"/>
              </w:rPr>
              <w:t>m</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1-T</w:t>
            </w:r>
            <w:r>
              <w:rPr>
                <w:rFonts w:hint="default" w:ascii="Times New Roman" w:hAnsi="Times New Roman" w:eastAsia="宋体" w:cs="Times New Roman"/>
                <w:b w:val="0"/>
                <w:bCs w:val="0"/>
                <w:color w:val="auto"/>
                <w:highlight w:val="none"/>
                <w:vertAlign w:val="subscript"/>
                <w:lang w:val="en-US" w:eastAsia="zh-CN"/>
              </w:rPr>
              <w:t>m</w:t>
            </w:r>
            <w:r>
              <w:rPr>
                <w:rFonts w:hint="default" w:ascii="Times New Roman" w:hAnsi="Times New Roman" w:eastAsia="宋体" w:cs="Times New Roman"/>
                <w:b w:val="0"/>
                <w:bCs w:val="0"/>
                <w:color w:val="auto"/>
                <w:highlight w:val="none"/>
                <w:lang w:eastAsia="zh-CN"/>
              </w:rPr>
              <w:t>）</w:t>
            </w:r>
          </w:p>
          <w:p w14:paraId="752D5D5D">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式中：P指颗粒物产生量（单位：吨）；</w:t>
            </w:r>
          </w:p>
          <w:p w14:paraId="56A9EFDC">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U</w:t>
            </w:r>
            <w:r>
              <w:rPr>
                <w:rFonts w:hint="default" w:ascii="Times New Roman" w:hAnsi="Times New Roman" w:eastAsia="宋体" w:cs="Times New Roman"/>
                <w:b w:val="0"/>
                <w:bCs w:val="0"/>
                <w:color w:val="auto"/>
                <w:highlight w:val="none"/>
                <w:vertAlign w:val="subscript"/>
                <w:lang w:val="en-US" w:eastAsia="zh-CN"/>
              </w:rPr>
              <w:t>C</w:t>
            </w:r>
            <w:r>
              <w:rPr>
                <w:rFonts w:hint="default" w:ascii="Times New Roman" w:hAnsi="Times New Roman" w:eastAsia="宋体" w:cs="Times New Roman"/>
                <w:b w:val="0"/>
                <w:bCs w:val="0"/>
                <w:color w:val="auto"/>
                <w:highlight w:val="none"/>
              </w:rPr>
              <w:t>指</w:t>
            </w:r>
            <w:r>
              <w:rPr>
                <w:rFonts w:hint="default" w:ascii="Times New Roman" w:hAnsi="Times New Roman" w:eastAsia="宋体" w:cs="Times New Roman"/>
                <w:b w:val="0"/>
                <w:bCs w:val="0"/>
                <w:color w:val="auto"/>
                <w:highlight w:val="none"/>
                <w:lang w:eastAsia="zh-CN"/>
              </w:rPr>
              <w:t>颗粒物排放</w:t>
            </w:r>
            <w:r>
              <w:rPr>
                <w:rFonts w:hint="default" w:ascii="Times New Roman" w:hAnsi="Times New Roman" w:eastAsia="宋体" w:cs="Times New Roman"/>
                <w:b w:val="0"/>
                <w:bCs w:val="0"/>
                <w:color w:val="auto"/>
                <w:highlight w:val="none"/>
              </w:rPr>
              <w:t>量（单位：吨）；</w:t>
            </w:r>
          </w:p>
          <w:p w14:paraId="4DC78942">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C</w:t>
            </w:r>
            <w:r>
              <w:rPr>
                <w:rFonts w:hint="default" w:ascii="Times New Roman" w:hAnsi="Times New Roman" w:eastAsia="宋体" w:cs="Times New Roman"/>
                <w:b w:val="0"/>
                <w:bCs w:val="0"/>
                <w:color w:val="auto"/>
                <w:highlight w:val="none"/>
                <w:vertAlign w:val="subscript"/>
                <w:lang w:val="en-US" w:eastAsia="zh-CN"/>
              </w:rPr>
              <w:t>m</w:t>
            </w:r>
            <w:r>
              <w:rPr>
                <w:rFonts w:hint="default" w:ascii="Times New Roman" w:hAnsi="Times New Roman" w:eastAsia="宋体" w:cs="Times New Roman"/>
                <w:b w:val="0"/>
                <w:bCs w:val="0"/>
                <w:color w:val="auto"/>
                <w:highlight w:val="none"/>
              </w:rPr>
              <w:t>指</w:t>
            </w:r>
            <w:r>
              <w:rPr>
                <w:rFonts w:hint="default" w:ascii="Times New Roman" w:hAnsi="Times New Roman" w:eastAsia="宋体" w:cs="Times New Roman"/>
                <w:b w:val="0"/>
                <w:bCs w:val="0"/>
                <w:color w:val="auto"/>
                <w:highlight w:val="none"/>
                <w:lang w:eastAsia="zh-CN"/>
              </w:rPr>
              <w:t>颗粒物控制措施控制效率</w:t>
            </w:r>
            <w:r>
              <w:rPr>
                <w:rFonts w:hint="default" w:ascii="Times New Roman" w:hAnsi="Times New Roman" w:eastAsia="宋体" w:cs="Times New Roman"/>
                <w:b w:val="0"/>
                <w:bCs w:val="0"/>
                <w:color w:val="auto"/>
                <w:highlight w:val="none"/>
              </w:rPr>
              <w:t>（单位：</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eastAsia="zh-CN"/>
              </w:rPr>
              <w:t>，见附录</w:t>
            </w:r>
            <w:r>
              <w:rPr>
                <w:rFonts w:hint="default" w:ascii="Times New Roman" w:hAnsi="Times New Roman" w:eastAsia="宋体" w:cs="Times New Roman"/>
                <w:b w:val="0"/>
                <w:bCs w:val="0"/>
                <w:color w:val="auto"/>
                <w:highlight w:val="none"/>
                <w:lang w:val="en-US" w:eastAsia="zh-CN"/>
              </w:rPr>
              <w:t>4</w:t>
            </w:r>
            <w:r>
              <w:rPr>
                <w:rFonts w:hint="default" w:ascii="Times New Roman" w:hAnsi="Times New Roman" w:eastAsia="宋体" w:cs="Times New Roman"/>
                <w:b w:val="0"/>
                <w:bCs w:val="0"/>
                <w:color w:val="auto"/>
                <w:highlight w:val="none"/>
              </w:rPr>
              <w:t>；</w:t>
            </w:r>
          </w:p>
          <w:p w14:paraId="3825DDBB">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T</w:t>
            </w:r>
            <w:r>
              <w:rPr>
                <w:rFonts w:hint="default" w:ascii="Times New Roman" w:hAnsi="Times New Roman" w:eastAsia="宋体" w:cs="Times New Roman"/>
                <w:b w:val="0"/>
                <w:bCs w:val="0"/>
                <w:color w:val="auto"/>
                <w:highlight w:val="none"/>
                <w:vertAlign w:val="subscript"/>
                <w:lang w:val="en-US" w:eastAsia="zh-CN"/>
              </w:rPr>
              <w:t>m</w:t>
            </w:r>
            <w:r>
              <w:rPr>
                <w:rFonts w:hint="default" w:ascii="Times New Roman" w:hAnsi="Times New Roman" w:eastAsia="宋体" w:cs="Times New Roman"/>
                <w:b w:val="0"/>
                <w:bCs w:val="0"/>
                <w:color w:val="auto"/>
                <w:highlight w:val="none"/>
              </w:rPr>
              <w:t>指</w:t>
            </w:r>
            <w:r>
              <w:rPr>
                <w:rFonts w:hint="default" w:ascii="Times New Roman" w:hAnsi="Times New Roman" w:eastAsia="宋体" w:cs="Times New Roman"/>
                <w:b w:val="0"/>
                <w:bCs w:val="0"/>
                <w:color w:val="auto"/>
                <w:highlight w:val="none"/>
                <w:lang w:eastAsia="zh-CN"/>
              </w:rPr>
              <w:t>堆场类型控制效率</w:t>
            </w:r>
            <w:r>
              <w:rPr>
                <w:rFonts w:hint="default" w:ascii="Times New Roman" w:hAnsi="Times New Roman" w:eastAsia="宋体" w:cs="Times New Roman"/>
                <w:b w:val="0"/>
                <w:bCs w:val="0"/>
                <w:color w:val="auto"/>
                <w:highlight w:val="none"/>
              </w:rPr>
              <w:t>（单位：</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eastAsia="zh-CN"/>
              </w:rPr>
              <w:t>，见附录</w:t>
            </w:r>
            <w:r>
              <w:rPr>
                <w:rFonts w:hint="default" w:ascii="Times New Roman" w:hAnsi="Times New Roman" w:eastAsia="宋体" w:cs="Times New Roman"/>
                <w:b w:val="0"/>
                <w:bCs w:val="0"/>
                <w:color w:val="auto"/>
                <w:highlight w:val="none"/>
                <w:lang w:val="en-US" w:eastAsia="zh-CN"/>
              </w:rPr>
              <w:t>5</w:t>
            </w:r>
            <w:r>
              <w:rPr>
                <w:rFonts w:hint="default" w:ascii="Times New Roman" w:hAnsi="Times New Roman" w:eastAsia="宋体" w:cs="Times New Roman"/>
                <w:b w:val="0"/>
                <w:bCs w:val="0"/>
                <w:color w:val="auto"/>
                <w:highlight w:val="none"/>
              </w:rPr>
              <w:t>；</w:t>
            </w:r>
          </w:p>
          <w:p w14:paraId="6B7B610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上述公式中C</w:t>
            </w:r>
            <w:r>
              <w:rPr>
                <w:rFonts w:hint="default" w:ascii="Times New Roman" w:hAnsi="Times New Roman" w:eastAsia="宋体" w:cs="Times New Roman"/>
                <w:color w:val="auto"/>
                <w:highlight w:val="none"/>
                <w:vertAlign w:val="subscript"/>
                <w:lang w:val="en-US" w:eastAsia="zh-CN"/>
              </w:rPr>
              <w:t>m</w:t>
            </w:r>
            <w:r>
              <w:rPr>
                <w:rFonts w:hint="default" w:ascii="Times New Roman" w:hAnsi="Times New Roman" w:eastAsia="宋体" w:cs="Times New Roman"/>
                <w:color w:val="auto"/>
                <w:highlight w:val="none"/>
                <w:lang w:eastAsia="zh-CN"/>
              </w:rPr>
              <w:t>为78%，T</w:t>
            </w:r>
            <w:r>
              <w:rPr>
                <w:rFonts w:hint="default" w:ascii="Times New Roman" w:hAnsi="Times New Roman" w:eastAsia="宋体" w:cs="Times New Roman"/>
                <w:color w:val="auto"/>
                <w:highlight w:val="none"/>
                <w:vertAlign w:val="subscript"/>
                <w:lang w:val="en-US" w:eastAsia="zh-CN"/>
              </w:rPr>
              <w:t>m</w:t>
            </w:r>
            <w:r>
              <w:rPr>
                <w:rFonts w:hint="default" w:ascii="Times New Roman" w:hAnsi="Times New Roman" w:eastAsia="宋体" w:cs="Times New Roman"/>
                <w:color w:val="auto"/>
                <w:highlight w:val="none"/>
                <w:lang w:eastAsia="zh-CN"/>
              </w:rPr>
              <w:t>为99%，</w:t>
            </w:r>
            <w:r>
              <w:rPr>
                <w:rFonts w:hint="default" w:ascii="Times New Roman" w:hAnsi="Times New Roman" w:eastAsia="宋体" w:cs="Times New Roman"/>
                <w:color w:val="auto"/>
                <w:kern w:val="24"/>
                <w:highlight w:val="none"/>
              </w:rPr>
              <w:t>年运行时间为</w:t>
            </w:r>
            <w:r>
              <w:rPr>
                <w:rFonts w:hint="eastAsia" w:cs="Times New Roman"/>
                <w:color w:val="auto"/>
                <w:highlight w:val="none"/>
                <w:lang w:val="en-US" w:eastAsia="zh-CN"/>
              </w:rPr>
              <w:t>48</w:t>
            </w:r>
            <w:r>
              <w:rPr>
                <w:rFonts w:hint="default" w:ascii="Times New Roman" w:hAnsi="Times New Roman" w:eastAsia="宋体" w:cs="Times New Roman"/>
                <w:color w:val="auto"/>
                <w:highlight w:val="none"/>
                <w:lang w:val="en-US" w:eastAsia="zh-CN"/>
              </w:rPr>
              <w:t>00h（300d*</w:t>
            </w:r>
            <w:r>
              <w:rPr>
                <w:rFonts w:hint="eastAsia" w:cs="Times New Roman"/>
                <w:color w:val="auto"/>
                <w:highlight w:val="none"/>
                <w:lang w:val="en-US" w:eastAsia="zh-CN"/>
              </w:rPr>
              <w:t>16</w:t>
            </w:r>
            <w:r>
              <w:rPr>
                <w:rFonts w:hint="default" w:ascii="Times New Roman" w:hAnsi="Times New Roman" w:eastAsia="宋体" w:cs="Times New Roman"/>
                <w:color w:val="auto"/>
                <w:highlight w:val="none"/>
                <w:lang w:val="en-US"/>
              </w:rPr>
              <w:t>h</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eastAsia="zh-CN"/>
              </w:rPr>
              <w:t>则颗粒物无组织排放量为</w:t>
            </w:r>
            <w:r>
              <w:rPr>
                <w:rFonts w:hint="eastAsia" w:cs="Times New Roman"/>
                <w:color w:val="auto"/>
                <w:highlight w:val="none"/>
                <w:lang w:val="en-US" w:eastAsia="zh-CN"/>
              </w:rPr>
              <w:t>0.545</w:t>
            </w:r>
            <w:r>
              <w:rPr>
                <w:rFonts w:hint="default" w:ascii="Times New Roman" w:hAnsi="Times New Roman" w:eastAsia="宋体" w:cs="Times New Roman"/>
                <w:color w:val="auto"/>
                <w:highlight w:val="none"/>
                <w:lang w:eastAsia="zh-CN"/>
              </w:rPr>
              <w:t>t/a，排放速率为</w:t>
            </w:r>
            <w:r>
              <w:rPr>
                <w:rFonts w:hint="eastAsia" w:cs="Times New Roman"/>
                <w:color w:val="auto"/>
                <w:highlight w:val="none"/>
                <w:lang w:val="en-US" w:eastAsia="zh-CN"/>
              </w:rPr>
              <w:t>0.133</w:t>
            </w:r>
            <w:r>
              <w:rPr>
                <w:rFonts w:hint="default" w:ascii="Times New Roman" w:hAnsi="Times New Roman" w:eastAsia="宋体" w:cs="Times New Roman"/>
                <w:color w:val="auto"/>
                <w:highlight w:val="none"/>
                <w:lang w:eastAsia="zh-CN"/>
              </w:rPr>
              <w:t>kg/h。</w:t>
            </w:r>
          </w:p>
          <w:p w14:paraId="53B3709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cs="Times New Roman"/>
                <w:color w:val="auto"/>
                <w:spacing w:val="0"/>
                <w:sz w:val="24"/>
                <w:lang w:eastAsia="zh-CN"/>
              </w:rPr>
              <w:t>钢渣预选、除杂</w:t>
            </w:r>
            <w:r>
              <w:rPr>
                <w:rFonts w:hint="default" w:ascii="Times New Roman" w:hAnsi="Times New Roman" w:eastAsia="宋体" w:cs="Times New Roman"/>
                <w:color w:val="auto"/>
                <w:spacing w:val="0"/>
                <w:sz w:val="24"/>
                <w:lang w:eastAsia="zh-CN"/>
              </w:rPr>
              <w:t>产生的颗粒物</w:t>
            </w:r>
          </w:p>
          <w:p w14:paraId="742AADE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s="Times New Roman"/>
                <w:color w:val="auto"/>
                <w:highlight w:val="none"/>
                <w:lang w:eastAsia="zh-CN"/>
              </w:rPr>
            </w:pPr>
            <w:r>
              <w:rPr>
                <w:rFonts w:hint="default" w:ascii="Times New Roman" w:hAnsi="Times New Roman" w:eastAsia="宋体" w:cs="Times New Roman"/>
                <w:color w:val="auto"/>
                <w:sz w:val="24"/>
                <w:szCs w:val="24"/>
                <w:lang w:eastAsia="zh-CN"/>
              </w:rPr>
              <w:t>本项目</w:t>
            </w:r>
            <w:r>
              <w:rPr>
                <w:rFonts w:hint="eastAsia" w:cs="Times New Roman"/>
                <w:color w:val="auto"/>
                <w:spacing w:val="0"/>
                <w:sz w:val="24"/>
                <w:lang w:eastAsia="zh-CN"/>
              </w:rPr>
              <w:t>钢渣预选、除杂</w:t>
            </w:r>
            <w:r>
              <w:rPr>
                <w:rFonts w:hint="default" w:ascii="Times New Roman" w:hAnsi="Times New Roman" w:eastAsia="宋体" w:cs="Times New Roman"/>
                <w:color w:val="auto"/>
                <w:sz w:val="24"/>
                <w:szCs w:val="24"/>
                <w:lang w:eastAsia="zh-CN"/>
              </w:rPr>
              <w:t>工序粉尘产生量参照《排放源统计调查产排污核算方法和系数手册》（环境部公告2021年第</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eastAsia="zh-CN"/>
              </w:rPr>
              <w:t>号）“废弃资源综合利用行业系数手册”中</w:t>
            </w:r>
            <w:r>
              <w:rPr>
                <w:rFonts w:hint="default" w:ascii="Times New Roman" w:hAnsi="Times New Roman" w:eastAsia="宋体" w:cs="Times New Roman"/>
                <w:color w:val="auto"/>
                <w:sz w:val="24"/>
                <w:szCs w:val="24"/>
                <w:lang w:val="en-US" w:eastAsia="zh-CN"/>
              </w:rPr>
              <w:t>4210 金属废料和碎屑加工处理</w:t>
            </w:r>
            <w:r>
              <w:rPr>
                <w:rFonts w:hint="default" w:ascii="Times New Roman" w:hAnsi="Times New Roman" w:eastAsia="宋体" w:cs="Times New Roman"/>
                <w:color w:val="auto"/>
                <w:sz w:val="24"/>
                <w:szCs w:val="24"/>
                <w:lang w:eastAsia="zh-CN"/>
              </w:rPr>
              <w:t>行业产排污系数，</w:t>
            </w:r>
            <w:r>
              <w:rPr>
                <w:rFonts w:hint="eastAsia" w:cs="Times New Roman"/>
                <w:color w:val="auto"/>
                <w:sz w:val="24"/>
                <w:szCs w:val="24"/>
                <w:lang w:eastAsia="zh-CN"/>
              </w:rPr>
              <w:t>参照</w:t>
            </w:r>
            <w:r>
              <w:rPr>
                <w:rFonts w:hint="default" w:ascii="Times New Roman" w:hAnsi="Times New Roman" w:eastAsia="宋体" w:cs="Times New Roman"/>
                <w:color w:val="auto"/>
                <w:highlight w:val="none"/>
                <w:lang w:eastAsia="zh-CN"/>
              </w:rPr>
              <w:t>原料破碎、筛分工序</w:t>
            </w:r>
            <w:r>
              <w:rPr>
                <w:rFonts w:hint="default" w:ascii="Times New Roman" w:hAnsi="Times New Roman" w:eastAsia="宋体" w:cs="Times New Roman"/>
                <w:color w:val="auto"/>
                <w:highlight w:val="none"/>
              </w:rPr>
              <w:t>产生颗粒物</w:t>
            </w:r>
            <w:r>
              <w:rPr>
                <w:rFonts w:hint="eastAsia" w:cs="Times New Roman"/>
                <w:color w:val="auto"/>
                <w:highlight w:val="none"/>
                <w:lang w:val="en-US" w:eastAsia="zh-CN"/>
              </w:rPr>
              <w:t>660</w:t>
            </w:r>
            <w:r>
              <w:rPr>
                <w:rFonts w:hint="default" w:ascii="Times New Roman" w:hAnsi="Times New Roman" w:eastAsia="宋体" w:cs="Times New Roman"/>
                <w:color w:val="auto"/>
                <w:highlight w:val="none"/>
              </w:rPr>
              <w:t>g/t产品</w:t>
            </w:r>
            <w:r>
              <w:rPr>
                <w:rFonts w:hint="default" w:ascii="Times New Roman" w:hAnsi="Times New Roman" w:eastAsia="宋体" w:cs="Times New Roman"/>
                <w:color w:val="auto"/>
                <w:sz w:val="24"/>
                <w:szCs w:val="24"/>
                <w:lang w:eastAsia="zh-CN"/>
              </w:rPr>
              <w:t>计算，本项目原料</w:t>
            </w:r>
            <w:r>
              <w:rPr>
                <w:rFonts w:hint="eastAsia" w:cs="Times New Roman"/>
                <w:color w:val="auto"/>
                <w:sz w:val="24"/>
                <w:szCs w:val="24"/>
                <w:lang w:eastAsia="zh-CN"/>
              </w:rPr>
              <w:t>用量</w:t>
            </w:r>
            <w:r>
              <w:rPr>
                <w:rFonts w:hint="default" w:ascii="Times New Roman" w:hAnsi="Times New Roman" w:eastAsia="宋体" w:cs="Times New Roman"/>
                <w:color w:val="auto"/>
                <w:sz w:val="24"/>
                <w:szCs w:val="24"/>
                <w:lang w:eastAsia="zh-CN"/>
              </w:rPr>
              <w:t>为</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eastAsia="zh-CN"/>
              </w:rPr>
              <w:t>t/a，则颗粒物产生量为</w:t>
            </w:r>
            <w:r>
              <w:rPr>
                <w:rFonts w:hint="eastAsia" w:cs="Times New Roman"/>
                <w:color w:val="auto"/>
                <w:sz w:val="24"/>
                <w:szCs w:val="24"/>
                <w:lang w:val="en-US" w:eastAsia="zh-CN"/>
              </w:rPr>
              <w:t>66</w:t>
            </w:r>
            <w:r>
              <w:rPr>
                <w:rFonts w:hint="default" w:ascii="Times New Roman" w:hAnsi="Times New Roman" w:eastAsia="宋体" w:cs="Times New Roman"/>
                <w:color w:val="auto"/>
                <w:sz w:val="24"/>
                <w:szCs w:val="24"/>
                <w:lang w:eastAsia="zh-CN"/>
              </w:rPr>
              <w:t>t/a</w:t>
            </w:r>
            <w:r>
              <w:rPr>
                <w:rFonts w:hint="eastAsia" w:cs="Times New Roman"/>
                <w:color w:val="auto"/>
                <w:sz w:val="24"/>
                <w:szCs w:val="24"/>
                <w:lang w:eastAsia="zh-CN"/>
              </w:rPr>
              <w:t>。</w:t>
            </w:r>
            <w:r>
              <w:rPr>
                <w:rFonts w:hint="default" w:ascii="Times New Roman" w:hAnsi="Times New Roman" w:eastAsia="宋体" w:cs="Times New Roman"/>
                <w:color w:val="auto"/>
                <w:kern w:val="24"/>
                <w:highlight w:val="none"/>
              </w:rPr>
              <w:t>年运行时间为</w:t>
            </w:r>
            <w:r>
              <w:rPr>
                <w:rFonts w:hint="eastAsia" w:cs="Times New Roman"/>
                <w:color w:val="auto"/>
                <w:highlight w:val="none"/>
                <w:lang w:val="en-US" w:eastAsia="zh-CN"/>
              </w:rPr>
              <w:t>48</w:t>
            </w:r>
            <w:r>
              <w:rPr>
                <w:rFonts w:hint="default" w:ascii="Times New Roman" w:hAnsi="Times New Roman" w:eastAsia="宋体" w:cs="Times New Roman"/>
                <w:color w:val="auto"/>
                <w:highlight w:val="none"/>
                <w:lang w:val="en-US" w:eastAsia="zh-CN"/>
              </w:rPr>
              <w:t>00h（300d*</w:t>
            </w:r>
            <w:r>
              <w:rPr>
                <w:rFonts w:hint="eastAsia" w:cs="Times New Roman"/>
                <w:color w:val="auto"/>
                <w:highlight w:val="none"/>
                <w:lang w:val="en-US" w:eastAsia="zh-CN"/>
              </w:rPr>
              <w:t>16</w:t>
            </w:r>
            <w:r>
              <w:rPr>
                <w:rFonts w:hint="default" w:ascii="Times New Roman" w:hAnsi="Times New Roman" w:eastAsia="宋体" w:cs="Times New Roman"/>
                <w:color w:val="auto"/>
                <w:highlight w:val="none"/>
                <w:lang w:val="en-US"/>
              </w:rPr>
              <w:t>h</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w:t>
            </w:r>
            <w:r>
              <w:rPr>
                <w:rFonts w:hint="eastAsia" w:cs="Times New Roman"/>
                <w:color w:val="auto"/>
                <w:spacing w:val="0"/>
                <w:sz w:val="24"/>
                <w:lang w:eastAsia="zh-CN"/>
              </w:rPr>
              <w:t>钢渣预选、除杂</w:t>
            </w:r>
            <w:r>
              <w:rPr>
                <w:rFonts w:hint="default" w:ascii="Times New Roman" w:hAnsi="Times New Roman" w:eastAsia="宋体" w:cs="Times New Roman"/>
                <w:color w:val="auto"/>
                <w:sz w:val="24"/>
                <w:szCs w:val="24"/>
                <w:lang w:eastAsia="zh-CN"/>
              </w:rPr>
              <w:t>工序产生的废气经进料、出料口上方的集气罩收集</w:t>
            </w:r>
            <w:r>
              <w:rPr>
                <w:rFonts w:hint="eastAsia" w:cs="Times New Roman"/>
                <w:color w:val="auto"/>
                <w:sz w:val="24"/>
                <w:szCs w:val="24"/>
                <w:lang w:eastAsia="zh-CN"/>
              </w:rPr>
              <w:t>（收集率为</w:t>
            </w:r>
            <w:r>
              <w:rPr>
                <w:rFonts w:hint="eastAsia" w:cs="Times New Roman"/>
                <w:color w:val="auto"/>
                <w:sz w:val="24"/>
                <w:szCs w:val="24"/>
                <w:lang w:val="en-US" w:eastAsia="zh-CN"/>
              </w:rPr>
              <w:t>85%</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后通入脉冲布袋除尘器</w:t>
            </w:r>
            <w:r>
              <w:rPr>
                <w:rFonts w:hint="eastAsia" w:cs="Times New Roman"/>
                <w:color w:val="auto"/>
                <w:sz w:val="24"/>
                <w:szCs w:val="24"/>
                <w:lang w:eastAsia="zh-CN"/>
              </w:rPr>
              <w:t>（</w:t>
            </w:r>
            <w:r>
              <w:rPr>
                <w:rFonts w:hint="default" w:ascii="Times New Roman" w:hAnsi="Times New Roman" w:eastAsia="宋体" w:cs="Times New Roman"/>
                <w:color w:val="auto"/>
                <w:sz w:val="24"/>
                <w:szCs w:val="24"/>
                <w:highlight w:val="none"/>
                <w:lang w:eastAsia="zh-CN"/>
              </w:rPr>
              <w:t>风机风量为</w:t>
            </w:r>
            <w:r>
              <w:rPr>
                <w:rFonts w:hint="eastAsia" w:cs="Times New Roman"/>
                <w:color w:val="auto"/>
                <w:sz w:val="24"/>
                <w:szCs w:val="24"/>
                <w:highlight w:val="none"/>
                <w:lang w:val="en-US" w:eastAsia="zh-CN"/>
              </w:rPr>
              <w:t>21000</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/h，除尘效率</w:t>
            </w:r>
            <w:r>
              <w:rPr>
                <w:rFonts w:hint="default" w:ascii="Times New Roman" w:hAnsi="Times New Roman" w:eastAsia="宋体" w:cs="Times New Roman"/>
                <w:color w:val="auto"/>
                <w:sz w:val="24"/>
                <w:szCs w:val="24"/>
                <w:highlight w:val="none"/>
                <w:lang w:val="en-US" w:eastAsia="zh-CN"/>
              </w:rPr>
              <w:t>9</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处理后经</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lang w:eastAsia="zh-CN"/>
              </w:rPr>
              <w:t>m高排气筒</w:t>
            </w:r>
            <w:r>
              <w:rPr>
                <w:rFonts w:hint="default" w:ascii="Times New Roman" w:hAnsi="Times New Roman" w:eastAsia="宋体" w:cs="Times New Roman"/>
                <w:color w:val="auto"/>
                <w:highlight w:val="none"/>
                <w:lang w:val="en-US" w:eastAsia="zh-CN"/>
              </w:rPr>
              <w:t>（DA001）</w:t>
            </w:r>
            <w:r>
              <w:rPr>
                <w:rFonts w:hint="default" w:ascii="Times New Roman" w:hAnsi="Times New Roman" w:eastAsia="宋体" w:cs="Times New Roman"/>
                <w:color w:val="auto"/>
                <w:sz w:val="24"/>
                <w:szCs w:val="24"/>
                <w:lang w:eastAsia="zh-CN"/>
              </w:rPr>
              <w:t>排放</w:t>
            </w:r>
            <w:r>
              <w:rPr>
                <w:rFonts w:hint="eastAsia" w:cs="Times New Roman"/>
                <w:color w:val="auto"/>
                <w:sz w:val="24"/>
                <w:szCs w:val="24"/>
                <w:lang w:eastAsia="zh-CN"/>
              </w:rPr>
              <w:t>，未被集气罩收集的颗粒物经</w:t>
            </w:r>
            <w:r>
              <w:rPr>
                <w:rFonts w:hint="default" w:ascii="Times New Roman" w:hAnsi="Times New Roman" w:eastAsia="宋体" w:cs="Times New Roman"/>
                <w:color w:val="auto"/>
                <w:highlight w:val="none"/>
              </w:rPr>
              <w:t>封闭车间</w:t>
            </w:r>
            <w:r>
              <w:rPr>
                <w:rFonts w:hint="eastAsia" w:cs="Times New Roman"/>
                <w:color w:val="auto"/>
                <w:highlight w:val="none"/>
                <w:lang w:eastAsia="zh-CN"/>
              </w:rPr>
              <w:t>密闭（抑尘效率为</w:t>
            </w:r>
            <w:r>
              <w:rPr>
                <w:rFonts w:hint="eastAsia" w:cs="Times New Roman"/>
                <w:color w:val="auto"/>
                <w:highlight w:val="none"/>
                <w:lang w:val="en-US" w:eastAsia="zh-CN"/>
              </w:rPr>
              <w:t>60%</w:t>
            </w:r>
            <w:r>
              <w:rPr>
                <w:rFonts w:hint="eastAsia" w:cs="Times New Roman"/>
                <w:color w:val="auto"/>
                <w:highlight w:val="none"/>
                <w:lang w:eastAsia="zh-CN"/>
              </w:rPr>
              <w:t>）</w:t>
            </w:r>
            <w:r>
              <w:rPr>
                <w:rFonts w:hint="default" w:ascii="Times New Roman" w:hAnsi="Times New Roman" w:eastAsia="宋体" w:cs="Times New Roman"/>
                <w:color w:val="auto"/>
                <w:highlight w:val="none"/>
              </w:rPr>
              <w:t>处理</w:t>
            </w:r>
            <w:r>
              <w:rPr>
                <w:rFonts w:hint="eastAsia" w:cs="Times New Roman"/>
                <w:color w:val="auto"/>
                <w:sz w:val="24"/>
                <w:szCs w:val="24"/>
                <w:lang w:eastAsia="zh-CN"/>
              </w:rPr>
              <w:t>无组织排放</w:t>
            </w:r>
            <w:r>
              <w:rPr>
                <w:rFonts w:hint="eastAsia" w:cs="Times New Roman"/>
                <w:color w:val="auto"/>
                <w:highlight w:val="none"/>
                <w:lang w:eastAsia="zh-CN"/>
              </w:rPr>
              <w:t>。</w:t>
            </w:r>
          </w:p>
          <w:p w14:paraId="0B57AA4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4-1</w:t>
            </w:r>
            <w:r>
              <w:rPr>
                <w:rFonts w:hint="default" w:ascii="Times New Roman" w:hAnsi="Times New Roman" w:eastAsia="宋体" w:cs="Times New Roman"/>
                <w:b/>
                <w:bCs/>
                <w:color w:val="auto"/>
                <w:sz w:val="21"/>
                <w:szCs w:val="21"/>
                <w:lang w:eastAsia="zh-CN"/>
              </w:rPr>
              <w:t>项目废气</w:t>
            </w:r>
            <w:r>
              <w:rPr>
                <w:rFonts w:hint="eastAsia" w:cs="Times New Roman"/>
                <w:b/>
                <w:bCs/>
                <w:color w:val="auto"/>
                <w:sz w:val="21"/>
                <w:szCs w:val="21"/>
                <w:lang w:eastAsia="zh-CN"/>
              </w:rPr>
              <w:t>产、</w:t>
            </w:r>
            <w:r>
              <w:rPr>
                <w:rFonts w:hint="default" w:ascii="Times New Roman" w:hAnsi="Times New Roman" w:eastAsia="宋体" w:cs="Times New Roman"/>
                <w:b/>
                <w:bCs/>
                <w:color w:val="auto"/>
                <w:sz w:val="21"/>
                <w:szCs w:val="21"/>
                <w:lang w:eastAsia="zh-CN"/>
              </w:rPr>
              <w:t>排放</w:t>
            </w:r>
            <w:r>
              <w:rPr>
                <w:rFonts w:hint="default" w:ascii="Times New Roman" w:hAnsi="Times New Roman" w:eastAsia="宋体" w:cs="Times New Roman"/>
                <w:b/>
                <w:bCs/>
                <w:color w:val="auto"/>
                <w:sz w:val="21"/>
                <w:szCs w:val="21"/>
              </w:rPr>
              <w:t>情况一览表</w:t>
            </w:r>
          </w:p>
          <w:tbl>
            <w:tblPr>
              <w:tblStyle w:val="2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557"/>
              <w:gridCol w:w="677"/>
              <w:gridCol w:w="677"/>
              <w:gridCol w:w="760"/>
              <w:gridCol w:w="677"/>
              <w:gridCol w:w="760"/>
              <w:gridCol w:w="770"/>
              <w:gridCol w:w="775"/>
              <w:gridCol w:w="776"/>
              <w:gridCol w:w="865"/>
            </w:tblGrid>
            <w:tr w14:paraId="36E7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29" w:type="pct"/>
                  <w:vAlign w:val="center"/>
                </w:tcPr>
                <w:p w14:paraId="59E22133">
                  <w:pPr>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工序</w:t>
                  </w:r>
                </w:p>
              </w:tc>
              <w:tc>
                <w:tcPr>
                  <w:tcW w:w="349" w:type="pct"/>
                  <w:vAlign w:val="center"/>
                </w:tcPr>
                <w:p w14:paraId="3AB775D1">
                  <w:pPr>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424" w:type="pct"/>
                  <w:vAlign w:val="center"/>
                </w:tcPr>
                <w:p w14:paraId="08699B03">
                  <w:pPr>
                    <w:bidi w:val="0"/>
                    <w:spacing w:line="240" w:lineRule="auto"/>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收集率</w:t>
                  </w:r>
                </w:p>
              </w:tc>
              <w:tc>
                <w:tcPr>
                  <w:tcW w:w="424" w:type="pct"/>
                  <w:vAlign w:val="center"/>
                </w:tcPr>
                <w:p w14:paraId="2F8FC7BB">
                  <w:pPr>
                    <w:bidi w:val="0"/>
                    <w:spacing w:line="240" w:lineRule="auto"/>
                    <w:jc w:val="center"/>
                    <w:rPr>
                      <w:rFonts w:hint="default" w:ascii="Times New Roman" w:hAnsi="Times New Roman" w:eastAsia="宋体" w:cs="Times New Roman"/>
                      <w:b/>
                      <w:bCs/>
                      <w:color w:val="auto"/>
                      <w:sz w:val="21"/>
                      <w:szCs w:val="21"/>
                      <w:lang w:val="en-US" w:eastAsia="zh-CN"/>
                    </w:rPr>
                  </w:pPr>
                  <w:r>
                    <w:rPr>
                      <w:rFonts w:hint="eastAsia" w:cs="Times New Roman"/>
                      <w:color w:val="auto"/>
                      <w:sz w:val="21"/>
                      <w:szCs w:val="21"/>
                      <w:vertAlign w:val="baseline"/>
                      <w:lang w:val="en-US" w:eastAsia="zh-CN"/>
                    </w:rPr>
                    <w:t>/</w:t>
                  </w:r>
                </w:p>
              </w:tc>
              <w:tc>
                <w:tcPr>
                  <w:tcW w:w="476" w:type="pct"/>
                  <w:vAlign w:val="center"/>
                </w:tcPr>
                <w:p w14:paraId="10A2C920">
                  <w:pPr>
                    <w:bidi w:val="0"/>
                    <w:spacing w:line="240" w:lineRule="auto"/>
                    <w:ind w:left="0" w:leftChars="0" w:right="0" w:rightChars="0"/>
                    <w:jc w:val="center"/>
                    <w:rPr>
                      <w:rFonts w:hint="default" w:ascii="Times New Roman" w:hAnsi="Times New Roman" w:eastAsia="宋体" w:cs="Times New Roman"/>
                      <w:b/>
                      <w:bCs/>
                      <w:color w:val="auto"/>
                      <w:sz w:val="21"/>
                      <w:szCs w:val="21"/>
                      <w:lang w:val="en-US" w:eastAsia="zh-CN" w:bidi="zh-CN"/>
                    </w:rPr>
                  </w:pPr>
                  <w:r>
                    <w:rPr>
                      <w:rFonts w:hint="eastAsia" w:cs="Times New Roman"/>
                      <w:b/>
                      <w:bCs/>
                      <w:color w:val="auto"/>
                      <w:sz w:val="21"/>
                      <w:szCs w:val="21"/>
                      <w:lang w:val="en-US" w:eastAsia="zh-CN"/>
                    </w:rPr>
                    <w:t>产生量</w:t>
                  </w:r>
                  <w:r>
                    <w:rPr>
                      <w:rFonts w:hint="default" w:ascii="Times New Roman" w:hAnsi="Times New Roman" w:eastAsia="宋体" w:cs="Times New Roman"/>
                      <w:b/>
                      <w:bCs/>
                      <w:color w:val="auto"/>
                      <w:sz w:val="21"/>
                      <w:szCs w:val="21"/>
                      <w:lang w:val="en-US" w:eastAsia="zh-CN"/>
                    </w:rPr>
                    <w:t>(t/a)</w:t>
                  </w:r>
                </w:p>
              </w:tc>
              <w:tc>
                <w:tcPr>
                  <w:tcW w:w="424" w:type="pct"/>
                  <w:vAlign w:val="center"/>
                </w:tcPr>
                <w:p w14:paraId="02E4F46C">
                  <w:pPr>
                    <w:bidi w:val="0"/>
                    <w:spacing w:line="240" w:lineRule="auto"/>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产生</w:t>
                  </w:r>
                  <w:r>
                    <w:rPr>
                      <w:rFonts w:hint="default" w:ascii="Times New Roman" w:hAnsi="Times New Roman" w:eastAsia="宋体" w:cs="Times New Roman"/>
                      <w:b/>
                      <w:bCs/>
                      <w:color w:val="auto"/>
                      <w:sz w:val="21"/>
                      <w:szCs w:val="21"/>
                      <w:lang w:val="en-US" w:eastAsia="zh-CN"/>
                    </w:rPr>
                    <w:t>速率</w:t>
                  </w:r>
                </w:p>
                <w:p w14:paraId="5CB2DB79">
                  <w:pPr>
                    <w:bidi w:val="0"/>
                    <w:spacing w:line="240" w:lineRule="auto"/>
                    <w:ind w:left="0" w:leftChars="0" w:right="0" w:rightChars="0"/>
                    <w:jc w:val="center"/>
                    <w:rPr>
                      <w:rFonts w:hint="default" w:ascii="Times New Roman" w:hAnsi="Times New Roman" w:eastAsia="宋体" w:cs="Times New Roman"/>
                      <w:b/>
                      <w:bCs/>
                      <w:color w:val="auto"/>
                      <w:sz w:val="21"/>
                      <w:szCs w:val="21"/>
                      <w:lang w:val="en-US" w:eastAsia="zh-CN" w:bidi="zh-CN"/>
                    </w:rPr>
                  </w:pPr>
                  <w:r>
                    <w:rPr>
                      <w:rFonts w:hint="default" w:ascii="Times New Roman" w:hAnsi="Times New Roman" w:eastAsia="宋体" w:cs="Times New Roman"/>
                      <w:b/>
                      <w:bCs/>
                      <w:color w:val="auto"/>
                      <w:sz w:val="21"/>
                      <w:szCs w:val="21"/>
                      <w:lang w:val="en-US" w:eastAsia="zh-CN"/>
                    </w:rPr>
                    <w:t>(kg/h)</w:t>
                  </w:r>
                </w:p>
              </w:tc>
              <w:tc>
                <w:tcPr>
                  <w:tcW w:w="476" w:type="pct"/>
                  <w:vAlign w:val="center"/>
                </w:tcPr>
                <w:p w14:paraId="2A84152B">
                  <w:pPr>
                    <w:bidi w:val="0"/>
                    <w:spacing w:line="240" w:lineRule="auto"/>
                    <w:ind w:left="0" w:leftChars="0" w:right="0" w:rightChars="0"/>
                    <w:jc w:val="center"/>
                    <w:rPr>
                      <w:rFonts w:hint="default" w:ascii="Times New Roman" w:hAnsi="Times New Roman" w:eastAsia="宋体" w:cs="Times New Roman"/>
                      <w:b/>
                      <w:bCs/>
                      <w:color w:val="auto"/>
                      <w:sz w:val="21"/>
                      <w:szCs w:val="21"/>
                      <w:lang w:val="en-US" w:eastAsia="zh-CN" w:bidi="zh-CN"/>
                    </w:rPr>
                  </w:pPr>
                  <w:r>
                    <w:rPr>
                      <w:rFonts w:hint="default" w:ascii="Times New Roman" w:hAnsi="Times New Roman" w:eastAsia="宋体" w:cs="Times New Roman"/>
                      <w:b/>
                      <w:bCs/>
                      <w:color w:val="auto"/>
                      <w:sz w:val="21"/>
                      <w:szCs w:val="21"/>
                      <w:lang w:eastAsia="zh-CN"/>
                    </w:rPr>
                    <w:t>浓度</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cs="Times New Roman"/>
                      <w:b/>
                      <w:bCs/>
                      <w:color w:val="auto"/>
                      <w:sz w:val="21"/>
                      <w:szCs w:val="21"/>
                      <w:lang w:eastAsia="zh-CN"/>
                    </w:rPr>
                    <w:t>）</w:t>
                  </w:r>
                </w:p>
              </w:tc>
              <w:tc>
                <w:tcPr>
                  <w:tcW w:w="482" w:type="pct"/>
                  <w:vAlign w:val="center"/>
                </w:tcPr>
                <w:p w14:paraId="43744064">
                  <w:pPr>
                    <w:bidi w:val="0"/>
                    <w:spacing w:line="240" w:lineRule="auto"/>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处理效率</w:t>
                  </w:r>
                </w:p>
              </w:tc>
              <w:tc>
                <w:tcPr>
                  <w:tcW w:w="485" w:type="pct"/>
                  <w:vAlign w:val="center"/>
                </w:tcPr>
                <w:p w14:paraId="0DD5AB92">
                  <w:pPr>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排放量</w:t>
                  </w:r>
                </w:p>
                <w:p w14:paraId="0BD73D13">
                  <w:pPr>
                    <w:bidi w:val="0"/>
                    <w:spacing w:line="240" w:lineRule="auto"/>
                    <w:ind w:left="0" w:leftChars="0" w:right="0" w:rightChars="0"/>
                    <w:jc w:val="center"/>
                    <w:rPr>
                      <w:rFonts w:hint="eastAsia" w:ascii="Times New Roman" w:hAnsi="Times New Roman" w:eastAsia="宋体" w:cs="Times New Roman"/>
                      <w:b/>
                      <w:bCs/>
                      <w:color w:val="auto"/>
                      <w:sz w:val="21"/>
                      <w:szCs w:val="21"/>
                      <w:lang w:val="en-US" w:eastAsia="zh-CN" w:bidi="zh-CN"/>
                    </w:rPr>
                  </w:pPr>
                  <w:r>
                    <w:rPr>
                      <w:rFonts w:hint="default" w:ascii="Times New Roman" w:hAnsi="Times New Roman" w:eastAsia="宋体" w:cs="Times New Roman"/>
                      <w:b/>
                      <w:bCs/>
                      <w:color w:val="auto"/>
                      <w:sz w:val="21"/>
                      <w:szCs w:val="21"/>
                      <w:lang w:val="en-US" w:eastAsia="zh-CN"/>
                    </w:rPr>
                    <w:t>(t/a)</w:t>
                  </w:r>
                </w:p>
              </w:tc>
              <w:tc>
                <w:tcPr>
                  <w:tcW w:w="485" w:type="pct"/>
                  <w:vAlign w:val="center"/>
                </w:tcPr>
                <w:p w14:paraId="60AF80F3">
                  <w:pPr>
                    <w:bidi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排放速率</w:t>
                  </w:r>
                </w:p>
                <w:p w14:paraId="0B826966">
                  <w:pPr>
                    <w:bidi w:val="0"/>
                    <w:spacing w:line="240" w:lineRule="auto"/>
                    <w:ind w:left="0" w:leftChars="0" w:right="0" w:rightChars="0"/>
                    <w:jc w:val="center"/>
                    <w:rPr>
                      <w:rFonts w:hint="default" w:ascii="Times New Roman" w:hAnsi="Times New Roman" w:eastAsia="宋体" w:cs="Times New Roman"/>
                      <w:b/>
                      <w:bCs/>
                      <w:color w:val="auto"/>
                      <w:sz w:val="21"/>
                      <w:szCs w:val="21"/>
                      <w:lang w:val="en-US" w:eastAsia="zh-CN" w:bidi="zh-CN"/>
                    </w:rPr>
                  </w:pPr>
                  <w:r>
                    <w:rPr>
                      <w:rFonts w:hint="default" w:ascii="Times New Roman" w:hAnsi="Times New Roman" w:eastAsia="宋体" w:cs="Times New Roman"/>
                      <w:b/>
                      <w:bCs/>
                      <w:color w:val="auto"/>
                      <w:sz w:val="21"/>
                      <w:szCs w:val="21"/>
                      <w:lang w:val="en-US" w:eastAsia="zh-CN"/>
                    </w:rPr>
                    <w:t>(kg/h)</w:t>
                  </w:r>
                </w:p>
              </w:tc>
              <w:tc>
                <w:tcPr>
                  <w:tcW w:w="541" w:type="pct"/>
                  <w:vAlign w:val="center"/>
                </w:tcPr>
                <w:p w14:paraId="197B7547">
                  <w:pPr>
                    <w:bidi w:val="0"/>
                    <w:spacing w:line="240" w:lineRule="auto"/>
                    <w:ind w:left="0" w:leftChars="0" w:right="0" w:right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浓度</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cs="Times New Roman"/>
                      <w:b/>
                      <w:bCs/>
                      <w:color w:val="auto"/>
                      <w:sz w:val="21"/>
                      <w:szCs w:val="21"/>
                      <w:lang w:eastAsia="zh-CN"/>
                    </w:rPr>
                    <w:t>）</w:t>
                  </w:r>
                </w:p>
              </w:tc>
            </w:tr>
            <w:tr w14:paraId="379E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429" w:type="pct"/>
                  <w:vMerge w:val="restart"/>
                  <w:vAlign w:val="center"/>
                </w:tcPr>
                <w:p w14:paraId="6EAA4A7C">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钢渣预选、除杂工序</w:t>
                  </w:r>
                </w:p>
              </w:tc>
              <w:tc>
                <w:tcPr>
                  <w:tcW w:w="349" w:type="pct"/>
                  <w:vMerge w:val="restart"/>
                  <w:vAlign w:val="center"/>
                </w:tcPr>
                <w:p w14:paraId="123CF49A">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66</w:t>
                  </w:r>
                </w:p>
              </w:tc>
              <w:tc>
                <w:tcPr>
                  <w:tcW w:w="424" w:type="pct"/>
                  <w:vMerge w:val="restart"/>
                  <w:vAlign w:val="center"/>
                </w:tcPr>
                <w:p w14:paraId="64A1711C">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85%</w:t>
                  </w:r>
                </w:p>
              </w:tc>
              <w:tc>
                <w:tcPr>
                  <w:tcW w:w="424" w:type="pct"/>
                  <w:vAlign w:val="center"/>
                </w:tcPr>
                <w:p w14:paraId="270F8E20">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收集</w:t>
                  </w:r>
                </w:p>
              </w:tc>
              <w:tc>
                <w:tcPr>
                  <w:tcW w:w="476" w:type="pct"/>
                  <w:vAlign w:val="center"/>
                </w:tcPr>
                <w:p w14:paraId="43DCF38E">
                  <w:pPr>
                    <w:pStyle w:val="2"/>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bidi="ar-SA"/>
                    </w:rPr>
                    <w:t>56.1</w:t>
                  </w:r>
                </w:p>
              </w:tc>
              <w:tc>
                <w:tcPr>
                  <w:tcW w:w="424" w:type="pct"/>
                  <w:vAlign w:val="center"/>
                </w:tcPr>
                <w:p w14:paraId="2FBCCAD7">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11.688</w:t>
                  </w:r>
                </w:p>
              </w:tc>
              <w:tc>
                <w:tcPr>
                  <w:tcW w:w="476" w:type="pct"/>
                  <w:vAlign w:val="center"/>
                </w:tcPr>
                <w:p w14:paraId="5032BEA3">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1947.917</w:t>
                  </w:r>
                </w:p>
              </w:tc>
              <w:tc>
                <w:tcPr>
                  <w:tcW w:w="482" w:type="pct"/>
                  <w:vAlign w:val="center"/>
                </w:tcPr>
                <w:p w14:paraId="48428718">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99%</w:t>
                  </w:r>
                </w:p>
              </w:tc>
              <w:tc>
                <w:tcPr>
                  <w:tcW w:w="485" w:type="pct"/>
                  <w:vAlign w:val="center"/>
                </w:tcPr>
                <w:p w14:paraId="022AAAFB">
                  <w:pPr>
                    <w:pStyle w:val="2"/>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0.561</w:t>
                  </w:r>
                </w:p>
              </w:tc>
              <w:tc>
                <w:tcPr>
                  <w:tcW w:w="485" w:type="pct"/>
                  <w:vAlign w:val="center"/>
                </w:tcPr>
                <w:p w14:paraId="3D90BD0F">
                  <w:pPr>
                    <w:pStyle w:val="2"/>
                    <w:spacing w:line="240" w:lineRule="auto"/>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bidi="ar-SA"/>
                    </w:rPr>
                    <w:t>0.117</w:t>
                  </w:r>
                </w:p>
              </w:tc>
              <w:tc>
                <w:tcPr>
                  <w:tcW w:w="541" w:type="pct"/>
                  <w:vAlign w:val="center"/>
                </w:tcPr>
                <w:p w14:paraId="3F853C89">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19.479</w:t>
                  </w:r>
                </w:p>
              </w:tc>
            </w:tr>
            <w:tr w14:paraId="7F79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9" w:type="pct"/>
                  <w:vMerge w:val="continue"/>
                  <w:vAlign w:val="center"/>
                </w:tcPr>
                <w:p w14:paraId="306F352D">
                  <w:pPr>
                    <w:pStyle w:val="2"/>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349" w:type="pct"/>
                  <w:vMerge w:val="continue"/>
                  <w:vAlign w:val="center"/>
                </w:tcPr>
                <w:p w14:paraId="3ECF287A">
                  <w:pPr>
                    <w:pStyle w:val="2"/>
                    <w:spacing w:line="240" w:lineRule="auto"/>
                    <w:jc w:val="center"/>
                    <w:rPr>
                      <w:rFonts w:hint="eastAsia" w:ascii="Times New Roman" w:hAnsi="Times New Roman" w:eastAsia="宋体" w:cs="Times New Roman"/>
                      <w:color w:val="auto"/>
                      <w:sz w:val="21"/>
                      <w:szCs w:val="21"/>
                      <w:vertAlign w:val="baseline"/>
                      <w:lang w:val="en-US" w:eastAsia="zh-CN"/>
                    </w:rPr>
                  </w:pPr>
                </w:p>
              </w:tc>
              <w:tc>
                <w:tcPr>
                  <w:tcW w:w="424" w:type="pct"/>
                  <w:vMerge w:val="continue"/>
                  <w:vAlign w:val="center"/>
                </w:tcPr>
                <w:p w14:paraId="30B8A66A">
                  <w:pPr>
                    <w:pStyle w:val="2"/>
                    <w:spacing w:line="240" w:lineRule="auto"/>
                    <w:jc w:val="center"/>
                    <w:rPr>
                      <w:rFonts w:hint="eastAsia" w:cs="Times New Roman"/>
                      <w:color w:val="auto"/>
                      <w:sz w:val="21"/>
                      <w:szCs w:val="21"/>
                      <w:vertAlign w:val="baseline"/>
                      <w:lang w:val="en-US" w:eastAsia="zh-CN"/>
                    </w:rPr>
                  </w:pPr>
                </w:p>
              </w:tc>
              <w:tc>
                <w:tcPr>
                  <w:tcW w:w="424" w:type="pct"/>
                  <w:vAlign w:val="center"/>
                </w:tcPr>
                <w:p w14:paraId="1301F5B7">
                  <w:pPr>
                    <w:pStyle w:val="2"/>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未收集</w:t>
                  </w:r>
                </w:p>
              </w:tc>
              <w:tc>
                <w:tcPr>
                  <w:tcW w:w="476" w:type="pct"/>
                  <w:vAlign w:val="center"/>
                </w:tcPr>
                <w:p w14:paraId="1B14A8ED">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9.9</w:t>
                  </w:r>
                </w:p>
              </w:tc>
              <w:tc>
                <w:tcPr>
                  <w:tcW w:w="424" w:type="pct"/>
                  <w:vAlign w:val="center"/>
                </w:tcPr>
                <w:p w14:paraId="691C207A">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2.063</w:t>
                  </w:r>
                </w:p>
              </w:tc>
              <w:tc>
                <w:tcPr>
                  <w:tcW w:w="476" w:type="pct"/>
                  <w:vAlign w:val="center"/>
                </w:tcPr>
                <w:p w14:paraId="001F3FC7">
                  <w:pPr>
                    <w:pStyle w:val="2"/>
                    <w:spacing w:line="240" w:lineRule="auto"/>
                    <w:jc w:val="center"/>
                    <w:rPr>
                      <w:rFonts w:hint="default"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c>
                <w:tcPr>
                  <w:tcW w:w="482" w:type="pct"/>
                  <w:vAlign w:val="center"/>
                </w:tcPr>
                <w:p w14:paraId="516F18D3">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60%</w:t>
                  </w:r>
                </w:p>
              </w:tc>
              <w:tc>
                <w:tcPr>
                  <w:tcW w:w="485" w:type="pct"/>
                  <w:vAlign w:val="center"/>
                </w:tcPr>
                <w:p w14:paraId="6BCC0CEE">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3.960</w:t>
                  </w:r>
                </w:p>
              </w:tc>
              <w:tc>
                <w:tcPr>
                  <w:tcW w:w="485" w:type="pct"/>
                  <w:vAlign w:val="center"/>
                </w:tcPr>
                <w:p w14:paraId="68AE4118">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0.825</w:t>
                  </w:r>
                </w:p>
              </w:tc>
              <w:tc>
                <w:tcPr>
                  <w:tcW w:w="541" w:type="pct"/>
                  <w:vAlign w:val="center"/>
                </w:tcPr>
                <w:p w14:paraId="67511F6D">
                  <w:pPr>
                    <w:pStyle w:val="2"/>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37ECC2B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）成品</w:t>
            </w:r>
            <w:r>
              <w:rPr>
                <w:rFonts w:hint="default" w:ascii="Times New Roman" w:hAnsi="Times New Roman" w:eastAsia="宋体" w:cs="Times New Roman"/>
                <w:color w:val="auto"/>
                <w:spacing w:val="0"/>
                <w:sz w:val="24"/>
                <w:lang w:eastAsia="zh-CN"/>
              </w:rPr>
              <w:t>堆存、</w:t>
            </w:r>
            <w:r>
              <w:rPr>
                <w:rFonts w:hint="eastAsia" w:cs="Times New Roman"/>
                <w:color w:val="auto"/>
                <w:spacing w:val="0"/>
                <w:sz w:val="24"/>
                <w:lang w:eastAsia="zh-CN"/>
              </w:rPr>
              <w:t>转运</w:t>
            </w:r>
            <w:r>
              <w:rPr>
                <w:rFonts w:hint="default" w:ascii="Times New Roman" w:hAnsi="Times New Roman" w:eastAsia="宋体" w:cs="Times New Roman"/>
                <w:color w:val="auto"/>
                <w:spacing w:val="0"/>
                <w:sz w:val="24"/>
                <w:lang w:eastAsia="zh-CN"/>
              </w:rPr>
              <w:t>产生的颗粒物</w:t>
            </w:r>
          </w:p>
          <w:p w14:paraId="017D9C3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lang w:eastAsia="zh-CN"/>
              </w:rPr>
              <w:t>成品</w:t>
            </w:r>
            <w:r>
              <w:rPr>
                <w:rFonts w:hint="default" w:ascii="Times New Roman" w:hAnsi="Times New Roman" w:eastAsia="宋体" w:cs="Times New Roman"/>
                <w:color w:val="auto"/>
                <w:highlight w:val="none"/>
              </w:rPr>
              <w:t>堆存</w:t>
            </w:r>
            <w:r>
              <w:rPr>
                <w:rFonts w:hint="eastAsia" w:cs="Times New Roman"/>
                <w:color w:val="auto"/>
                <w:highlight w:val="none"/>
                <w:lang w:eastAsia="zh-CN"/>
              </w:rPr>
              <w:t>及转运等</w:t>
            </w:r>
            <w:r>
              <w:rPr>
                <w:rFonts w:hint="default" w:ascii="Times New Roman" w:hAnsi="Times New Roman" w:eastAsia="宋体" w:cs="Times New Roman"/>
                <w:color w:val="auto"/>
                <w:highlight w:val="none"/>
              </w:rPr>
              <w:t>过程中会产生粉尘，主要污染因子为颗粒物。</w:t>
            </w:r>
            <w:r>
              <w:rPr>
                <w:rFonts w:hint="eastAsia" w:cs="Times New Roman"/>
                <w:color w:val="auto"/>
                <w:highlight w:val="none"/>
                <w:lang w:eastAsia="zh-CN"/>
              </w:rPr>
              <w:t>此</w:t>
            </w:r>
            <w:r>
              <w:rPr>
                <w:rFonts w:hint="default" w:ascii="Times New Roman" w:hAnsi="Times New Roman" w:eastAsia="宋体" w:cs="Times New Roman"/>
                <w:color w:val="auto"/>
                <w:highlight w:val="none"/>
              </w:rPr>
              <w:t>过程粉尘采用喷淋+封闭车间等措施处理。参照《排放源统计调查产排污核算方法和系数手册》（环境部公告2021年第24号），附表</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工业源固体物料堆场颗粒物核算系数手册，工业企业固体物料堆存颗粒物包括装卸场尘和风蚀扬尘，颗粒物产生量核算公式如下：</w:t>
            </w:r>
          </w:p>
          <w:p w14:paraId="7888B993">
            <w:pPr>
              <w:pStyle w:val="2"/>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P=ZC</w:t>
            </w:r>
            <w:r>
              <w:rPr>
                <w:rFonts w:hint="default" w:ascii="Times New Roman" w:hAnsi="Times New Roman" w:eastAsia="宋体" w:cs="Times New Roman"/>
                <w:b w:val="0"/>
                <w:bCs w:val="0"/>
                <w:color w:val="auto"/>
                <w:highlight w:val="none"/>
                <w:vertAlign w:val="subscript"/>
              </w:rPr>
              <w:t>y</w:t>
            </w:r>
            <w:r>
              <w:rPr>
                <w:rFonts w:hint="default" w:ascii="Times New Roman" w:hAnsi="Times New Roman" w:eastAsia="宋体" w:cs="Times New Roman"/>
                <w:b w:val="0"/>
                <w:bCs w:val="0"/>
                <w:color w:val="auto"/>
                <w:highlight w:val="none"/>
              </w:rPr>
              <w:t>+FC={N</w:t>
            </w:r>
            <w:r>
              <w:rPr>
                <w:rFonts w:hint="default" w:ascii="Times New Roman" w:hAnsi="Times New Roman" w:eastAsia="宋体" w:cs="Times New Roman"/>
                <w:b w:val="0"/>
                <w:bCs w:val="0"/>
                <w:color w:val="auto"/>
                <w:highlight w:val="none"/>
                <w:vertAlign w:val="subscript"/>
                <w:lang w:val="en-US" w:eastAsia="zh-CN"/>
              </w:rPr>
              <w:t>c</w:t>
            </w:r>
            <w:r>
              <w:rPr>
                <w:rFonts w:hint="default" w:ascii="Times New Roman" w:hAnsi="Times New Roman" w:eastAsia="宋体" w:cs="Times New Roman"/>
                <w:b w:val="0"/>
                <w:bCs w:val="0"/>
                <w:color w:val="auto"/>
                <w:highlight w:val="none"/>
              </w:rPr>
              <w:t>×D×(a/b)+2×E</w:t>
            </w:r>
            <w:r>
              <w:rPr>
                <w:rFonts w:hint="default" w:ascii="Times New Roman" w:hAnsi="Times New Roman" w:eastAsia="宋体" w:cs="Times New Roman"/>
                <w:b w:val="0"/>
                <w:bCs w:val="0"/>
                <w:color w:val="auto"/>
                <w:highlight w:val="none"/>
                <w:vertAlign w:val="subscript"/>
                <w:lang w:val="en-US" w:eastAsia="zh-CN"/>
              </w:rPr>
              <w:t>f</w:t>
            </w:r>
            <w:r>
              <w:rPr>
                <w:rFonts w:hint="default" w:ascii="Times New Roman" w:hAnsi="Times New Roman" w:eastAsia="宋体" w:cs="Times New Roman"/>
                <w:b w:val="0"/>
                <w:bCs w:val="0"/>
                <w:color w:val="auto"/>
                <w:highlight w:val="none"/>
              </w:rPr>
              <w:t>×S}×10</w:t>
            </w:r>
            <w:r>
              <w:rPr>
                <w:rFonts w:hint="default" w:ascii="Times New Roman" w:hAnsi="Times New Roman" w:eastAsia="宋体" w:cs="Times New Roman"/>
                <w:b w:val="0"/>
                <w:bCs w:val="0"/>
                <w:color w:val="auto"/>
                <w:highlight w:val="none"/>
                <w:vertAlign w:val="superscript"/>
              </w:rPr>
              <w:t>-</w:t>
            </w:r>
            <w:r>
              <w:rPr>
                <w:rFonts w:hint="default" w:ascii="Times New Roman" w:hAnsi="Times New Roman" w:eastAsia="宋体" w:cs="Times New Roman"/>
                <w:b w:val="0"/>
                <w:bCs w:val="0"/>
                <w:color w:val="auto"/>
                <w:highlight w:val="none"/>
                <w:vertAlign w:val="superscript"/>
                <w:lang w:val="en-US" w:eastAsia="zh-CN"/>
              </w:rPr>
              <w:t>3</w:t>
            </w:r>
          </w:p>
          <w:p w14:paraId="0B6494A0">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式中：P指颗粒物产生量（单位：吨）；</w:t>
            </w:r>
          </w:p>
          <w:p w14:paraId="5D5630BA">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ZC</w:t>
            </w:r>
            <w:r>
              <w:rPr>
                <w:rFonts w:hint="default" w:ascii="Times New Roman" w:hAnsi="Times New Roman" w:eastAsia="宋体" w:cs="Times New Roman"/>
                <w:b w:val="0"/>
                <w:bCs w:val="0"/>
                <w:color w:val="auto"/>
                <w:highlight w:val="none"/>
                <w:vertAlign w:val="subscript"/>
                <w:lang w:val="en-US" w:eastAsia="zh-CN"/>
              </w:rPr>
              <w:t>y</w:t>
            </w:r>
            <w:r>
              <w:rPr>
                <w:rFonts w:hint="default" w:ascii="Times New Roman" w:hAnsi="Times New Roman" w:eastAsia="宋体" w:cs="Times New Roman"/>
                <w:b w:val="0"/>
                <w:bCs w:val="0"/>
                <w:color w:val="auto"/>
                <w:highlight w:val="none"/>
              </w:rPr>
              <w:t>指装卸扬尘产生量（单位：吨）；</w:t>
            </w:r>
          </w:p>
          <w:p w14:paraId="4C7A7EB8">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FC指风蚀扬尘产生量（单位：吨）；</w:t>
            </w:r>
          </w:p>
          <w:p w14:paraId="7AA00D2F">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N</w:t>
            </w:r>
            <w:r>
              <w:rPr>
                <w:rFonts w:hint="default" w:ascii="Times New Roman" w:hAnsi="Times New Roman" w:eastAsia="宋体" w:cs="Times New Roman"/>
                <w:b w:val="0"/>
                <w:bCs w:val="0"/>
                <w:color w:val="auto"/>
                <w:highlight w:val="none"/>
                <w:vertAlign w:val="subscript"/>
                <w:lang w:val="en-US" w:eastAsia="zh-CN"/>
              </w:rPr>
              <w:t>c</w:t>
            </w:r>
            <w:r>
              <w:rPr>
                <w:rFonts w:hint="default" w:ascii="Times New Roman" w:hAnsi="Times New Roman" w:eastAsia="宋体" w:cs="Times New Roman"/>
                <w:b w:val="0"/>
                <w:bCs w:val="0"/>
                <w:color w:val="auto"/>
                <w:highlight w:val="none"/>
              </w:rPr>
              <w:t>指年物料运载车次（单位：车）；</w:t>
            </w:r>
          </w:p>
          <w:p w14:paraId="2E57ACA6">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D指单车平均运载量（单位：吨/车）；</w:t>
            </w:r>
          </w:p>
          <w:p w14:paraId="221C8CE5">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（a/b）指装卸扬尘概化系数（单位：千克/吨），a指各省风速概化系数，见附录1，b指物料含水率概化系数，见附录2；</w:t>
            </w:r>
          </w:p>
          <w:p w14:paraId="4B2C4C75">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960" w:firstLineChars="4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E</w:t>
            </w:r>
            <w:r>
              <w:rPr>
                <w:rFonts w:hint="default" w:ascii="Times New Roman" w:hAnsi="Times New Roman" w:eastAsia="宋体" w:cs="Times New Roman"/>
                <w:b w:val="0"/>
                <w:bCs w:val="0"/>
                <w:color w:val="auto"/>
                <w:highlight w:val="none"/>
                <w:vertAlign w:val="subscript"/>
                <w:lang w:val="en-US" w:eastAsia="zh-CN"/>
              </w:rPr>
              <w:t>f</w:t>
            </w:r>
            <w:r>
              <w:rPr>
                <w:rFonts w:hint="default" w:ascii="Times New Roman" w:hAnsi="Times New Roman" w:eastAsia="宋体" w:cs="Times New Roman"/>
                <w:b w:val="0"/>
                <w:bCs w:val="0"/>
                <w:color w:val="auto"/>
                <w:highlight w:val="none"/>
              </w:rPr>
              <w:t>指堆场风蚀扬尘概化系数，见附录3（单位：千克/平方米）；</w:t>
            </w:r>
          </w:p>
          <w:p w14:paraId="1B443AC3">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right="0" w:firstLine="960" w:firstLineChars="40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val="0"/>
                <w:bCs w:val="0"/>
                <w:color w:val="auto"/>
                <w:highlight w:val="none"/>
              </w:rPr>
              <w:t>S指堆场占地面积（单位：平方米）。</w:t>
            </w:r>
          </w:p>
          <w:p w14:paraId="3953C00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根据本项目实际情况，查阅工业源固体物料堆场颗粒物核算系数手册，式</w:t>
            </w:r>
          </w:p>
          <w:p w14:paraId="2604FF5B">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中Nc×D为</w:t>
            </w:r>
            <w:r>
              <w:rPr>
                <w:rFonts w:hint="eastAsia" w:cs="Times New Roman"/>
                <w:color w:val="auto"/>
                <w:highlight w:val="none"/>
                <w:lang w:val="en-US" w:eastAsia="zh-CN"/>
              </w:rPr>
              <w:t>约9.9</w:t>
            </w:r>
            <w:r>
              <w:rPr>
                <w:rFonts w:hint="default" w:ascii="Times New Roman" w:hAnsi="Times New Roman" w:eastAsia="宋体" w:cs="Times New Roman"/>
                <w:color w:val="auto"/>
                <w:highlight w:val="none"/>
                <w:lang w:val="en-US" w:eastAsia="zh-CN"/>
              </w:rPr>
              <w:t>万t/a，a取0.0010，b取0.0005，E</w:t>
            </w:r>
            <w:r>
              <w:rPr>
                <w:rFonts w:hint="default" w:ascii="Times New Roman" w:hAnsi="Times New Roman" w:eastAsia="宋体" w:cs="Times New Roman"/>
                <w:color w:val="auto"/>
                <w:highlight w:val="none"/>
                <w:vertAlign w:val="subscript"/>
                <w:lang w:val="en-US" w:eastAsia="zh-CN"/>
              </w:rPr>
              <w:t>f</w:t>
            </w:r>
            <w:r>
              <w:rPr>
                <w:rFonts w:hint="default" w:ascii="Times New Roman" w:hAnsi="Times New Roman" w:eastAsia="宋体" w:cs="Times New Roman"/>
                <w:color w:val="auto"/>
                <w:highlight w:val="none"/>
                <w:lang w:val="en-US" w:eastAsia="zh-CN"/>
              </w:rPr>
              <w:t>取46.1652，S料场占地面积为</w:t>
            </w:r>
            <w:r>
              <w:rPr>
                <w:rFonts w:hint="eastAsia" w:cs="Times New Roman"/>
                <w:color w:val="auto"/>
                <w:highlight w:val="none"/>
                <w:lang w:val="en-US" w:eastAsia="zh-CN"/>
              </w:rPr>
              <w:t>372</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，则颗粒物产生量为</w:t>
            </w:r>
            <w:r>
              <w:rPr>
                <w:rFonts w:hint="eastAsia" w:cs="Times New Roman"/>
                <w:color w:val="auto"/>
                <w:highlight w:val="none"/>
                <w:lang w:val="en-US" w:eastAsia="zh-CN"/>
              </w:rPr>
              <w:t>232.347</w:t>
            </w:r>
            <w:r>
              <w:rPr>
                <w:rFonts w:hint="default"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w:t>
            </w:r>
          </w:p>
          <w:p w14:paraId="2842683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工业企业固体物料堆场颗粒物排放量核算公式如下：</w:t>
            </w:r>
          </w:p>
          <w:p w14:paraId="6140B35C">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U</w:t>
            </w:r>
            <w:r>
              <w:rPr>
                <w:rFonts w:hint="default" w:ascii="Times New Roman" w:hAnsi="Times New Roman" w:eastAsia="宋体" w:cs="Times New Roman"/>
                <w:b w:val="0"/>
                <w:bCs w:val="0"/>
                <w:color w:val="auto"/>
                <w:highlight w:val="none"/>
                <w:vertAlign w:val="subscript"/>
                <w:lang w:val="en-US" w:eastAsia="zh-CN"/>
              </w:rPr>
              <w:t>C</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P×（1-C</w:t>
            </w:r>
            <w:r>
              <w:rPr>
                <w:rFonts w:hint="default" w:ascii="Times New Roman" w:hAnsi="Times New Roman" w:eastAsia="宋体" w:cs="Times New Roman"/>
                <w:b w:val="0"/>
                <w:bCs w:val="0"/>
                <w:color w:val="auto"/>
                <w:highlight w:val="none"/>
                <w:vertAlign w:val="subscript"/>
                <w:lang w:val="en-US" w:eastAsia="zh-CN"/>
              </w:rPr>
              <w:t>m</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1-T</w:t>
            </w:r>
            <w:r>
              <w:rPr>
                <w:rFonts w:hint="default" w:ascii="Times New Roman" w:hAnsi="Times New Roman" w:eastAsia="宋体" w:cs="Times New Roman"/>
                <w:b w:val="0"/>
                <w:bCs w:val="0"/>
                <w:color w:val="auto"/>
                <w:highlight w:val="none"/>
                <w:vertAlign w:val="subscript"/>
                <w:lang w:val="en-US" w:eastAsia="zh-CN"/>
              </w:rPr>
              <w:t>m</w:t>
            </w:r>
            <w:r>
              <w:rPr>
                <w:rFonts w:hint="default" w:ascii="Times New Roman" w:hAnsi="Times New Roman" w:eastAsia="宋体" w:cs="Times New Roman"/>
                <w:b w:val="0"/>
                <w:bCs w:val="0"/>
                <w:color w:val="auto"/>
                <w:highlight w:val="none"/>
                <w:lang w:eastAsia="zh-CN"/>
              </w:rPr>
              <w:t>）</w:t>
            </w:r>
          </w:p>
          <w:p w14:paraId="6516B38E">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式中：P指颗粒物产生量（单位：吨）；</w:t>
            </w:r>
          </w:p>
          <w:p w14:paraId="58D7AC58">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U</w:t>
            </w:r>
            <w:r>
              <w:rPr>
                <w:rFonts w:hint="default" w:ascii="Times New Roman" w:hAnsi="Times New Roman" w:eastAsia="宋体" w:cs="Times New Roman"/>
                <w:b w:val="0"/>
                <w:bCs w:val="0"/>
                <w:color w:val="auto"/>
                <w:highlight w:val="none"/>
                <w:vertAlign w:val="subscript"/>
                <w:lang w:val="en-US" w:eastAsia="zh-CN"/>
              </w:rPr>
              <w:t>C</w:t>
            </w:r>
            <w:r>
              <w:rPr>
                <w:rFonts w:hint="default" w:ascii="Times New Roman" w:hAnsi="Times New Roman" w:eastAsia="宋体" w:cs="Times New Roman"/>
                <w:b w:val="0"/>
                <w:bCs w:val="0"/>
                <w:color w:val="auto"/>
                <w:highlight w:val="none"/>
              </w:rPr>
              <w:t>指</w:t>
            </w:r>
            <w:r>
              <w:rPr>
                <w:rFonts w:hint="default" w:ascii="Times New Roman" w:hAnsi="Times New Roman" w:eastAsia="宋体" w:cs="Times New Roman"/>
                <w:b w:val="0"/>
                <w:bCs w:val="0"/>
                <w:color w:val="auto"/>
                <w:highlight w:val="none"/>
                <w:lang w:eastAsia="zh-CN"/>
              </w:rPr>
              <w:t>颗粒物排放</w:t>
            </w:r>
            <w:r>
              <w:rPr>
                <w:rFonts w:hint="default" w:ascii="Times New Roman" w:hAnsi="Times New Roman" w:eastAsia="宋体" w:cs="Times New Roman"/>
                <w:b w:val="0"/>
                <w:bCs w:val="0"/>
                <w:color w:val="auto"/>
                <w:highlight w:val="none"/>
              </w:rPr>
              <w:t>量（单位：吨）；</w:t>
            </w:r>
          </w:p>
          <w:p w14:paraId="2C140C4E">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C</w:t>
            </w:r>
            <w:r>
              <w:rPr>
                <w:rFonts w:hint="default" w:ascii="Times New Roman" w:hAnsi="Times New Roman" w:eastAsia="宋体" w:cs="Times New Roman"/>
                <w:b w:val="0"/>
                <w:bCs w:val="0"/>
                <w:color w:val="auto"/>
                <w:highlight w:val="none"/>
                <w:vertAlign w:val="subscript"/>
                <w:lang w:val="en-US" w:eastAsia="zh-CN"/>
              </w:rPr>
              <w:t>m</w:t>
            </w:r>
            <w:r>
              <w:rPr>
                <w:rFonts w:hint="default" w:ascii="Times New Roman" w:hAnsi="Times New Roman" w:eastAsia="宋体" w:cs="Times New Roman"/>
                <w:b w:val="0"/>
                <w:bCs w:val="0"/>
                <w:color w:val="auto"/>
                <w:highlight w:val="none"/>
              </w:rPr>
              <w:t>指</w:t>
            </w:r>
            <w:r>
              <w:rPr>
                <w:rFonts w:hint="default" w:ascii="Times New Roman" w:hAnsi="Times New Roman" w:eastAsia="宋体" w:cs="Times New Roman"/>
                <w:b w:val="0"/>
                <w:bCs w:val="0"/>
                <w:color w:val="auto"/>
                <w:highlight w:val="none"/>
                <w:lang w:eastAsia="zh-CN"/>
              </w:rPr>
              <w:t>颗粒物控制措施控制效率</w:t>
            </w:r>
            <w:r>
              <w:rPr>
                <w:rFonts w:hint="default" w:ascii="Times New Roman" w:hAnsi="Times New Roman" w:eastAsia="宋体" w:cs="Times New Roman"/>
                <w:b w:val="0"/>
                <w:bCs w:val="0"/>
                <w:color w:val="auto"/>
                <w:highlight w:val="none"/>
              </w:rPr>
              <w:t>（单位：</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eastAsia="zh-CN"/>
              </w:rPr>
              <w:t>，见附录</w:t>
            </w:r>
            <w:r>
              <w:rPr>
                <w:rFonts w:hint="default" w:ascii="Times New Roman" w:hAnsi="Times New Roman" w:eastAsia="宋体" w:cs="Times New Roman"/>
                <w:b w:val="0"/>
                <w:bCs w:val="0"/>
                <w:color w:val="auto"/>
                <w:highlight w:val="none"/>
                <w:lang w:val="en-US" w:eastAsia="zh-CN"/>
              </w:rPr>
              <w:t>4</w:t>
            </w:r>
            <w:r>
              <w:rPr>
                <w:rFonts w:hint="default" w:ascii="Times New Roman" w:hAnsi="Times New Roman" w:eastAsia="宋体" w:cs="Times New Roman"/>
                <w:b w:val="0"/>
                <w:bCs w:val="0"/>
                <w:color w:val="auto"/>
                <w:highlight w:val="none"/>
              </w:rPr>
              <w:t>；</w:t>
            </w:r>
          </w:p>
          <w:p w14:paraId="274793BD">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00" w:lineRule="exact"/>
              <w:ind w:left="0" w:right="0" w:firstLine="1200" w:firstLineChars="5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T</w:t>
            </w:r>
            <w:r>
              <w:rPr>
                <w:rFonts w:hint="default" w:ascii="Times New Roman" w:hAnsi="Times New Roman" w:eastAsia="宋体" w:cs="Times New Roman"/>
                <w:b w:val="0"/>
                <w:bCs w:val="0"/>
                <w:color w:val="auto"/>
                <w:highlight w:val="none"/>
                <w:vertAlign w:val="subscript"/>
                <w:lang w:val="en-US" w:eastAsia="zh-CN"/>
              </w:rPr>
              <w:t>m</w:t>
            </w:r>
            <w:r>
              <w:rPr>
                <w:rFonts w:hint="default" w:ascii="Times New Roman" w:hAnsi="Times New Roman" w:eastAsia="宋体" w:cs="Times New Roman"/>
                <w:b w:val="0"/>
                <w:bCs w:val="0"/>
                <w:color w:val="auto"/>
                <w:highlight w:val="none"/>
              </w:rPr>
              <w:t>指</w:t>
            </w:r>
            <w:r>
              <w:rPr>
                <w:rFonts w:hint="default" w:ascii="Times New Roman" w:hAnsi="Times New Roman" w:eastAsia="宋体" w:cs="Times New Roman"/>
                <w:b w:val="0"/>
                <w:bCs w:val="0"/>
                <w:color w:val="auto"/>
                <w:highlight w:val="none"/>
                <w:lang w:eastAsia="zh-CN"/>
              </w:rPr>
              <w:t>堆场类型控制效率</w:t>
            </w:r>
            <w:r>
              <w:rPr>
                <w:rFonts w:hint="default" w:ascii="Times New Roman" w:hAnsi="Times New Roman" w:eastAsia="宋体" w:cs="Times New Roman"/>
                <w:b w:val="0"/>
                <w:bCs w:val="0"/>
                <w:color w:val="auto"/>
                <w:highlight w:val="none"/>
              </w:rPr>
              <w:t>（单位：</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eastAsia="zh-CN"/>
              </w:rPr>
              <w:t>，见附录</w:t>
            </w:r>
            <w:r>
              <w:rPr>
                <w:rFonts w:hint="default" w:ascii="Times New Roman" w:hAnsi="Times New Roman" w:eastAsia="宋体" w:cs="Times New Roman"/>
                <w:b w:val="0"/>
                <w:bCs w:val="0"/>
                <w:color w:val="auto"/>
                <w:highlight w:val="none"/>
                <w:lang w:val="en-US" w:eastAsia="zh-CN"/>
              </w:rPr>
              <w:t>5</w:t>
            </w:r>
            <w:r>
              <w:rPr>
                <w:rFonts w:hint="default" w:ascii="Times New Roman" w:hAnsi="Times New Roman" w:eastAsia="宋体" w:cs="Times New Roman"/>
                <w:b w:val="0"/>
                <w:bCs w:val="0"/>
                <w:color w:val="auto"/>
                <w:highlight w:val="none"/>
              </w:rPr>
              <w:t>；</w:t>
            </w:r>
          </w:p>
          <w:p w14:paraId="0AF971D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eastAsia="zh-CN"/>
              </w:rPr>
              <w:t>上述公式中C</w:t>
            </w:r>
            <w:r>
              <w:rPr>
                <w:rFonts w:hint="default" w:ascii="Times New Roman" w:hAnsi="Times New Roman" w:eastAsia="宋体" w:cs="Times New Roman"/>
                <w:color w:val="auto"/>
                <w:highlight w:val="none"/>
                <w:vertAlign w:val="subscript"/>
                <w:lang w:val="en-US" w:eastAsia="zh-CN"/>
              </w:rPr>
              <w:t>m</w:t>
            </w:r>
            <w:r>
              <w:rPr>
                <w:rFonts w:hint="default" w:ascii="Times New Roman" w:hAnsi="Times New Roman" w:eastAsia="宋体" w:cs="Times New Roman"/>
                <w:color w:val="auto"/>
                <w:highlight w:val="none"/>
                <w:lang w:eastAsia="zh-CN"/>
              </w:rPr>
              <w:t>为78%，T</w:t>
            </w:r>
            <w:r>
              <w:rPr>
                <w:rFonts w:hint="default" w:ascii="Times New Roman" w:hAnsi="Times New Roman" w:eastAsia="宋体" w:cs="Times New Roman"/>
                <w:color w:val="auto"/>
                <w:highlight w:val="none"/>
                <w:vertAlign w:val="subscript"/>
                <w:lang w:val="en-US" w:eastAsia="zh-CN"/>
              </w:rPr>
              <w:t>m</w:t>
            </w:r>
            <w:r>
              <w:rPr>
                <w:rFonts w:hint="default" w:ascii="Times New Roman" w:hAnsi="Times New Roman" w:eastAsia="宋体" w:cs="Times New Roman"/>
                <w:color w:val="auto"/>
                <w:highlight w:val="none"/>
                <w:lang w:eastAsia="zh-CN"/>
              </w:rPr>
              <w:t>为99%，</w:t>
            </w:r>
            <w:r>
              <w:rPr>
                <w:rFonts w:hint="default" w:ascii="Times New Roman" w:hAnsi="Times New Roman" w:eastAsia="宋体" w:cs="Times New Roman"/>
                <w:color w:val="auto"/>
                <w:kern w:val="24"/>
                <w:highlight w:val="none"/>
              </w:rPr>
              <w:t>年运行时间为</w:t>
            </w:r>
            <w:r>
              <w:rPr>
                <w:rFonts w:hint="eastAsia" w:cs="Times New Roman"/>
                <w:color w:val="auto"/>
                <w:highlight w:val="none"/>
                <w:lang w:val="en-US" w:eastAsia="zh-CN"/>
              </w:rPr>
              <w:t>48</w:t>
            </w:r>
            <w:r>
              <w:rPr>
                <w:rFonts w:hint="default" w:ascii="Times New Roman" w:hAnsi="Times New Roman" w:eastAsia="宋体" w:cs="Times New Roman"/>
                <w:color w:val="auto"/>
                <w:highlight w:val="none"/>
                <w:lang w:val="en-US" w:eastAsia="zh-CN"/>
              </w:rPr>
              <w:t>00h（300d*</w:t>
            </w:r>
            <w:r>
              <w:rPr>
                <w:rFonts w:hint="eastAsia" w:cs="Times New Roman"/>
                <w:color w:val="auto"/>
                <w:highlight w:val="none"/>
                <w:lang w:val="en-US" w:eastAsia="zh-CN"/>
              </w:rPr>
              <w:t>16</w:t>
            </w:r>
            <w:r>
              <w:rPr>
                <w:rFonts w:hint="default" w:ascii="Times New Roman" w:hAnsi="Times New Roman" w:eastAsia="宋体" w:cs="Times New Roman"/>
                <w:color w:val="auto"/>
                <w:highlight w:val="none"/>
                <w:lang w:val="en-US"/>
              </w:rPr>
              <w:t>h</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eastAsia="zh-CN"/>
              </w:rPr>
              <w:t>则颗粒物无组织排放量为</w:t>
            </w:r>
            <w:r>
              <w:rPr>
                <w:rFonts w:hint="eastAsia" w:cs="Times New Roman"/>
                <w:color w:val="auto"/>
                <w:highlight w:val="none"/>
                <w:lang w:val="en-US" w:eastAsia="zh-CN"/>
              </w:rPr>
              <w:t>0.511</w:t>
            </w:r>
            <w:r>
              <w:rPr>
                <w:rFonts w:hint="default" w:ascii="Times New Roman" w:hAnsi="Times New Roman" w:eastAsia="宋体" w:cs="Times New Roman"/>
                <w:color w:val="auto"/>
                <w:highlight w:val="none"/>
                <w:lang w:eastAsia="zh-CN"/>
              </w:rPr>
              <w:t>t/a，排放速率为</w:t>
            </w:r>
            <w:r>
              <w:rPr>
                <w:rFonts w:hint="eastAsia" w:cs="Times New Roman"/>
                <w:color w:val="auto"/>
                <w:highlight w:val="none"/>
                <w:lang w:val="en-US" w:eastAsia="zh-CN"/>
              </w:rPr>
              <w:t>0.106</w:t>
            </w:r>
            <w:r>
              <w:rPr>
                <w:rFonts w:hint="default" w:ascii="Times New Roman" w:hAnsi="Times New Roman" w:eastAsia="宋体" w:cs="Times New Roman"/>
                <w:color w:val="auto"/>
                <w:highlight w:val="none"/>
                <w:lang w:eastAsia="zh-CN"/>
              </w:rPr>
              <w:t>kg/h</w:t>
            </w:r>
            <w:r>
              <w:rPr>
                <w:rFonts w:hint="eastAsia" w:ascii="Times New Roman" w:hAnsi="Times New Roman" w:eastAsia="宋体" w:cs="Times New Roman"/>
                <w:color w:val="auto"/>
                <w:highlight w:val="none"/>
                <w:lang w:eastAsia="zh-CN"/>
              </w:rPr>
              <w:t>。</w:t>
            </w:r>
          </w:p>
          <w:p w14:paraId="147AD71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200" w:right="0" w:rightChars="0"/>
              <w:jc w:val="both"/>
              <w:textAlignment w:val="auto"/>
              <w:rPr>
                <w:rFonts w:hint="default" w:ascii="Times New Roman" w:hAnsi="Times New Roman" w:eastAsia="宋体" w:cs="Times New Roman"/>
                <w:color w:val="auto"/>
                <w:spacing w:val="0"/>
                <w:sz w:val="24"/>
                <w:lang w:eastAsia="zh-CN"/>
              </w:rPr>
            </w:pPr>
            <w:r>
              <w:rPr>
                <w:rFonts w:hint="default" w:ascii="Times New Roman" w:hAnsi="Times New Roman" w:eastAsia="宋体" w:cs="Times New Roman"/>
                <w:color w:val="auto"/>
                <w:lang w:eastAsia="zh-CN"/>
              </w:rPr>
              <w:t>（</w:t>
            </w:r>
            <w:r>
              <w:rPr>
                <w:rFonts w:hint="eastAsia"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pacing w:val="0"/>
                <w:sz w:val="24"/>
                <w:lang w:eastAsia="zh-CN"/>
              </w:rPr>
              <w:t>车辆运输产生的颗粒物</w:t>
            </w:r>
          </w:p>
          <w:p w14:paraId="4B888B26">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项目运输车辆在行驶过程中产生的扬尘，在道路完全干燥的情况下，按下列经验公式计算：</w:t>
            </w:r>
          </w:p>
          <w:p w14:paraId="37FA2017">
            <w:pPr>
              <w:pStyle w:val="7"/>
              <w:keepNext w:val="0"/>
              <w:keepLines w:val="0"/>
              <w:pageBreakBefore w:val="0"/>
              <w:widowControl w:val="0"/>
              <w:kinsoku/>
              <w:wordWrap/>
              <w:overflowPunct/>
              <w:topLinePunct w:val="0"/>
              <w:autoSpaceDE w:val="0"/>
              <w:autoSpaceDN w:val="0"/>
              <w:bidi w:val="0"/>
              <w:adjustRightInd w:val="0"/>
              <w:snapToGrid w:val="0"/>
              <w:spacing w:line="500" w:lineRule="exact"/>
              <w:ind w:left="0"/>
              <w:textAlignment w:val="auto"/>
              <w:rPr>
                <w:rFonts w:hint="default" w:ascii="Times New Roman" w:hAnsi="Times New Roman" w:eastAsia="宋体" w:cs="Times New Roman"/>
                <w:color w:val="auto"/>
                <w:spacing w:val="6"/>
                <w:sz w:val="24"/>
                <w:lang w:val="en-US" w:eastAsia="zh-CN"/>
              </w:rPr>
            </w:pPr>
            <m:oMathPara>
              <m:oMathParaPr>
                <m:jc m:val="center"/>
              </m:oMathParaPr>
              <m:oMath>
                <m:sSub>
                  <m:sSubPr>
                    <m:ctrlPr>
                      <w:rPr>
                        <w:rFonts w:hint="default" w:ascii="Cambria Math" w:hAnsi="Cambria Math" w:eastAsia="宋体" w:cs="Times New Roman"/>
                        <w:i w:val="0"/>
                        <w:color w:val="auto"/>
                        <w:spacing w:val="6"/>
                        <w:kern w:val="0"/>
                        <w:sz w:val="24"/>
                        <w:szCs w:val="24"/>
                        <w:lang w:val="en-US" w:eastAsia="zh-CN" w:bidi="zh-CN"/>
                      </w:rPr>
                    </m:ctrlPr>
                  </m:sSubPr>
                  <m:e>
                    <m:r>
                      <m:rPr>
                        <m:sty m:val="p"/>
                      </m:rPr>
                      <w:rPr>
                        <w:rFonts w:hint="default" w:ascii="Cambria Math" w:hAnsi="Cambria Math" w:eastAsia="宋体" w:cs="Times New Roman"/>
                        <w:color w:val="auto"/>
                        <w:spacing w:val="6"/>
                        <w:kern w:val="0"/>
                        <w:sz w:val="24"/>
                        <w:szCs w:val="24"/>
                        <w:lang w:val="en-US" w:eastAsia="zh-CN" w:bidi="zh-CN"/>
                      </w:rPr>
                      <m:t>Q</m:t>
                    </m:r>
                    <m:ctrlPr>
                      <w:rPr>
                        <w:rFonts w:hint="default" w:ascii="Cambria Math" w:hAnsi="Cambria Math" w:eastAsia="宋体" w:cs="Times New Roman"/>
                        <w:i w:val="0"/>
                        <w:color w:val="auto"/>
                        <w:spacing w:val="6"/>
                        <w:kern w:val="0"/>
                        <w:sz w:val="24"/>
                        <w:szCs w:val="24"/>
                        <w:lang w:val="en-US" w:eastAsia="zh-CN" w:bidi="zh-CN"/>
                      </w:rPr>
                    </m:ctrlPr>
                  </m:e>
                  <m:sub>
                    <m:r>
                      <m:rPr>
                        <m:sty m:val="p"/>
                      </m:rPr>
                      <w:rPr>
                        <w:rFonts w:hint="default" w:ascii="Cambria Math" w:hAnsi="Cambria Math" w:eastAsia="宋体" w:cs="Times New Roman"/>
                        <w:color w:val="auto"/>
                        <w:spacing w:val="6"/>
                        <w:kern w:val="0"/>
                        <w:sz w:val="24"/>
                        <w:szCs w:val="24"/>
                        <w:lang w:val="en-US" w:eastAsia="zh-CN" w:bidi="zh-CN"/>
                      </w:rPr>
                      <m:t>y</m:t>
                    </m:r>
                    <m:ctrlPr>
                      <w:rPr>
                        <w:rFonts w:hint="default" w:ascii="Cambria Math" w:hAnsi="Cambria Math" w:eastAsia="宋体" w:cs="Times New Roman"/>
                        <w:i w:val="0"/>
                        <w:color w:val="auto"/>
                        <w:spacing w:val="6"/>
                        <w:kern w:val="0"/>
                        <w:sz w:val="24"/>
                        <w:szCs w:val="24"/>
                        <w:lang w:val="en-US" w:eastAsia="zh-CN" w:bidi="zh-CN"/>
                      </w:rPr>
                    </m:ctrlPr>
                  </m:sub>
                </m:sSub>
                <m:r>
                  <m:rPr>
                    <m:sty m:val="p"/>
                  </m:rPr>
                  <w:rPr>
                    <w:rFonts w:hint="default" w:ascii="Cambria Math" w:hAnsi="Cambria Math" w:eastAsia="宋体" w:cs="Times New Roman"/>
                    <w:color w:val="auto"/>
                    <w:spacing w:val="6"/>
                    <w:kern w:val="0"/>
                    <w:sz w:val="24"/>
                    <w:szCs w:val="24"/>
                    <w:lang w:val="en-US" w:eastAsia="zh-CN" w:bidi="zh-CN"/>
                  </w:rPr>
                  <m:t>=0.123</m:t>
                </m:r>
                <m:r>
                  <m:rPr>
                    <m:sty m:val="p"/>
                  </m:rPr>
                  <w:rPr>
                    <w:rFonts w:hint="default" w:ascii="Cambria Math" w:hAnsi="Cambria Math" w:eastAsia="宋体" w:cs="Times New Roman"/>
                    <w:color w:val="auto"/>
                    <w:spacing w:val="6"/>
                    <w:kern w:val="0"/>
                    <w:sz w:val="24"/>
                    <w:szCs w:val="24"/>
                    <w:lang w:val="en-US" w:bidi="zh-CN"/>
                  </w:rPr>
                  <m:t>×(V/5)×</m:t>
                </m:r>
                <m:sSup>
                  <m:sSupPr>
                    <m:ctrlPr>
                      <w:rPr>
                        <w:rFonts w:hint="default" w:ascii="Cambria Math" w:hAnsi="Cambria Math" w:eastAsia="宋体" w:cs="Times New Roman"/>
                        <w:color w:val="auto"/>
                        <w:spacing w:val="6"/>
                        <w:kern w:val="0"/>
                        <w:sz w:val="24"/>
                        <w:szCs w:val="24"/>
                        <w:lang w:val="en-US" w:bidi="zh-CN"/>
                      </w:rPr>
                    </m:ctrlPr>
                  </m:sSupPr>
                  <m:e>
                    <m:r>
                      <m:rPr>
                        <m:sty m:val="p"/>
                      </m:rPr>
                      <w:rPr>
                        <w:rFonts w:hint="default" w:ascii="Cambria Math" w:hAnsi="Cambria Math" w:eastAsia="宋体" w:cs="Times New Roman"/>
                        <w:color w:val="auto"/>
                        <w:spacing w:val="6"/>
                        <w:kern w:val="0"/>
                        <w:sz w:val="24"/>
                        <w:szCs w:val="24"/>
                        <w:lang w:val="en-US" w:bidi="zh-CN"/>
                      </w:rPr>
                      <m:t>(W/6.8)</m:t>
                    </m:r>
                    <m:ctrlPr>
                      <w:rPr>
                        <w:rFonts w:hint="default" w:ascii="Cambria Math" w:hAnsi="Cambria Math" w:eastAsia="宋体" w:cs="Times New Roman"/>
                        <w:color w:val="auto"/>
                        <w:spacing w:val="6"/>
                        <w:kern w:val="0"/>
                        <w:sz w:val="24"/>
                        <w:szCs w:val="24"/>
                        <w:lang w:val="en-US" w:bidi="zh-CN"/>
                      </w:rPr>
                    </m:ctrlPr>
                  </m:e>
                  <m:sup>
                    <m:r>
                      <m:rPr/>
                      <w:rPr>
                        <w:rFonts w:hint="default" w:ascii="Cambria Math" w:hAnsi="Cambria Math" w:eastAsia="宋体" w:cs="Times New Roman"/>
                        <w:color w:val="auto"/>
                        <w:spacing w:val="6"/>
                        <w:kern w:val="0"/>
                        <w:sz w:val="24"/>
                        <w:szCs w:val="24"/>
                        <w:lang w:val="en-US" w:bidi="zh-CN"/>
                      </w:rPr>
                      <m:t>0.85</m:t>
                    </m:r>
                    <m:ctrlPr>
                      <w:rPr>
                        <w:rFonts w:hint="default" w:ascii="Cambria Math" w:hAnsi="Cambria Math" w:eastAsia="宋体" w:cs="Times New Roman"/>
                        <w:color w:val="auto"/>
                        <w:spacing w:val="6"/>
                        <w:kern w:val="0"/>
                        <w:sz w:val="24"/>
                        <w:szCs w:val="24"/>
                        <w:lang w:val="en-US" w:bidi="zh-CN"/>
                      </w:rPr>
                    </m:ctrlPr>
                  </m:sup>
                </m:sSup>
                <m:r>
                  <m:rPr>
                    <m:sty m:val="p"/>
                  </m:rPr>
                  <w:rPr>
                    <w:rFonts w:hint="default" w:ascii="Cambria Math" w:hAnsi="Cambria Math" w:eastAsia="宋体" w:cs="Times New Roman"/>
                    <w:color w:val="auto"/>
                    <w:spacing w:val="6"/>
                    <w:kern w:val="0"/>
                    <w:sz w:val="24"/>
                    <w:szCs w:val="24"/>
                    <w:lang w:val="en-US" w:bidi="zh-CN"/>
                  </w:rPr>
                  <m:t>×</m:t>
                </m:r>
                <m:sSup>
                  <m:sSupPr>
                    <m:ctrlPr>
                      <w:rPr>
                        <w:rFonts w:hint="default" w:ascii="Cambria Math" w:hAnsi="Cambria Math" w:eastAsia="宋体" w:cs="Times New Roman"/>
                        <w:color w:val="auto"/>
                        <w:spacing w:val="6"/>
                        <w:kern w:val="0"/>
                        <w:sz w:val="24"/>
                        <w:szCs w:val="24"/>
                        <w:lang w:val="en-US" w:bidi="zh-CN"/>
                      </w:rPr>
                    </m:ctrlPr>
                  </m:sSupPr>
                  <m:e>
                    <m:r>
                      <m:rPr>
                        <m:sty m:val="p"/>
                      </m:rPr>
                      <w:rPr>
                        <w:rFonts w:hint="default" w:ascii="Cambria Math" w:hAnsi="Cambria Math" w:eastAsia="宋体" w:cs="Times New Roman"/>
                        <w:color w:val="auto"/>
                        <w:spacing w:val="6"/>
                        <w:kern w:val="0"/>
                        <w:sz w:val="24"/>
                        <w:szCs w:val="24"/>
                        <w:lang w:val="en-US" w:bidi="zh-CN"/>
                      </w:rPr>
                      <m:t>(p/0.5)</m:t>
                    </m:r>
                    <m:ctrlPr>
                      <w:rPr>
                        <w:rFonts w:hint="default" w:ascii="Cambria Math" w:hAnsi="Cambria Math" w:eastAsia="宋体" w:cs="Times New Roman"/>
                        <w:color w:val="auto"/>
                        <w:spacing w:val="6"/>
                        <w:kern w:val="0"/>
                        <w:sz w:val="24"/>
                        <w:szCs w:val="24"/>
                        <w:lang w:val="en-US" w:bidi="zh-CN"/>
                      </w:rPr>
                    </m:ctrlPr>
                  </m:e>
                  <m:sup>
                    <m:r>
                      <m:rPr>
                        <m:sty m:val="p"/>
                      </m:rPr>
                      <w:rPr>
                        <w:rFonts w:hint="default" w:ascii="Cambria Math" w:hAnsi="Cambria Math" w:eastAsia="宋体" w:cs="Times New Roman"/>
                        <w:color w:val="auto"/>
                        <w:spacing w:val="6"/>
                        <w:kern w:val="0"/>
                        <w:sz w:val="24"/>
                        <w:szCs w:val="24"/>
                        <w:lang w:val="en-US" w:bidi="zh-CN"/>
                      </w:rPr>
                      <m:t>0.72</m:t>
                    </m:r>
                    <m:ctrlPr>
                      <w:rPr>
                        <w:rFonts w:hint="default" w:ascii="Cambria Math" w:hAnsi="Cambria Math" w:eastAsia="宋体" w:cs="Times New Roman"/>
                        <w:color w:val="auto"/>
                        <w:spacing w:val="6"/>
                        <w:kern w:val="0"/>
                        <w:sz w:val="24"/>
                        <w:szCs w:val="24"/>
                        <w:lang w:val="en-US" w:bidi="zh-CN"/>
                      </w:rPr>
                    </m:ctrlPr>
                  </m:sup>
                </m:sSup>
              </m:oMath>
            </m:oMathPara>
          </w:p>
          <w:p w14:paraId="653CC3F8">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式中：Q</w:t>
            </w:r>
            <w:r>
              <w:rPr>
                <w:rFonts w:hint="default" w:ascii="Times New Roman" w:hAnsi="Times New Roman" w:eastAsia="宋体" w:cs="Times New Roman"/>
                <w:color w:val="auto"/>
                <w:vertAlign w:val="subscript"/>
              </w:rPr>
              <w:t>y</w:t>
            </w:r>
            <w:r>
              <w:rPr>
                <w:rFonts w:hint="default" w:ascii="Times New Roman" w:hAnsi="Times New Roman" w:eastAsia="宋体" w:cs="Times New Roman"/>
                <w:color w:val="auto"/>
              </w:rPr>
              <w:t>——交通运输起尘量，kg/km·辆；</w:t>
            </w:r>
          </w:p>
          <w:p w14:paraId="090A0EF9">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1200" w:firstLineChars="5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V——车辆行驶速度，km/h；</w:t>
            </w:r>
          </w:p>
          <w:p w14:paraId="5227BC59">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1200" w:firstLineChars="5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W——汽车载重量，吨/辆；</w:t>
            </w:r>
          </w:p>
          <w:p w14:paraId="14BBB6ED">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1200" w:firstLineChars="5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P——路面状况，以每平米路面灰尘覆盖率表示，kg/m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14:paraId="3F173BA6">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项目车辆在厂区内行驶距离按</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m计，平均每天发空车、重载各</w:t>
            </w:r>
            <w:r>
              <w:rPr>
                <w:rFonts w:hint="eastAsia" w:cs="Times New Roman"/>
                <w:color w:val="auto"/>
                <w:highlight w:val="none"/>
                <w:lang w:val="en-US" w:eastAsia="zh-CN"/>
              </w:rPr>
              <w:t>14</w:t>
            </w:r>
            <w:r>
              <w:rPr>
                <w:rFonts w:hint="default" w:ascii="Times New Roman" w:hAnsi="Times New Roman" w:eastAsia="宋体" w:cs="Times New Roman"/>
                <w:color w:val="auto"/>
                <w:highlight w:val="none"/>
              </w:rPr>
              <w:t>辆·次；空车重约10.0t，重车重约</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0.0t，以20km/h的速度行驶，对道路路况以0.1kg/m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计，则经过核算，项目汽车动力起尘量为</w:t>
            </w:r>
            <w:r>
              <w:rPr>
                <w:rFonts w:hint="default" w:ascii="Times New Roman" w:hAnsi="Times New Roman" w:eastAsia="宋体" w:cs="Times New Roman"/>
                <w:color w:val="auto"/>
                <w:highlight w:val="none"/>
                <w:lang w:val="en-US" w:eastAsia="zh-CN"/>
              </w:rPr>
              <w:t>0.1</w:t>
            </w:r>
            <w:r>
              <w:rPr>
                <w:rFonts w:hint="eastAsia" w:cs="Times New Roman"/>
                <w:color w:val="auto"/>
                <w:highlight w:val="none"/>
                <w:lang w:val="en-US" w:eastAsia="zh-CN"/>
              </w:rPr>
              <w:t>33</w:t>
            </w:r>
            <w:r>
              <w:rPr>
                <w:rFonts w:hint="default" w:ascii="Times New Roman" w:hAnsi="Times New Roman" w:eastAsia="宋体" w:cs="Times New Roman"/>
                <w:color w:val="auto"/>
                <w:highlight w:val="none"/>
                <w:lang w:val="en-US" w:eastAsia="zh-CN"/>
              </w:rPr>
              <w:t>t</w:t>
            </w:r>
            <w:r>
              <w:rPr>
                <w:rFonts w:hint="default" w:ascii="Times New Roman" w:hAnsi="Times New Roman" w:eastAsia="宋体" w:cs="Times New Roman"/>
                <w:color w:val="auto"/>
                <w:highlight w:val="none"/>
              </w:rPr>
              <w:t>/a。通过采取物料表面遮盖，厂区内道路地面硬化、车辆在厂内减速行驶，并定期对厂区地面进行洒水抑尘的措施，</w:t>
            </w:r>
            <w:r>
              <w:rPr>
                <w:rFonts w:hint="default" w:ascii="Times New Roman" w:hAnsi="Times New Roman" w:eastAsia="宋体" w:cs="Times New Roman"/>
                <w:color w:val="auto"/>
                <w:highlight w:val="none"/>
                <w:lang w:eastAsia="zh-CN"/>
              </w:rPr>
              <w:t>厂区出入口处设置洗轮机清洗车辆，防止带泥上路。</w:t>
            </w:r>
            <w:r>
              <w:rPr>
                <w:rFonts w:hint="default" w:ascii="Times New Roman" w:hAnsi="Times New Roman" w:eastAsia="宋体" w:cs="Times New Roman"/>
                <w:color w:val="auto"/>
                <w:highlight w:val="none"/>
              </w:rPr>
              <w:t>道路运输产生的扬尘减少60%，年排放总量为</w:t>
            </w:r>
            <w:r>
              <w:rPr>
                <w:rFonts w:hint="default" w:ascii="Times New Roman" w:hAnsi="Times New Roman" w:eastAsia="宋体" w:cs="Times New Roman"/>
                <w:color w:val="auto"/>
                <w:highlight w:val="none"/>
                <w:lang w:val="en-US" w:eastAsia="zh-CN"/>
              </w:rPr>
              <w:t>0.0</w:t>
            </w:r>
            <w:r>
              <w:rPr>
                <w:rFonts w:hint="eastAsia" w:cs="Times New Roman"/>
                <w:color w:val="auto"/>
                <w:highlight w:val="none"/>
                <w:lang w:val="en-US" w:eastAsia="zh-CN"/>
              </w:rPr>
              <w:t>53</w:t>
            </w:r>
            <w:r>
              <w:rPr>
                <w:rFonts w:hint="default" w:ascii="Times New Roman" w:hAnsi="Times New Roman" w:eastAsia="宋体" w:cs="Times New Roman"/>
                <w:color w:val="auto"/>
                <w:highlight w:val="none"/>
                <w:lang w:val="en-US" w:eastAsia="zh-CN"/>
              </w:rPr>
              <w:t>t</w:t>
            </w:r>
            <w:r>
              <w:rPr>
                <w:rFonts w:hint="default" w:ascii="Times New Roman" w:hAnsi="Times New Roman" w:eastAsia="宋体" w:cs="Times New Roman"/>
                <w:color w:val="auto"/>
                <w:highlight w:val="none"/>
              </w:rPr>
              <w:t>/a。</w:t>
            </w:r>
          </w:p>
          <w:p w14:paraId="3F10DBFC">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1.2污染物排放源</w:t>
            </w:r>
          </w:p>
          <w:p w14:paraId="0B7FF6ED">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本项目废气产排情况见下表。</w:t>
            </w:r>
          </w:p>
          <w:p w14:paraId="07B9D107">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lang w:eastAsia="zh-CN"/>
              </w:rPr>
              <w:t>本项目废气排放</w:t>
            </w:r>
            <w:r>
              <w:rPr>
                <w:rFonts w:hint="default" w:ascii="Times New Roman" w:hAnsi="Times New Roman" w:eastAsia="宋体" w:cs="Times New Roman"/>
                <w:b/>
                <w:bCs/>
                <w:color w:val="auto"/>
                <w:sz w:val="21"/>
                <w:szCs w:val="21"/>
              </w:rPr>
              <w:t>情况一览表</w:t>
            </w:r>
          </w:p>
          <w:tbl>
            <w:tblPr>
              <w:tblStyle w:val="21"/>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44"/>
              <w:gridCol w:w="742"/>
              <w:gridCol w:w="612"/>
              <w:gridCol w:w="771"/>
              <w:gridCol w:w="717"/>
              <w:gridCol w:w="650"/>
              <w:gridCol w:w="533"/>
              <w:gridCol w:w="650"/>
              <w:gridCol w:w="700"/>
              <w:gridCol w:w="733"/>
              <w:gridCol w:w="592"/>
            </w:tblGrid>
            <w:tr w14:paraId="723E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22" w:type="pct"/>
                  <w:vMerge w:val="restart"/>
                  <w:tcBorders>
                    <w:tl2br w:val="nil"/>
                    <w:tr2bl w:val="nil"/>
                  </w:tcBorders>
                  <w:noWrap w:val="0"/>
                  <w:vAlign w:val="center"/>
                </w:tcPr>
                <w:p w14:paraId="3B8A8B41">
                  <w:pPr>
                    <w:pStyle w:val="34"/>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污染源</w:t>
                  </w:r>
                </w:p>
              </w:tc>
              <w:tc>
                <w:tcPr>
                  <w:tcW w:w="863" w:type="pct"/>
                  <w:gridSpan w:val="2"/>
                  <w:vMerge w:val="restart"/>
                  <w:tcBorders>
                    <w:tl2br w:val="nil"/>
                    <w:tr2bl w:val="nil"/>
                  </w:tcBorders>
                  <w:noWrap w:val="0"/>
                  <w:vAlign w:val="center"/>
                </w:tcPr>
                <w:p w14:paraId="05CBAAD0">
                  <w:pPr>
                    <w:pStyle w:val="34"/>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工序</w:t>
                  </w:r>
                </w:p>
              </w:tc>
              <w:tc>
                <w:tcPr>
                  <w:tcW w:w="381" w:type="pct"/>
                  <w:vMerge w:val="restart"/>
                  <w:tcBorders>
                    <w:tl2br w:val="nil"/>
                    <w:tr2bl w:val="nil"/>
                  </w:tcBorders>
                  <w:noWrap w:val="0"/>
                  <w:vAlign w:val="center"/>
                </w:tcPr>
                <w:p w14:paraId="5155AD25">
                  <w:pPr>
                    <w:pStyle w:val="34"/>
                    <w:ind w:left="0" w:leftChars="0" w:right="0" w:rightChars="0" w:firstLine="0" w:firstLineChars="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收集效率</w:t>
                  </w:r>
                  <w:r>
                    <w:rPr>
                      <w:rFonts w:hint="eastAsia" w:cs="Times New Roman"/>
                      <w:b/>
                      <w:bCs/>
                      <w:color w:val="auto"/>
                      <w:sz w:val="21"/>
                      <w:szCs w:val="21"/>
                      <w:lang w:val="en-US" w:eastAsia="zh-CN"/>
                    </w:rPr>
                    <w:t>%</w:t>
                  </w:r>
                </w:p>
              </w:tc>
              <w:tc>
                <w:tcPr>
                  <w:tcW w:w="480" w:type="pct"/>
                  <w:vMerge w:val="restart"/>
                  <w:tcBorders>
                    <w:tl2br w:val="nil"/>
                    <w:tr2bl w:val="nil"/>
                  </w:tcBorders>
                  <w:noWrap w:val="0"/>
                  <w:vAlign w:val="center"/>
                </w:tcPr>
                <w:p w14:paraId="0B445136">
                  <w:pPr>
                    <w:pStyle w:val="34"/>
                    <w:ind w:left="0" w:leftChars="0" w:right="0" w:rightChars="0" w:firstLine="0" w:firstLineChars="0"/>
                    <w:rPr>
                      <w:rFonts w:hint="default" w:ascii="Times New Roman" w:hAnsi="Times New Roman" w:eastAsia="宋体" w:cs="Times New Roman"/>
                      <w:b/>
                      <w:bCs/>
                      <w:color w:val="auto"/>
                      <w:sz w:val="21"/>
                      <w:szCs w:val="21"/>
                      <w:lang w:val="zh-CN" w:eastAsia="zh-CN" w:bidi="zh-CN"/>
                    </w:rPr>
                  </w:pPr>
                  <w:r>
                    <w:rPr>
                      <w:rFonts w:hint="default" w:ascii="Times New Roman" w:hAnsi="Times New Roman" w:eastAsia="宋体" w:cs="Times New Roman"/>
                      <w:b/>
                      <w:bCs/>
                      <w:color w:val="auto"/>
                      <w:sz w:val="21"/>
                      <w:szCs w:val="21"/>
                      <w:lang w:eastAsia="zh-CN"/>
                    </w:rPr>
                    <w:t>污染物</w:t>
                  </w:r>
                </w:p>
                <w:p w14:paraId="0DE9E49E">
                  <w:pPr>
                    <w:pStyle w:val="34"/>
                    <w:ind w:left="0" w:leftChars="0" w:right="0" w:rightChars="0" w:firstLine="0" w:firstLineChars="0"/>
                    <w:rPr>
                      <w:rFonts w:hint="default" w:ascii="Times New Roman" w:hAnsi="Times New Roman" w:eastAsia="宋体" w:cs="Times New Roman"/>
                      <w:b/>
                      <w:bCs/>
                      <w:color w:val="auto"/>
                      <w:sz w:val="21"/>
                      <w:szCs w:val="21"/>
                      <w:lang w:eastAsia="zh-CN"/>
                    </w:rPr>
                  </w:pPr>
                </w:p>
              </w:tc>
              <w:tc>
                <w:tcPr>
                  <w:tcW w:w="1184" w:type="pct"/>
                  <w:gridSpan w:val="3"/>
                  <w:tcBorders>
                    <w:tl2br w:val="nil"/>
                    <w:tr2bl w:val="nil"/>
                  </w:tcBorders>
                  <w:noWrap w:val="0"/>
                  <w:vAlign w:val="center"/>
                </w:tcPr>
                <w:p w14:paraId="6B9110FF">
                  <w:pPr>
                    <w:pStyle w:val="34"/>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产生</w:t>
                  </w:r>
                  <w:r>
                    <w:rPr>
                      <w:rFonts w:hint="default" w:ascii="Times New Roman" w:hAnsi="Times New Roman" w:eastAsia="宋体" w:cs="Times New Roman"/>
                      <w:b/>
                      <w:bCs/>
                      <w:color w:val="auto"/>
                      <w:sz w:val="21"/>
                      <w:szCs w:val="21"/>
                      <w:lang w:eastAsia="zh-CN"/>
                    </w:rPr>
                    <w:t>情况</w:t>
                  </w:r>
                </w:p>
              </w:tc>
              <w:tc>
                <w:tcPr>
                  <w:tcW w:w="405" w:type="pct"/>
                  <w:vMerge w:val="restart"/>
                  <w:tcBorders>
                    <w:tl2br w:val="nil"/>
                    <w:tr2bl w:val="nil"/>
                  </w:tcBorders>
                  <w:noWrap w:val="0"/>
                  <w:vAlign w:val="center"/>
                </w:tcPr>
                <w:p w14:paraId="0CB6FF26">
                  <w:pPr>
                    <w:pStyle w:val="34"/>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处理效率</w:t>
                  </w:r>
                </w:p>
                <w:p w14:paraId="5EA7D84D">
                  <w:pPr>
                    <w:pStyle w:val="34"/>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w:t>
                  </w:r>
                </w:p>
              </w:tc>
              <w:tc>
                <w:tcPr>
                  <w:tcW w:w="1262" w:type="pct"/>
                  <w:gridSpan w:val="3"/>
                  <w:tcBorders>
                    <w:tl2br w:val="nil"/>
                    <w:tr2bl w:val="nil"/>
                  </w:tcBorders>
                  <w:noWrap w:val="0"/>
                  <w:vAlign w:val="center"/>
                </w:tcPr>
                <w:p w14:paraId="4F1A9640">
                  <w:pPr>
                    <w:pStyle w:val="34"/>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排放情况</w:t>
                  </w:r>
                </w:p>
              </w:tc>
            </w:tr>
            <w:tr w14:paraId="2986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422" w:type="pct"/>
                  <w:vMerge w:val="continue"/>
                  <w:tcBorders>
                    <w:tl2br w:val="nil"/>
                    <w:tr2bl w:val="nil"/>
                  </w:tcBorders>
                  <w:noWrap w:val="0"/>
                  <w:vAlign w:val="center"/>
                </w:tcPr>
                <w:p w14:paraId="1F67D277">
                  <w:pPr>
                    <w:pStyle w:val="34"/>
                    <w:rPr>
                      <w:rFonts w:hint="default" w:ascii="Times New Roman" w:hAnsi="Times New Roman" w:eastAsia="宋体" w:cs="Times New Roman"/>
                      <w:b/>
                      <w:bCs/>
                      <w:color w:val="auto"/>
                      <w:sz w:val="21"/>
                      <w:szCs w:val="21"/>
                    </w:rPr>
                  </w:pPr>
                </w:p>
              </w:tc>
              <w:tc>
                <w:tcPr>
                  <w:tcW w:w="863" w:type="pct"/>
                  <w:gridSpan w:val="2"/>
                  <w:vMerge w:val="continue"/>
                  <w:tcBorders>
                    <w:tl2br w:val="nil"/>
                    <w:tr2bl w:val="nil"/>
                  </w:tcBorders>
                  <w:noWrap w:val="0"/>
                  <w:vAlign w:val="center"/>
                </w:tcPr>
                <w:p w14:paraId="7995F7E5">
                  <w:pPr>
                    <w:pStyle w:val="34"/>
                    <w:rPr>
                      <w:rFonts w:hint="default" w:ascii="Times New Roman" w:hAnsi="Times New Roman" w:eastAsia="宋体" w:cs="Times New Roman"/>
                      <w:b/>
                      <w:bCs/>
                      <w:color w:val="auto"/>
                      <w:sz w:val="21"/>
                      <w:szCs w:val="21"/>
                    </w:rPr>
                  </w:pPr>
                </w:p>
              </w:tc>
              <w:tc>
                <w:tcPr>
                  <w:tcW w:w="381" w:type="pct"/>
                  <w:vMerge w:val="continue"/>
                  <w:tcBorders>
                    <w:tl2br w:val="nil"/>
                    <w:tr2bl w:val="nil"/>
                  </w:tcBorders>
                  <w:noWrap w:val="0"/>
                  <w:vAlign w:val="center"/>
                </w:tcPr>
                <w:p w14:paraId="72D3EFDE">
                  <w:pPr>
                    <w:pStyle w:val="34"/>
                    <w:rPr>
                      <w:rFonts w:hint="default" w:ascii="Times New Roman" w:hAnsi="Times New Roman" w:eastAsia="宋体" w:cs="Times New Roman"/>
                      <w:b/>
                      <w:bCs/>
                      <w:color w:val="auto"/>
                      <w:sz w:val="21"/>
                      <w:szCs w:val="21"/>
                    </w:rPr>
                  </w:pPr>
                </w:p>
              </w:tc>
              <w:tc>
                <w:tcPr>
                  <w:tcW w:w="480" w:type="pct"/>
                  <w:vMerge w:val="continue"/>
                  <w:tcBorders>
                    <w:tl2br w:val="nil"/>
                    <w:tr2bl w:val="nil"/>
                  </w:tcBorders>
                  <w:noWrap w:val="0"/>
                  <w:vAlign w:val="center"/>
                </w:tcPr>
                <w:p w14:paraId="02BEA371">
                  <w:pPr>
                    <w:pStyle w:val="34"/>
                    <w:rPr>
                      <w:rFonts w:hint="default" w:ascii="Times New Roman" w:hAnsi="Times New Roman" w:eastAsia="宋体" w:cs="Times New Roman"/>
                      <w:b/>
                      <w:bCs/>
                      <w:color w:val="auto"/>
                      <w:sz w:val="21"/>
                      <w:szCs w:val="21"/>
                    </w:rPr>
                  </w:pPr>
                </w:p>
              </w:tc>
              <w:tc>
                <w:tcPr>
                  <w:tcW w:w="446" w:type="pct"/>
                  <w:tcBorders>
                    <w:tl2br w:val="nil"/>
                    <w:tr2bl w:val="nil"/>
                  </w:tcBorders>
                  <w:noWrap w:val="0"/>
                  <w:vAlign w:val="center"/>
                </w:tcPr>
                <w:p w14:paraId="71454AB1">
                  <w:pPr>
                    <w:pStyle w:val="34"/>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产生量</w:t>
                  </w:r>
                  <w:r>
                    <w:rPr>
                      <w:rFonts w:hint="default" w:ascii="Times New Roman" w:hAnsi="Times New Roman" w:eastAsia="宋体" w:cs="Times New Roman"/>
                      <w:b/>
                      <w:bCs/>
                      <w:color w:val="auto"/>
                      <w:sz w:val="21"/>
                      <w:szCs w:val="21"/>
                      <w:lang w:val="en-US" w:eastAsia="zh-CN"/>
                    </w:rPr>
                    <w:t>t</w:t>
                  </w:r>
                  <w:r>
                    <w:rPr>
                      <w:rFonts w:hint="default" w:ascii="Times New Roman" w:hAnsi="Times New Roman" w:eastAsia="宋体" w:cs="Times New Roman"/>
                      <w:b/>
                      <w:bCs/>
                      <w:color w:val="auto"/>
                      <w:sz w:val="21"/>
                      <w:szCs w:val="21"/>
                      <w:lang w:eastAsia="zh-CN"/>
                    </w:rPr>
                    <w:t>/a</w:t>
                  </w:r>
                </w:p>
              </w:tc>
              <w:tc>
                <w:tcPr>
                  <w:tcW w:w="405" w:type="pct"/>
                  <w:tcBorders>
                    <w:tl2br w:val="nil"/>
                    <w:tr2bl w:val="nil"/>
                  </w:tcBorders>
                  <w:noWrap w:val="0"/>
                  <w:vAlign w:val="center"/>
                </w:tcPr>
                <w:p w14:paraId="5579A40E">
                  <w:pPr>
                    <w:pStyle w:val="34"/>
                    <w:ind w:left="0" w:leftChars="0" w:right="0" w:rightChars="0" w:firstLine="0" w:firstLineChars="0"/>
                    <w:rPr>
                      <w:rFonts w:hint="default" w:ascii="Times New Roman" w:hAnsi="Times New Roman" w:eastAsia="宋体" w:cs="Times New Roman"/>
                      <w:b/>
                      <w:bCs/>
                      <w:color w:val="auto"/>
                      <w:sz w:val="21"/>
                      <w:szCs w:val="21"/>
                      <w:lang w:val="en-US" w:eastAsia="zh-CN" w:bidi="zh-CN"/>
                    </w:rPr>
                  </w:pPr>
                  <w:r>
                    <w:rPr>
                      <w:rFonts w:hint="default" w:ascii="Times New Roman" w:hAnsi="Times New Roman" w:eastAsia="宋体" w:cs="Times New Roman"/>
                      <w:b/>
                      <w:bCs/>
                      <w:color w:val="auto"/>
                      <w:sz w:val="21"/>
                      <w:szCs w:val="21"/>
                      <w:lang w:eastAsia="zh-CN"/>
                    </w:rPr>
                    <w:t>速率</w:t>
                  </w:r>
                  <w:r>
                    <w:rPr>
                      <w:rFonts w:hint="default" w:ascii="Times New Roman" w:hAnsi="Times New Roman" w:eastAsia="宋体" w:cs="Times New Roman"/>
                      <w:b/>
                      <w:bCs/>
                      <w:color w:val="auto"/>
                      <w:sz w:val="21"/>
                      <w:szCs w:val="21"/>
                      <w:lang w:val="en-US" w:eastAsia="zh-CN"/>
                    </w:rPr>
                    <w:t>kg</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h</w:t>
                  </w:r>
                </w:p>
              </w:tc>
              <w:tc>
                <w:tcPr>
                  <w:tcW w:w="332" w:type="pct"/>
                  <w:tcBorders>
                    <w:tl2br w:val="nil"/>
                    <w:tr2bl w:val="nil"/>
                  </w:tcBorders>
                  <w:noWrap w:val="0"/>
                  <w:vAlign w:val="center"/>
                </w:tcPr>
                <w:p w14:paraId="03DF53F4">
                  <w:pPr>
                    <w:pStyle w:val="34"/>
                    <w:ind w:firstLine="0" w:firstLineChars="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405" w:type="pct"/>
                  <w:vMerge w:val="continue"/>
                  <w:tcBorders>
                    <w:tl2br w:val="nil"/>
                    <w:tr2bl w:val="nil"/>
                  </w:tcBorders>
                  <w:noWrap w:val="0"/>
                  <w:vAlign w:val="center"/>
                </w:tcPr>
                <w:p w14:paraId="0F3B79D2">
                  <w:pPr>
                    <w:pStyle w:val="34"/>
                    <w:rPr>
                      <w:rFonts w:hint="default" w:ascii="Times New Roman" w:hAnsi="Times New Roman" w:eastAsia="宋体" w:cs="Times New Roman"/>
                      <w:b/>
                      <w:bCs/>
                      <w:color w:val="auto"/>
                      <w:sz w:val="21"/>
                      <w:szCs w:val="21"/>
                    </w:rPr>
                  </w:pPr>
                </w:p>
              </w:tc>
              <w:tc>
                <w:tcPr>
                  <w:tcW w:w="436" w:type="pct"/>
                  <w:tcBorders>
                    <w:tl2br w:val="nil"/>
                    <w:tr2bl w:val="nil"/>
                  </w:tcBorders>
                  <w:noWrap w:val="0"/>
                  <w:vAlign w:val="center"/>
                </w:tcPr>
                <w:p w14:paraId="7C204235">
                  <w:pPr>
                    <w:pStyle w:val="34"/>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排放量</w:t>
                  </w:r>
                  <w:r>
                    <w:rPr>
                      <w:rFonts w:hint="default" w:ascii="Times New Roman" w:hAnsi="Times New Roman" w:eastAsia="宋体" w:cs="Times New Roman"/>
                      <w:b/>
                      <w:bCs/>
                      <w:color w:val="auto"/>
                      <w:sz w:val="21"/>
                      <w:szCs w:val="21"/>
                      <w:lang w:val="en-US" w:eastAsia="zh-CN"/>
                    </w:rPr>
                    <w:t>t</w:t>
                  </w:r>
                  <w:r>
                    <w:rPr>
                      <w:rFonts w:hint="default" w:ascii="Times New Roman" w:hAnsi="Times New Roman" w:eastAsia="宋体" w:cs="Times New Roman"/>
                      <w:b/>
                      <w:bCs/>
                      <w:color w:val="auto"/>
                      <w:sz w:val="21"/>
                      <w:szCs w:val="21"/>
                      <w:lang w:eastAsia="zh-CN"/>
                    </w:rPr>
                    <w:t>/a</w:t>
                  </w:r>
                </w:p>
              </w:tc>
              <w:tc>
                <w:tcPr>
                  <w:tcW w:w="456" w:type="pct"/>
                  <w:tcBorders>
                    <w:tl2br w:val="nil"/>
                    <w:tr2bl w:val="nil"/>
                  </w:tcBorders>
                  <w:noWrap w:val="0"/>
                  <w:vAlign w:val="center"/>
                </w:tcPr>
                <w:p w14:paraId="4EB818E3">
                  <w:pPr>
                    <w:pStyle w:val="34"/>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速率kg</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h</w:t>
                  </w:r>
                </w:p>
              </w:tc>
              <w:tc>
                <w:tcPr>
                  <w:tcW w:w="369" w:type="pct"/>
                  <w:tcBorders>
                    <w:tl2br w:val="nil"/>
                    <w:tr2bl w:val="nil"/>
                  </w:tcBorders>
                  <w:noWrap w:val="0"/>
                  <w:vAlign w:val="center"/>
                </w:tcPr>
                <w:p w14:paraId="527C8E20">
                  <w:pPr>
                    <w:pStyle w:val="34"/>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r>
            <w:tr w14:paraId="0A42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422" w:type="pct"/>
                  <w:vMerge w:val="restart"/>
                  <w:tcBorders>
                    <w:tl2br w:val="nil"/>
                    <w:tr2bl w:val="nil"/>
                  </w:tcBorders>
                  <w:noWrap w:val="0"/>
                  <w:vAlign w:val="center"/>
                </w:tcPr>
                <w:p w14:paraId="053FDDD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rPr>
                    <w:t>封闭式生产车间</w:t>
                  </w:r>
                </w:p>
              </w:tc>
              <w:tc>
                <w:tcPr>
                  <w:tcW w:w="401" w:type="pct"/>
                  <w:vMerge w:val="restart"/>
                  <w:tcBorders>
                    <w:tl2br w:val="nil"/>
                    <w:tr2bl w:val="nil"/>
                  </w:tcBorders>
                  <w:noWrap w:val="0"/>
                  <w:vAlign w:val="center"/>
                </w:tcPr>
                <w:p w14:paraId="7E29D89D">
                  <w:pPr>
                    <w:pStyle w:val="34"/>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eastAsia"/>
                      <w:color w:val="auto"/>
                      <w:sz w:val="21"/>
                      <w:szCs w:val="21"/>
                    </w:rPr>
                    <w:t>钢渣预选、除杂工序</w:t>
                  </w:r>
                </w:p>
              </w:tc>
              <w:tc>
                <w:tcPr>
                  <w:tcW w:w="462" w:type="pct"/>
                  <w:tcBorders>
                    <w:tl2br w:val="nil"/>
                    <w:tr2bl w:val="nil"/>
                  </w:tcBorders>
                  <w:noWrap w:val="0"/>
                  <w:vAlign w:val="center"/>
                </w:tcPr>
                <w:p w14:paraId="275895FC">
                  <w:pPr>
                    <w:pStyle w:val="34"/>
                    <w:ind w:left="0" w:leftChars="0" w:right="0" w:rightChars="0" w:firstLine="0" w:firstLineChars="0"/>
                    <w:rPr>
                      <w:rFonts w:hint="default" w:ascii="Times New Roman" w:hAnsi="Times New Roman" w:eastAsia="宋体" w:cs="Times New Roman"/>
                      <w:color w:val="auto"/>
                      <w:spacing w:val="0"/>
                      <w:sz w:val="21"/>
                      <w:szCs w:val="21"/>
                      <w:lang w:eastAsia="zh-CN"/>
                    </w:rPr>
                  </w:pPr>
                  <w:r>
                    <w:rPr>
                      <w:rFonts w:hint="eastAsia" w:cs="Times New Roman"/>
                      <w:color w:val="auto"/>
                      <w:spacing w:val="0"/>
                      <w:sz w:val="21"/>
                      <w:szCs w:val="21"/>
                      <w:lang w:eastAsia="zh-CN"/>
                    </w:rPr>
                    <w:t>收集</w:t>
                  </w:r>
                </w:p>
              </w:tc>
              <w:tc>
                <w:tcPr>
                  <w:tcW w:w="381" w:type="pct"/>
                  <w:vMerge w:val="restart"/>
                  <w:tcBorders>
                    <w:tl2br w:val="nil"/>
                    <w:tr2bl w:val="nil"/>
                  </w:tcBorders>
                  <w:noWrap w:val="0"/>
                  <w:vAlign w:val="center"/>
                </w:tcPr>
                <w:p w14:paraId="415B6D86">
                  <w:pPr>
                    <w:pStyle w:val="34"/>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85</w:t>
                  </w:r>
                </w:p>
              </w:tc>
              <w:tc>
                <w:tcPr>
                  <w:tcW w:w="480" w:type="pct"/>
                  <w:vMerge w:val="restart"/>
                  <w:tcBorders>
                    <w:tl2br w:val="nil"/>
                    <w:tr2bl w:val="nil"/>
                  </w:tcBorders>
                  <w:noWrap w:val="0"/>
                  <w:vAlign w:val="center"/>
                </w:tcPr>
                <w:p w14:paraId="7CC533D1">
                  <w:pPr>
                    <w:pStyle w:val="34"/>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446" w:type="pct"/>
                  <w:tcBorders>
                    <w:tl2br w:val="nil"/>
                    <w:tr2bl w:val="nil"/>
                  </w:tcBorders>
                  <w:noWrap w:val="0"/>
                  <w:vAlign w:val="center"/>
                </w:tcPr>
                <w:p w14:paraId="13E3796E">
                  <w:pPr>
                    <w:pStyle w:val="2"/>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vertAlign w:val="baseline"/>
                      <w:lang w:val="en-US" w:eastAsia="zh-CN" w:bidi="ar-SA"/>
                    </w:rPr>
                    <w:t>56.1</w:t>
                  </w:r>
                </w:p>
              </w:tc>
              <w:tc>
                <w:tcPr>
                  <w:tcW w:w="405" w:type="pct"/>
                  <w:tcBorders>
                    <w:tl2br w:val="nil"/>
                    <w:tr2bl w:val="nil"/>
                  </w:tcBorders>
                  <w:noWrap w:val="0"/>
                  <w:vAlign w:val="center"/>
                </w:tcPr>
                <w:p w14:paraId="1B38DA82">
                  <w:pPr>
                    <w:pStyle w:val="2"/>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vertAlign w:val="baseline"/>
                      <w:lang w:val="en-US" w:eastAsia="zh-CN"/>
                    </w:rPr>
                    <w:t>11.688</w:t>
                  </w:r>
                </w:p>
              </w:tc>
              <w:tc>
                <w:tcPr>
                  <w:tcW w:w="332" w:type="pct"/>
                  <w:tcBorders>
                    <w:tl2br w:val="nil"/>
                    <w:tr2bl w:val="nil"/>
                  </w:tcBorders>
                  <w:noWrap w:val="0"/>
                  <w:vAlign w:val="center"/>
                </w:tcPr>
                <w:p w14:paraId="33E3905C">
                  <w:pPr>
                    <w:pStyle w:val="2"/>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vertAlign w:val="baseline"/>
                      <w:lang w:val="en-US" w:eastAsia="zh-CN"/>
                    </w:rPr>
                    <w:t>1947.917</w:t>
                  </w:r>
                </w:p>
              </w:tc>
              <w:tc>
                <w:tcPr>
                  <w:tcW w:w="405" w:type="pct"/>
                  <w:tcBorders>
                    <w:tl2br w:val="nil"/>
                    <w:tr2bl w:val="nil"/>
                  </w:tcBorders>
                  <w:noWrap w:val="0"/>
                  <w:vAlign w:val="center"/>
                </w:tcPr>
                <w:p w14:paraId="088E5F6C">
                  <w:pPr>
                    <w:pStyle w:val="2"/>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vertAlign w:val="baseline"/>
                      <w:lang w:val="en-US" w:eastAsia="zh-CN"/>
                    </w:rPr>
                    <w:t>99</w:t>
                  </w:r>
                </w:p>
              </w:tc>
              <w:tc>
                <w:tcPr>
                  <w:tcW w:w="436" w:type="pct"/>
                  <w:tcBorders>
                    <w:tl2br w:val="nil"/>
                    <w:tr2bl w:val="nil"/>
                  </w:tcBorders>
                  <w:noWrap w:val="0"/>
                  <w:vAlign w:val="center"/>
                </w:tcPr>
                <w:p w14:paraId="70164599">
                  <w:pPr>
                    <w:pStyle w:val="2"/>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vertAlign w:val="baseline"/>
                      <w:lang w:val="en-US" w:eastAsia="zh-CN"/>
                    </w:rPr>
                    <w:t>0.561</w:t>
                  </w:r>
                </w:p>
              </w:tc>
              <w:tc>
                <w:tcPr>
                  <w:tcW w:w="456" w:type="pct"/>
                  <w:tcBorders>
                    <w:tl2br w:val="nil"/>
                    <w:tr2bl w:val="nil"/>
                  </w:tcBorders>
                  <w:noWrap w:val="0"/>
                  <w:vAlign w:val="center"/>
                </w:tcPr>
                <w:p w14:paraId="4C11FEE2">
                  <w:pPr>
                    <w:pStyle w:val="2"/>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vertAlign w:val="baseline"/>
                      <w:lang w:val="en-US" w:eastAsia="zh-CN" w:bidi="ar-SA"/>
                    </w:rPr>
                    <w:t>0.117</w:t>
                  </w:r>
                </w:p>
              </w:tc>
              <w:tc>
                <w:tcPr>
                  <w:tcW w:w="369" w:type="pct"/>
                  <w:tcBorders>
                    <w:tl2br w:val="nil"/>
                    <w:tr2bl w:val="nil"/>
                  </w:tcBorders>
                  <w:noWrap w:val="0"/>
                  <w:vAlign w:val="center"/>
                </w:tcPr>
                <w:p w14:paraId="424E9DC0">
                  <w:pPr>
                    <w:pStyle w:val="2"/>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vertAlign w:val="baseline"/>
                      <w:lang w:val="en-US" w:eastAsia="zh-CN"/>
                    </w:rPr>
                    <w:t>5.565</w:t>
                  </w:r>
                </w:p>
              </w:tc>
            </w:tr>
            <w:tr w14:paraId="123F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422" w:type="pct"/>
                  <w:vMerge w:val="continue"/>
                  <w:tcBorders>
                    <w:tl2br w:val="nil"/>
                    <w:tr2bl w:val="nil"/>
                  </w:tcBorders>
                  <w:noWrap w:val="0"/>
                  <w:vAlign w:val="center"/>
                </w:tcPr>
                <w:p w14:paraId="65443DE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p>
              </w:tc>
              <w:tc>
                <w:tcPr>
                  <w:tcW w:w="401" w:type="pct"/>
                  <w:vMerge w:val="continue"/>
                  <w:tcBorders>
                    <w:tl2br w:val="nil"/>
                    <w:tr2bl w:val="nil"/>
                  </w:tcBorders>
                  <w:noWrap w:val="0"/>
                  <w:vAlign w:val="center"/>
                </w:tcPr>
                <w:p w14:paraId="3C77F14D">
                  <w:pPr>
                    <w:pStyle w:val="34"/>
                    <w:ind w:left="0" w:leftChars="0" w:right="0" w:rightChars="0" w:firstLine="0" w:firstLineChars="0"/>
                    <w:rPr>
                      <w:rFonts w:hint="default" w:ascii="Times New Roman" w:hAnsi="Times New Roman" w:eastAsia="宋体" w:cs="Times New Roman"/>
                      <w:color w:val="auto"/>
                      <w:spacing w:val="0"/>
                      <w:sz w:val="21"/>
                      <w:szCs w:val="21"/>
                      <w:lang w:eastAsia="zh-CN"/>
                    </w:rPr>
                  </w:pPr>
                </w:p>
              </w:tc>
              <w:tc>
                <w:tcPr>
                  <w:tcW w:w="462" w:type="pct"/>
                  <w:tcBorders>
                    <w:tl2br w:val="nil"/>
                    <w:tr2bl w:val="nil"/>
                  </w:tcBorders>
                  <w:noWrap w:val="0"/>
                  <w:vAlign w:val="center"/>
                </w:tcPr>
                <w:p w14:paraId="1087490E">
                  <w:pPr>
                    <w:pStyle w:val="34"/>
                    <w:ind w:left="0" w:leftChars="0" w:right="0" w:rightChars="0" w:firstLine="0" w:firstLineChars="0"/>
                    <w:rPr>
                      <w:rFonts w:hint="default" w:ascii="Times New Roman" w:hAnsi="Times New Roman" w:eastAsia="宋体" w:cs="Times New Roman"/>
                      <w:color w:val="auto"/>
                      <w:spacing w:val="0"/>
                      <w:sz w:val="21"/>
                      <w:szCs w:val="21"/>
                      <w:lang w:eastAsia="zh-CN"/>
                    </w:rPr>
                  </w:pPr>
                  <w:r>
                    <w:rPr>
                      <w:rFonts w:hint="eastAsia" w:cs="Times New Roman"/>
                      <w:color w:val="auto"/>
                      <w:spacing w:val="0"/>
                      <w:sz w:val="21"/>
                      <w:szCs w:val="21"/>
                      <w:lang w:eastAsia="zh-CN"/>
                    </w:rPr>
                    <w:t>未收集</w:t>
                  </w:r>
                </w:p>
              </w:tc>
              <w:tc>
                <w:tcPr>
                  <w:tcW w:w="381" w:type="pct"/>
                  <w:vMerge w:val="continue"/>
                  <w:tcBorders>
                    <w:tl2br w:val="nil"/>
                    <w:tr2bl w:val="nil"/>
                  </w:tcBorders>
                  <w:noWrap w:val="0"/>
                  <w:vAlign w:val="center"/>
                </w:tcPr>
                <w:p w14:paraId="61469197">
                  <w:pPr>
                    <w:pStyle w:val="34"/>
                    <w:ind w:left="0" w:leftChars="0" w:right="0" w:rightChars="0" w:firstLine="0" w:firstLineChars="0"/>
                    <w:rPr>
                      <w:rFonts w:hint="default" w:ascii="Times New Roman" w:hAnsi="Times New Roman" w:eastAsia="宋体" w:cs="Times New Roman"/>
                      <w:color w:val="auto"/>
                      <w:sz w:val="21"/>
                      <w:szCs w:val="21"/>
                      <w:lang w:val="en-US" w:eastAsia="zh-CN"/>
                    </w:rPr>
                  </w:pPr>
                </w:p>
              </w:tc>
              <w:tc>
                <w:tcPr>
                  <w:tcW w:w="480" w:type="pct"/>
                  <w:vMerge w:val="continue"/>
                  <w:tcBorders>
                    <w:tl2br w:val="nil"/>
                    <w:tr2bl w:val="nil"/>
                  </w:tcBorders>
                  <w:noWrap w:val="0"/>
                  <w:vAlign w:val="center"/>
                </w:tcPr>
                <w:p w14:paraId="4759E7D7">
                  <w:pPr>
                    <w:pStyle w:val="34"/>
                    <w:ind w:left="0" w:leftChars="0" w:right="0" w:rightChars="0" w:firstLine="0" w:firstLineChars="0"/>
                    <w:rPr>
                      <w:rFonts w:hint="default" w:ascii="Times New Roman" w:hAnsi="Times New Roman" w:eastAsia="宋体" w:cs="Times New Roman"/>
                      <w:color w:val="auto"/>
                      <w:sz w:val="21"/>
                      <w:szCs w:val="21"/>
                      <w:lang w:val="en-US" w:eastAsia="zh-CN"/>
                    </w:rPr>
                  </w:pPr>
                </w:p>
              </w:tc>
              <w:tc>
                <w:tcPr>
                  <w:tcW w:w="446" w:type="pct"/>
                  <w:tcBorders>
                    <w:tl2br w:val="nil"/>
                    <w:tr2bl w:val="nil"/>
                  </w:tcBorders>
                  <w:noWrap w:val="0"/>
                  <w:vAlign w:val="center"/>
                </w:tcPr>
                <w:p w14:paraId="66D202B0">
                  <w:pPr>
                    <w:pStyle w:val="2"/>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vertAlign w:val="baseline"/>
                      <w:lang w:val="en-US" w:eastAsia="zh-CN"/>
                    </w:rPr>
                    <w:t>9.9</w:t>
                  </w:r>
                </w:p>
              </w:tc>
              <w:tc>
                <w:tcPr>
                  <w:tcW w:w="405" w:type="pct"/>
                  <w:tcBorders>
                    <w:tl2br w:val="nil"/>
                    <w:tr2bl w:val="nil"/>
                  </w:tcBorders>
                  <w:noWrap w:val="0"/>
                  <w:vAlign w:val="center"/>
                </w:tcPr>
                <w:p w14:paraId="57B93E29">
                  <w:pPr>
                    <w:pStyle w:val="2"/>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vertAlign w:val="baseline"/>
                      <w:lang w:val="en-US" w:eastAsia="zh-CN"/>
                    </w:rPr>
                    <w:t>2.063</w:t>
                  </w:r>
                </w:p>
              </w:tc>
              <w:tc>
                <w:tcPr>
                  <w:tcW w:w="332" w:type="pct"/>
                  <w:tcBorders>
                    <w:tl2br w:val="nil"/>
                    <w:tr2bl w:val="nil"/>
                  </w:tcBorders>
                  <w:noWrap w:val="0"/>
                  <w:vAlign w:val="center"/>
                </w:tcPr>
                <w:p w14:paraId="5E908A6E">
                  <w:pPr>
                    <w:pStyle w:val="2"/>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w:t>
                  </w:r>
                </w:p>
              </w:tc>
              <w:tc>
                <w:tcPr>
                  <w:tcW w:w="405" w:type="pct"/>
                  <w:tcBorders>
                    <w:tl2br w:val="nil"/>
                    <w:tr2bl w:val="nil"/>
                  </w:tcBorders>
                  <w:noWrap w:val="0"/>
                  <w:vAlign w:val="center"/>
                </w:tcPr>
                <w:p w14:paraId="5C42B7AB">
                  <w:pPr>
                    <w:pStyle w:val="2"/>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60</w:t>
                  </w:r>
                </w:p>
              </w:tc>
              <w:tc>
                <w:tcPr>
                  <w:tcW w:w="436" w:type="pct"/>
                  <w:tcBorders>
                    <w:tl2br w:val="nil"/>
                    <w:tr2bl w:val="nil"/>
                  </w:tcBorders>
                  <w:noWrap w:val="0"/>
                  <w:vAlign w:val="center"/>
                </w:tcPr>
                <w:p w14:paraId="6894EC86">
                  <w:pPr>
                    <w:pStyle w:val="2"/>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vertAlign w:val="baseline"/>
                      <w:lang w:val="en-US" w:eastAsia="zh-CN"/>
                    </w:rPr>
                    <w:t>3.960</w:t>
                  </w:r>
                </w:p>
              </w:tc>
              <w:tc>
                <w:tcPr>
                  <w:tcW w:w="456" w:type="pct"/>
                  <w:tcBorders>
                    <w:tl2br w:val="nil"/>
                    <w:tr2bl w:val="nil"/>
                  </w:tcBorders>
                  <w:noWrap w:val="0"/>
                  <w:vAlign w:val="center"/>
                </w:tcPr>
                <w:p w14:paraId="1770A542">
                  <w:pPr>
                    <w:pStyle w:val="2"/>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vertAlign w:val="baseline"/>
                      <w:lang w:val="en-US" w:eastAsia="zh-CN"/>
                    </w:rPr>
                    <w:t>0.825</w:t>
                  </w:r>
                </w:p>
              </w:tc>
              <w:tc>
                <w:tcPr>
                  <w:tcW w:w="369" w:type="pct"/>
                  <w:tcBorders>
                    <w:tl2br w:val="nil"/>
                    <w:tr2bl w:val="nil"/>
                  </w:tcBorders>
                  <w:noWrap w:val="0"/>
                  <w:vAlign w:val="center"/>
                </w:tcPr>
                <w:p w14:paraId="37A7733D">
                  <w:pPr>
                    <w:pStyle w:val="2"/>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w:t>
                  </w:r>
                </w:p>
              </w:tc>
            </w:tr>
            <w:tr w14:paraId="6922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22" w:type="pct"/>
                  <w:vMerge w:val="restart"/>
                  <w:tcBorders>
                    <w:tl2br w:val="nil"/>
                    <w:tr2bl w:val="nil"/>
                  </w:tcBorders>
                  <w:noWrap w:val="0"/>
                  <w:vAlign w:val="center"/>
                </w:tcPr>
                <w:p w14:paraId="65B2471B">
                  <w:pPr>
                    <w:pStyle w:val="34"/>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厂区</w:t>
                  </w:r>
                </w:p>
              </w:tc>
              <w:tc>
                <w:tcPr>
                  <w:tcW w:w="863" w:type="pct"/>
                  <w:gridSpan w:val="2"/>
                  <w:tcBorders>
                    <w:tl2br w:val="nil"/>
                    <w:tr2bl w:val="nil"/>
                  </w:tcBorders>
                  <w:noWrap w:val="0"/>
                  <w:vAlign w:val="center"/>
                </w:tcPr>
                <w:p w14:paraId="57728E6D">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封闭式</w:t>
                  </w:r>
                  <w:r>
                    <w:rPr>
                      <w:rFonts w:hint="eastAsia" w:cs="Times New Roman"/>
                      <w:color w:val="auto"/>
                      <w:sz w:val="21"/>
                      <w:szCs w:val="21"/>
                      <w:highlight w:val="none"/>
                      <w:lang w:val="en-US" w:eastAsia="zh-CN"/>
                    </w:rPr>
                    <w:t>原料车间</w:t>
                  </w:r>
                </w:p>
              </w:tc>
              <w:tc>
                <w:tcPr>
                  <w:tcW w:w="862" w:type="pct"/>
                  <w:gridSpan w:val="2"/>
                  <w:tcBorders>
                    <w:tl2br w:val="nil"/>
                    <w:tr2bl w:val="nil"/>
                  </w:tcBorders>
                  <w:noWrap w:val="0"/>
                  <w:vAlign w:val="center"/>
                </w:tcPr>
                <w:p w14:paraId="366F8464">
                  <w:pPr>
                    <w:pStyle w:val="34"/>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rPr>
                    <w:t>颗粒物</w:t>
                  </w:r>
                </w:p>
              </w:tc>
              <w:tc>
                <w:tcPr>
                  <w:tcW w:w="446" w:type="pct"/>
                  <w:tcBorders>
                    <w:tl2br w:val="nil"/>
                    <w:tr2bl w:val="nil"/>
                  </w:tcBorders>
                  <w:noWrap w:val="0"/>
                  <w:vAlign w:val="center"/>
                </w:tcPr>
                <w:p w14:paraId="2F69509F">
                  <w:pPr>
                    <w:pStyle w:val="34"/>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247.550</w:t>
                  </w:r>
                </w:p>
              </w:tc>
              <w:tc>
                <w:tcPr>
                  <w:tcW w:w="405" w:type="pct"/>
                  <w:tcBorders>
                    <w:tl2br w:val="nil"/>
                    <w:tr2bl w:val="nil"/>
                  </w:tcBorders>
                  <w:noWrap w:val="0"/>
                  <w:vAlign w:val="center"/>
                </w:tcPr>
                <w:p w14:paraId="2DA674CB">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51.573</w:t>
                  </w:r>
                </w:p>
              </w:tc>
              <w:tc>
                <w:tcPr>
                  <w:tcW w:w="332" w:type="pct"/>
                  <w:tcBorders>
                    <w:tl2br w:val="nil"/>
                    <w:tr2bl w:val="nil"/>
                  </w:tcBorders>
                  <w:noWrap w:val="0"/>
                  <w:vAlign w:val="center"/>
                </w:tcPr>
                <w:p w14:paraId="44ABF5F9">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w:t>
                  </w:r>
                </w:p>
              </w:tc>
              <w:tc>
                <w:tcPr>
                  <w:tcW w:w="405" w:type="pct"/>
                  <w:tcBorders>
                    <w:tl2br w:val="nil"/>
                    <w:tr2bl w:val="nil"/>
                  </w:tcBorders>
                  <w:noWrap w:val="0"/>
                  <w:vAlign w:val="center"/>
                </w:tcPr>
                <w:p w14:paraId="460158C6">
                  <w:pPr>
                    <w:spacing w:line="240" w:lineRule="auto"/>
                    <w:ind w:left="0" w:leftChars="0" w:right="0" w:rightChars="0"/>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rPr>
                    <w:t>99</w:t>
                  </w:r>
                </w:p>
              </w:tc>
              <w:tc>
                <w:tcPr>
                  <w:tcW w:w="436" w:type="pct"/>
                  <w:tcBorders>
                    <w:tl2br w:val="nil"/>
                    <w:tr2bl w:val="nil"/>
                  </w:tcBorders>
                  <w:noWrap w:val="0"/>
                  <w:vAlign w:val="center"/>
                </w:tcPr>
                <w:p w14:paraId="0D15EA9D">
                  <w:pPr>
                    <w:pStyle w:val="34"/>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0.545</w:t>
                  </w:r>
                </w:p>
              </w:tc>
              <w:tc>
                <w:tcPr>
                  <w:tcW w:w="456" w:type="pct"/>
                  <w:tcBorders>
                    <w:tl2br w:val="nil"/>
                    <w:tr2bl w:val="nil"/>
                  </w:tcBorders>
                  <w:noWrap w:val="0"/>
                  <w:vAlign w:val="center"/>
                </w:tcPr>
                <w:p w14:paraId="25940C11">
                  <w:pPr>
                    <w:pStyle w:val="34"/>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0.133</w:t>
                  </w:r>
                </w:p>
              </w:tc>
              <w:tc>
                <w:tcPr>
                  <w:tcW w:w="369" w:type="pct"/>
                  <w:tcBorders>
                    <w:tl2br w:val="nil"/>
                    <w:tr2bl w:val="nil"/>
                  </w:tcBorders>
                  <w:noWrap w:val="0"/>
                  <w:vAlign w:val="center"/>
                </w:tcPr>
                <w:p w14:paraId="36F4DBA1">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w:t>
                  </w:r>
                </w:p>
              </w:tc>
            </w:tr>
            <w:tr w14:paraId="0F57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22" w:type="pct"/>
                  <w:vMerge w:val="continue"/>
                  <w:tcBorders>
                    <w:tl2br w:val="nil"/>
                    <w:tr2bl w:val="nil"/>
                  </w:tcBorders>
                  <w:noWrap w:val="0"/>
                  <w:vAlign w:val="center"/>
                </w:tcPr>
                <w:p w14:paraId="35E114F4">
                  <w:pPr>
                    <w:pStyle w:val="34"/>
                    <w:rPr>
                      <w:rFonts w:hint="default" w:ascii="Times New Roman" w:hAnsi="Times New Roman" w:eastAsia="宋体" w:cs="Times New Roman"/>
                      <w:color w:val="auto"/>
                      <w:spacing w:val="0"/>
                      <w:sz w:val="21"/>
                      <w:szCs w:val="21"/>
                      <w:lang w:val="en-US" w:eastAsia="zh-CN"/>
                    </w:rPr>
                  </w:pPr>
                </w:p>
              </w:tc>
              <w:tc>
                <w:tcPr>
                  <w:tcW w:w="863" w:type="pct"/>
                  <w:gridSpan w:val="2"/>
                  <w:tcBorders>
                    <w:tl2br w:val="nil"/>
                    <w:tr2bl w:val="nil"/>
                  </w:tcBorders>
                  <w:noWrap w:val="0"/>
                  <w:vAlign w:val="center"/>
                </w:tcPr>
                <w:p w14:paraId="6661C10B">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封闭式成品车间</w:t>
                  </w:r>
                </w:p>
              </w:tc>
              <w:tc>
                <w:tcPr>
                  <w:tcW w:w="862" w:type="pct"/>
                  <w:gridSpan w:val="2"/>
                  <w:tcBorders>
                    <w:tl2br w:val="nil"/>
                    <w:tr2bl w:val="nil"/>
                  </w:tcBorders>
                  <w:noWrap w:val="0"/>
                  <w:vAlign w:val="center"/>
                </w:tcPr>
                <w:p w14:paraId="7AA63802">
                  <w:pPr>
                    <w:pStyle w:val="34"/>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446" w:type="pct"/>
                  <w:tcBorders>
                    <w:tl2br w:val="nil"/>
                    <w:tr2bl w:val="nil"/>
                  </w:tcBorders>
                  <w:noWrap w:val="0"/>
                  <w:vAlign w:val="center"/>
                </w:tcPr>
                <w:p w14:paraId="3A93314F">
                  <w:pPr>
                    <w:pStyle w:val="34"/>
                    <w:ind w:left="0" w:leftChars="0" w:right="0" w:rightChars="0" w:firstLine="0" w:firstLineChars="0"/>
                    <w:rPr>
                      <w:rFonts w:hint="default" w:cs="Times New Roman"/>
                      <w:color w:val="auto"/>
                      <w:sz w:val="21"/>
                      <w:szCs w:val="21"/>
                      <w:lang w:val="en-US" w:eastAsia="zh-CN" w:bidi="zh-CN"/>
                    </w:rPr>
                  </w:pPr>
                  <w:r>
                    <w:rPr>
                      <w:rFonts w:hint="eastAsia" w:cs="Times New Roman"/>
                      <w:color w:val="auto"/>
                      <w:sz w:val="21"/>
                      <w:szCs w:val="21"/>
                      <w:lang w:val="en-US" w:eastAsia="zh-CN" w:bidi="zh-CN"/>
                    </w:rPr>
                    <w:t>232.347</w:t>
                  </w:r>
                </w:p>
              </w:tc>
              <w:tc>
                <w:tcPr>
                  <w:tcW w:w="405" w:type="pct"/>
                  <w:tcBorders>
                    <w:tl2br w:val="nil"/>
                    <w:tr2bl w:val="nil"/>
                  </w:tcBorders>
                  <w:noWrap w:val="0"/>
                  <w:vAlign w:val="center"/>
                </w:tcPr>
                <w:p w14:paraId="39C62963">
                  <w:pPr>
                    <w:pStyle w:val="34"/>
                    <w:ind w:left="0" w:leftChars="0" w:right="0" w:rightChars="0" w:firstLine="0" w:firstLineChars="0"/>
                    <w:rPr>
                      <w:rFonts w:hint="default" w:cs="Times New Roman"/>
                      <w:color w:val="auto"/>
                      <w:sz w:val="21"/>
                      <w:szCs w:val="21"/>
                      <w:highlight w:val="none"/>
                      <w:lang w:val="en-US" w:eastAsia="zh-CN" w:bidi="zh-CN"/>
                    </w:rPr>
                  </w:pPr>
                  <w:r>
                    <w:rPr>
                      <w:rFonts w:hint="eastAsia" w:cs="Times New Roman"/>
                      <w:color w:val="auto"/>
                      <w:sz w:val="21"/>
                      <w:szCs w:val="21"/>
                      <w:highlight w:val="none"/>
                      <w:lang w:val="en-US" w:eastAsia="zh-CN" w:bidi="zh-CN"/>
                    </w:rPr>
                    <w:t>48.406</w:t>
                  </w:r>
                </w:p>
              </w:tc>
              <w:tc>
                <w:tcPr>
                  <w:tcW w:w="332" w:type="pct"/>
                  <w:tcBorders>
                    <w:tl2br w:val="nil"/>
                    <w:tr2bl w:val="nil"/>
                  </w:tcBorders>
                  <w:noWrap w:val="0"/>
                  <w:vAlign w:val="center"/>
                </w:tcPr>
                <w:p w14:paraId="5518DF63">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05" w:type="pct"/>
                  <w:tcBorders>
                    <w:tl2br w:val="nil"/>
                    <w:tr2bl w:val="nil"/>
                  </w:tcBorders>
                  <w:noWrap w:val="0"/>
                  <w:vAlign w:val="center"/>
                </w:tcPr>
                <w:p w14:paraId="5EB920C7">
                  <w:pPr>
                    <w:spacing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436" w:type="pct"/>
                  <w:tcBorders>
                    <w:tl2br w:val="nil"/>
                    <w:tr2bl w:val="nil"/>
                  </w:tcBorders>
                  <w:noWrap w:val="0"/>
                  <w:vAlign w:val="center"/>
                </w:tcPr>
                <w:p w14:paraId="05319473">
                  <w:pPr>
                    <w:pStyle w:val="34"/>
                    <w:ind w:left="0" w:leftChars="0" w:right="0" w:rightChars="0" w:firstLine="0" w:firstLineChars="0"/>
                    <w:rPr>
                      <w:rFonts w:hint="default" w:cs="Times New Roman"/>
                      <w:color w:val="auto"/>
                      <w:sz w:val="21"/>
                      <w:szCs w:val="21"/>
                      <w:lang w:val="en-US" w:eastAsia="zh-CN" w:bidi="zh-CN"/>
                    </w:rPr>
                  </w:pPr>
                  <w:r>
                    <w:rPr>
                      <w:rFonts w:hint="eastAsia" w:cs="Times New Roman"/>
                      <w:color w:val="auto"/>
                      <w:sz w:val="21"/>
                      <w:szCs w:val="21"/>
                      <w:lang w:val="en-US" w:eastAsia="zh-CN" w:bidi="zh-CN"/>
                    </w:rPr>
                    <w:t>0.511</w:t>
                  </w:r>
                </w:p>
              </w:tc>
              <w:tc>
                <w:tcPr>
                  <w:tcW w:w="456" w:type="pct"/>
                  <w:tcBorders>
                    <w:tl2br w:val="nil"/>
                    <w:tr2bl w:val="nil"/>
                  </w:tcBorders>
                  <w:noWrap w:val="0"/>
                  <w:vAlign w:val="center"/>
                </w:tcPr>
                <w:p w14:paraId="41BC9B13">
                  <w:pPr>
                    <w:pStyle w:val="34"/>
                    <w:ind w:left="0" w:leftChars="0" w:right="0" w:rightChars="0" w:firstLine="0" w:firstLineChars="0"/>
                    <w:rPr>
                      <w:rFonts w:hint="default" w:cs="Times New Roman"/>
                      <w:color w:val="auto"/>
                      <w:sz w:val="21"/>
                      <w:szCs w:val="21"/>
                      <w:lang w:val="en-US" w:eastAsia="zh-CN" w:bidi="zh-CN"/>
                    </w:rPr>
                  </w:pPr>
                  <w:r>
                    <w:rPr>
                      <w:rFonts w:hint="eastAsia" w:cs="Times New Roman"/>
                      <w:color w:val="auto"/>
                      <w:sz w:val="21"/>
                      <w:szCs w:val="21"/>
                      <w:lang w:val="en-US" w:eastAsia="zh-CN" w:bidi="zh-CN"/>
                    </w:rPr>
                    <w:t>0.106</w:t>
                  </w:r>
                </w:p>
              </w:tc>
              <w:tc>
                <w:tcPr>
                  <w:tcW w:w="369" w:type="pct"/>
                  <w:tcBorders>
                    <w:tl2br w:val="nil"/>
                    <w:tr2bl w:val="nil"/>
                  </w:tcBorders>
                  <w:noWrap w:val="0"/>
                  <w:vAlign w:val="center"/>
                </w:tcPr>
                <w:p w14:paraId="5F535272">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6F5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22" w:type="pct"/>
                  <w:vMerge w:val="continue"/>
                  <w:tcBorders>
                    <w:tl2br w:val="nil"/>
                    <w:tr2bl w:val="nil"/>
                  </w:tcBorders>
                  <w:noWrap w:val="0"/>
                  <w:vAlign w:val="center"/>
                </w:tcPr>
                <w:p w14:paraId="1F7E397A">
                  <w:pPr>
                    <w:pStyle w:val="34"/>
                    <w:rPr>
                      <w:rFonts w:hint="default" w:ascii="Times New Roman" w:hAnsi="Times New Roman" w:eastAsia="宋体" w:cs="Times New Roman"/>
                      <w:color w:val="auto"/>
                      <w:spacing w:val="0"/>
                      <w:sz w:val="21"/>
                      <w:szCs w:val="21"/>
                      <w:lang w:val="en-US" w:eastAsia="zh-CN"/>
                    </w:rPr>
                  </w:pPr>
                </w:p>
              </w:tc>
              <w:tc>
                <w:tcPr>
                  <w:tcW w:w="863" w:type="pct"/>
                  <w:gridSpan w:val="2"/>
                  <w:tcBorders>
                    <w:tl2br w:val="nil"/>
                    <w:tr2bl w:val="nil"/>
                  </w:tcBorders>
                  <w:noWrap w:val="0"/>
                  <w:vAlign w:val="center"/>
                </w:tcPr>
                <w:p w14:paraId="449981F7">
                  <w:pPr>
                    <w:pStyle w:val="34"/>
                    <w:ind w:left="0" w:leftChars="0" w:right="0" w:rightChars="0" w:firstLine="0" w:firstLineChars="0"/>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车辆运输</w:t>
                  </w:r>
                </w:p>
              </w:tc>
              <w:tc>
                <w:tcPr>
                  <w:tcW w:w="862" w:type="pct"/>
                  <w:gridSpan w:val="2"/>
                  <w:tcBorders>
                    <w:tl2br w:val="nil"/>
                    <w:tr2bl w:val="nil"/>
                  </w:tcBorders>
                  <w:noWrap w:val="0"/>
                  <w:vAlign w:val="center"/>
                </w:tcPr>
                <w:p w14:paraId="1B6E8155">
                  <w:pPr>
                    <w:pStyle w:val="34"/>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446" w:type="pct"/>
                  <w:tcBorders>
                    <w:tl2br w:val="nil"/>
                    <w:tr2bl w:val="nil"/>
                  </w:tcBorders>
                  <w:noWrap w:val="0"/>
                  <w:vAlign w:val="center"/>
                </w:tcPr>
                <w:p w14:paraId="47AF2233">
                  <w:pPr>
                    <w:pStyle w:val="34"/>
                    <w:ind w:left="0" w:leftChars="0" w:right="0" w:rightChars="0" w:firstLine="0" w:firstLineChars="0"/>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0.1</w:t>
                  </w:r>
                  <w:r>
                    <w:rPr>
                      <w:rFonts w:hint="eastAsia" w:cs="Times New Roman"/>
                      <w:color w:val="auto"/>
                      <w:sz w:val="21"/>
                      <w:szCs w:val="21"/>
                      <w:lang w:val="en-US" w:eastAsia="zh-CN" w:bidi="zh-CN"/>
                    </w:rPr>
                    <w:t>33</w:t>
                  </w:r>
                </w:p>
              </w:tc>
              <w:tc>
                <w:tcPr>
                  <w:tcW w:w="405" w:type="pct"/>
                  <w:tcBorders>
                    <w:tl2br w:val="nil"/>
                    <w:tr2bl w:val="nil"/>
                  </w:tcBorders>
                  <w:noWrap w:val="0"/>
                  <w:vAlign w:val="center"/>
                </w:tcPr>
                <w:p w14:paraId="0704A343">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bidi="zh-CN"/>
                    </w:rPr>
                    <w:t>0.0</w:t>
                  </w:r>
                  <w:r>
                    <w:rPr>
                      <w:rFonts w:hint="eastAsia" w:cs="Times New Roman"/>
                      <w:color w:val="auto"/>
                      <w:sz w:val="21"/>
                      <w:szCs w:val="21"/>
                      <w:highlight w:val="none"/>
                      <w:lang w:val="en-US" w:eastAsia="zh-CN" w:bidi="zh-CN"/>
                    </w:rPr>
                    <w:t>28</w:t>
                  </w:r>
                </w:p>
              </w:tc>
              <w:tc>
                <w:tcPr>
                  <w:tcW w:w="332" w:type="pct"/>
                  <w:tcBorders>
                    <w:tl2br w:val="nil"/>
                    <w:tr2bl w:val="nil"/>
                  </w:tcBorders>
                  <w:noWrap w:val="0"/>
                  <w:vAlign w:val="center"/>
                </w:tcPr>
                <w:p w14:paraId="05A1A2F0">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05" w:type="pct"/>
                  <w:tcBorders>
                    <w:tl2br w:val="nil"/>
                    <w:tr2bl w:val="nil"/>
                  </w:tcBorders>
                  <w:noWrap w:val="0"/>
                  <w:vAlign w:val="center"/>
                </w:tcPr>
                <w:p w14:paraId="7A49EC6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436" w:type="pct"/>
                  <w:tcBorders>
                    <w:tl2br w:val="nil"/>
                    <w:tr2bl w:val="nil"/>
                  </w:tcBorders>
                  <w:noWrap w:val="0"/>
                  <w:vAlign w:val="center"/>
                </w:tcPr>
                <w:p w14:paraId="3BC006B1">
                  <w:pPr>
                    <w:pStyle w:val="34"/>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53</w:t>
                  </w:r>
                </w:p>
              </w:tc>
              <w:tc>
                <w:tcPr>
                  <w:tcW w:w="456" w:type="pct"/>
                  <w:tcBorders>
                    <w:tl2br w:val="nil"/>
                    <w:tr2bl w:val="nil"/>
                  </w:tcBorders>
                  <w:noWrap w:val="0"/>
                  <w:vAlign w:val="center"/>
                </w:tcPr>
                <w:p w14:paraId="2333E0CF">
                  <w:pPr>
                    <w:pStyle w:val="34"/>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11</w:t>
                  </w:r>
                </w:p>
              </w:tc>
              <w:tc>
                <w:tcPr>
                  <w:tcW w:w="369" w:type="pct"/>
                  <w:tcBorders>
                    <w:tl2br w:val="nil"/>
                    <w:tr2bl w:val="nil"/>
                  </w:tcBorders>
                  <w:noWrap w:val="0"/>
                  <w:vAlign w:val="center"/>
                </w:tcPr>
                <w:p w14:paraId="1C628036">
                  <w:pPr>
                    <w:pStyle w:val="34"/>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592318B8">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1.3废气收集处理措施</w:t>
            </w:r>
          </w:p>
          <w:p w14:paraId="0F47B33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rPr>
              <w:pict>
                <v:shape id="_x0000_s1033" o:spid="_x0000_s1033" o:spt="75" type="#_x0000_t75" style="position:absolute;left:0pt;margin-left:-0.15pt;margin-top:59.75pt;height:95.6pt;width:403.1pt;z-index:-251649024;mso-width-relative:page;mso-height-relative:page;" o:ole="t" filled="f" o:preferrelative="t" stroked="f" coordsize="21600,21600">
                  <v:path/>
                  <v:fill on="f" focussize="0,0"/>
                  <v:stroke on="f"/>
                  <v:imagedata r:id="rId21" o:title=""/>
                  <o:lock v:ext="edit" aspectratio="f"/>
                </v:shape>
                <o:OLEObject Type="Embed" ProgID="Visio.Drawing.11" ShapeID="_x0000_s1033" DrawAspect="Content" ObjectID="_1468075729" r:id="rId20">
                  <o:LockedField>false</o:LockedField>
                </o:OLEObject>
              </w:pict>
            </w:r>
            <w:r>
              <w:rPr>
                <w:rFonts w:hint="default" w:ascii="Times New Roman" w:hAnsi="Times New Roman" w:eastAsia="宋体" w:cs="Times New Roman"/>
                <w:color w:val="auto"/>
              </w:rPr>
              <w:t>振动筛、1#磁滑轮、滚筒筛及2#磁滑轮进、出</w:t>
            </w:r>
            <w:r>
              <w:rPr>
                <w:rFonts w:hint="eastAsia" w:cs="Times New Roman"/>
                <w:color w:val="auto"/>
                <w:lang w:eastAsia="zh-CN"/>
              </w:rPr>
              <w:t>料</w:t>
            </w:r>
            <w:r>
              <w:rPr>
                <w:rFonts w:hint="default" w:ascii="Times New Roman" w:hAnsi="Times New Roman" w:eastAsia="宋体" w:cs="Times New Roman"/>
                <w:color w:val="auto"/>
              </w:rPr>
              <w:t>口</w:t>
            </w:r>
            <w:r>
              <w:rPr>
                <w:rFonts w:hint="default" w:ascii="Times New Roman" w:hAnsi="Times New Roman" w:eastAsia="宋体" w:cs="Times New Roman"/>
                <w:color w:val="auto"/>
                <w:sz w:val="24"/>
                <w:szCs w:val="24"/>
                <w:lang w:eastAsia="zh-CN"/>
              </w:rPr>
              <w:t>设置</w:t>
            </w:r>
            <w:r>
              <w:rPr>
                <w:rFonts w:hint="default" w:ascii="Times New Roman" w:hAnsi="Times New Roman" w:eastAsia="宋体" w:cs="Times New Roman"/>
                <w:color w:val="auto"/>
                <w:highlight w:val="none"/>
              </w:rPr>
              <w:t>封闭集气罩</w:t>
            </w:r>
            <w:r>
              <w:rPr>
                <w:rFonts w:hint="default" w:ascii="Times New Roman" w:hAnsi="Times New Roman" w:eastAsia="宋体" w:cs="Times New Roman"/>
                <w:color w:val="auto"/>
                <w:highlight w:val="none"/>
                <w:lang w:eastAsia="zh-CN"/>
              </w:rPr>
              <w:t>由</w:t>
            </w:r>
            <w:r>
              <w:rPr>
                <w:rFonts w:hint="default" w:ascii="Times New Roman" w:hAnsi="Times New Roman" w:eastAsia="宋体" w:cs="Times New Roman"/>
                <w:color w:val="auto"/>
                <w:highlight w:val="none"/>
              </w:rPr>
              <w:t>引风机将含尘气体引入脉冲布袋除尘器中进行处理，处理后的颗粒物经</w:t>
            </w:r>
            <w:r>
              <w:rPr>
                <w:rFonts w:hint="eastAsia" w:cs="Times New Roman"/>
                <w:color w:val="auto"/>
                <w:highlight w:val="none"/>
                <w:lang w:val="en-US" w:eastAsia="zh-CN"/>
              </w:rPr>
              <w:t>20</w:t>
            </w:r>
            <w:r>
              <w:rPr>
                <w:rFonts w:hint="default" w:ascii="Times New Roman" w:hAnsi="Times New Roman" w:eastAsia="宋体" w:cs="Times New Roman"/>
                <w:color w:val="auto"/>
                <w:highlight w:val="none"/>
              </w:rPr>
              <w:t>米高的排气筒</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DA001</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rPr>
              <w:t>排放</w:t>
            </w:r>
            <w:r>
              <w:rPr>
                <w:rFonts w:hint="default" w:ascii="Times New Roman" w:hAnsi="Times New Roman" w:eastAsia="宋体" w:cs="Times New Roman"/>
                <w:color w:val="auto"/>
                <w:sz w:val="24"/>
                <w:szCs w:val="24"/>
                <w:highlight w:val="none"/>
                <w:lang w:val="en-US" w:eastAsia="zh-CN"/>
              </w:rPr>
              <w:t>。</w:t>
            </w:r>
          </w:p>
          <w:p w14:paraId="30686E26">
            <w:pPr>
              <w:pStyle w:val="2"/>
              <w:rPr>
                <w:rFonts w:hint="default" w:ascii="Times New Roman" w:hAnsi="Times New Roman" w:eastAsia="宋体" w:cs="Times New Roman"/>
                <w:color w:val="auto"/>
                <w:sz w:val="24"/>
                <w:szCs w:val="24"/>
                <w:lang w:val="en-US" w:eastAsia="zh-CN"/>
              </w:rPr>
            </w:pPr>
          </w:p>
          <w:p w14:paraId="1EBC4355">
            <w:pPr>
              <w:pStyle w:val="2"/>
              <w:rPr>
                <w:rFonts w:hint="default" w:ascii="Times New Roman" w:hAnsi="Times New Roman" w:eastAsia="宋体" w:cs="Times New Roman"/>
                <w:color w:val="auto"/>
                <w:sz w:val="24"/>
                <w:szCs w:val="24"/>
                <w:lang w:val="en-US" w:eastAsia="zh-CN"/>
              </w:rPr>
            </w:pPr>
          </w:p>
          <w:p w14:paraId="2C9EEF27">
            <w:pPr>
              <w:pStyle w:val="2"/>
              <w:rPr>
                <w:rFonts w:hint="default" w:ascii="Times New Roman" w:hAnsi="Times New Roman" w:eastAsia="宋体" w:cs="Times New Roman"/>
                <w:color w:val="auto"/>
                <w:sz w:val="24"/>
                <w:szCs w:val="24"/>
                <w:lang w:val="en-US" w:eastAsia="zh-CN"/>
              </w:rPr>
            </w:pPr>
          </w:p>
          <w:p w14:paraId="12B7F4D6">
            <w:pPr>
              <w:pStyle w:val="2"/>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1040130</wp:posOffset>
                      </wp:positionH>
                      <wp:positionV relativeFrom="paragraph">
                        <wp:posOffset>17780</wp:posOffset>
                      </wp:positionV>
                      <wp:extent cx="2713990" cy="339725"/>
                      <wp:effectExtent l="0" t="0" r="10160" b="3175"/>
                      <wp:wrapNone/>
                      <wp:docPr id="17" name="文本框 17"/>
                      <wp:cNvGraphicFramePr/>
                      <a:graphic xmlns:a="http://schemas.openxmlformats.org/drawingml/2006/main">
                        <a:graphicData uri="http://schemas.microsoft.com/office/word/2010/wordprocessingShape">
                          <wps:wsp>
                            <wps:cNvSpPr txBox="1"/>
                            <wps:spPr>
                              <a:xfrm>
                                <a:off x="0" y="0"/>
                                <a:ext cx="271399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FD30A9">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5本项目废气收集和治理工艺流程图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9pt;margin-top:1.4pt;height:26.75pt;width:213.7pt;z-index:251666432;mso-width-relative:page;mso-height-relative:page;" fillcolor="#FFFFFF [3201]" filled="t" stroked="f" coordsize="21600,21600" o:gfxdata="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sxwu9MAAAAIAQAADwAAAAAA&#10;AAABACAAAAAiAAAAZHJzL2Rvd25yZXYueG1sUEsBAhQAFAAAAAgAh07iQJWH/eVRAgAAkQQAAA4A&#10;AAAAAAAAAQAgAAAAIgEAAGRycy9lMm9Eb2MueG1sUEsFBgAAAAAGAAYAWQEAAOUFAAAAAA==&#10;">
                      <v:fill on="t" focussize="0,0"/>
                      <v:stroke on="f" weight="0.5pt"/>
                      <v:imagedata o:title=""/>
                      <o:lock v:ext="edit" aspectratio="f"/>
                      <v:textbox>
                        <w:txbxContent>
                          <w:p w14:paraId="63FD30A9">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5本项目废气收集和治理工艺流程图</w:t>
                            </w:r>
                          </w:p>
                        </w:txbxContent>
                      </v:textbox>
                    </v:shape>
                  </w:pict>
                </mc:Fallback>
              </mc:AlternateContent>
            </w:r>
          </w:p>
          <w:p w14:paraId="7BE93440">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1.4环保设备的技术可行性</w:t>
            </w:r>
          </w:p>
          <w:p w14:paraId="4A358FE4">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（1）布袋除尘器</w:t>
            </w:r>
          </w:p>
          <w:p w14:paraId="0A285CE1">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工艺粉尘进入布袋除尘器内部，气流扩散后，均匀分布在布袋除尘器内部整个进气通道内，使气流流速大大降低，大多数粉尘沉降在灰斗中，经过初级除尘分离后的废气经过气体导流均布板，均匀分布到各个袋室及每个袋室的整个区域，整个气流组织分布相当均匀，且气体流速控制在合理的范围之内，这个过程实现了粉尘的二次沉降，经过二次粉尘沉降后的废气含尘量大大降低，在除尘器内部的负压作用下均匀缓慢穿过滤袋，粉尘被滤袋捕集，并在滤袋表面形成尘饼，净化后的较洁净废气经净气室及通道排出布袋除尘器。</w:t>
            </w:r>
          </w:p>
          <w:p w14:paraId="4E7C4E26">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由于布袋的截流、扩散、吸附等作用，使粉尘留在布袋及其缝隙中，除尘后的废气再经引风机及排气筒排出，随着</w:t>
            </w:r>
            <w:r>
              <w:rPr>
                <w:rFonts w:hint="eastAsia" w:cs="Times New Roman"/>
                <w:color w:val="auto"/>
                <w:sz w:val="24"/>
                <w:szCs w:val="24"/>
                <w:lang w:val="en-US" w:eastAsia="zh-CN"/>
              </w:rPr>
              <w:t>滤袋</w:t>
            </w:r>
            <w:r>
              <w:rPr>
                <w:rFonts w:hint="default" w:ascii="Times New Roman" w:hAnsi="Times New Roman" w:eastAsia="宋体" w:cs="Times New Roman"/>
                <w:color w:val="auto"/>
                <w:sz w:val="24"/>
                <w:szCs w:val="24"/>
                <w:lang w:val="en-US" w:eastAsia="zh-CN"/>
              </w:rPr>
              <w:t>表面积尘增多，滤袋两侧的压差也随之增加，当压差达到清灰设定值时，脉冲阀打开，储气罐中的压缩空气通过清灰风管及其喷嘴将压缩空气均匀</w:t>
            </w:r>
            <w:r>
              <w:rPr>
                <w:rFonts w:hint="eastAsia" w:cs="Times New Roman"/>
                <w:color w:val="auto"/>
                <w:sz w:val="24"/>
                <w:szCs w:val="24"/>
                <w:lang w:val="en-US" w:eastAsia="zh-CN"/>
              </w:rPr>
              <w:t>吸入</w:t>
            </w:r>
            <w:r>
              <w:rPr>
                <w:rFonts w:hint="default" w:ascii="Times New Roman" w:hAnsi="Times New Roman" w:eastAsia="宋体" w:cs="Times New Roman"/>
                <w:color w:val="auto"/>
                <w:sz w:val="24"/>
                <w:szCs w:val="24"/>
                <w:lang w:val="en-US" w:eastAsia="zh-CN"/>
              </w:rPr>
              <w:t>滤袋内完成一次清灰，清灰的脉冲时间和脉冲间隔时间可以根据废气负荷的情况自动进行调整，从而保证了布袋除尘器的持续、正常运行。</w:t>
            </w:r>
          </w:p>
          <w:p w14:paraId="5604BAFB">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lang w:eastAsia="zh-CN"/>
              </w:rPr>
              <w:t>同时参考《排污许可证申请与核发技术规范废弃资源加工行业》本项目</w:t>
            </w:r>
            <w:r>
              <w:rPr>
                <w:rFonts w:hint="eastAsia" w:cs="Times New Roman"/>
                <w:color w:val="auto"/>
                <w:spacing w:val="0"/>
                <w:sz w:val="24"/>
                <w:lang w:eastAsia="zh-CN"/>
              </w:rPr>
              <w:t>钢渣预选、除杂</w:t>
            </w:r>
            <w:r>
              <w:rPr>
                <w:rFonts w:hint="default" w:ascii="Times New Roman" w:hAnsi="Times New Roman" w:eastAsia="宋体" w:cs="Times New Roman"/>
                <w:color w:val="auto"/>
                <w:sz w:val="24"/>
                <w:szCs w:val="24"/>
                <w:lang w:eastAsia="zh-CN"/>
              </w:rPr>
              <w:t>工序</w:t>
            </w:r>
            <w:r>
              <w:rPr>
                <w:rFonts w:hint="eastAsia" w:cs="Times New Roman"/>
                <w:color w:val="auto"/>
                <w:sz w:val="24"/>
                <w:lang w:eastAsia="zh-CN"/>
              </w:rPr>
              <w:t>采用</w:t>
            </w:r>
            <w:r>
              <w:rPr>
                <w:rFonts w:hint="default" w:ascii="Times New Roman" w:hAnsi="Times New Roman" w:eastAsia="宋体" w:cs="Times New Roman"/>
                <w:color w:val="auto"/>
                <w:sz w:val="24"/>
                <w:szCs w:val="24"/>
                <w:lang w:val="en-US" w:eastAsia="zh-CN"/>
              </w:rPr>
              <w:t>布袋除尘器</w:t>
            </w:r>
            <w:r>
              <w:rPr>
                <w:rFonts w:hint="eastAsia" w:cs="Times New Roman"/>
                <w:color w:val="auto"/>
                <w:sz w:val="24"/>
                <w:lang w:val="en-US" w:eastAsia="zh-CN"/>
              </w:rPr>
              <w:t>处理技术，属于废气污染防治可行性技术，处</w:t>
            </w:r>
            <w:r>
              <w:rPr>
                <w:rFonts w:hint="default" w:ascii="Times New Roman" w:hAnsi="Times New Roman" w:eastAsia="宋体" w:cs="Times New Roman"/>
                <w:color w:val="auto"/>
                <w:sz w:val="24"/>
                <w:lang w:eastAsia="zh-CN"/>
              </w:rPr>
              <w:t>理措施</w:t>
            </w:r>
            <w:r>
              <w:rPr>
                <w:rFonts w:hint="eastAsia" w:ascii="Times New Roman" w:hAnsi="Times New Roman" w:eastAsia="宋体" w:cs="Times New Roman"/>
                <w:color w:val="auto"/>
                <w:sz w:val="24"/>
                <w:lang w:eastAsia="zh-CN"/>
              </w:rPr>
              <w:t>可行</w:t>
            </w:r>
            <w:r>
              <w:rPr>
                <w:rFonts w:hint="default" w:ascii="Times New Roman" w:hAnsi="Times New Roman" w:eastAsia="宋体" w:cs="Times New Roman"/>
                <w:color w:val="auto"/>
                <w:sz w:val="24"/>
                <w:szCs w:val="24"/>
                <w:lang w:val="en-US" w:eastAsia="zh-CN"/>
              </w:rPr>
              <w:t>。</w:t>
            </w:r>
          </w:p>
          <w:p w14:paraId="2E99D392">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1.5正常工况下废气达标分析</w:t>
            </w:r>
          </w:p>
          <w:p w14:paraId="0FD797AE">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（1）排气筒废气达标分析</w:t>
            </w:r>
          </w:p>
          <w:p w14:paraId="581738B9">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eastAsia="zh-CN"/>
              </w:rPr>
              <w:t>废气有组织排放及达标</w:t>
            </w:r>
            <w:r>
              <w:rPr>
                <w:rFonts w:hint="default" w:ascii="Times New Roman" w:hAnsi="Times New Roman" w:eastAsia="宋体" w:cs="Times New Roman"/>
                <w:b/>
                <w:bCs/>
                <w:color w:val="auto"/>
                <w:sz w:val="21"/>
                <w:szCs w:val="21"/>
              </w:rPr>
              <w:t>情况一览表</w:t>
            </w:r>
          </w:p>
          <w:tbl>
            <w:tblPr>
              <w:tblStyle w:val="21"/>
              <w:tblW w:w="4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870"/>
              <w:gridCol w:w="1056"/>
              <w:gridCol w:w="918"/>
              <w:gridCol w:w="903"/>
              <w:gridCol w:w="919"/>
              <w:gridCol w:w="724"/>
              <w:gridCol w:w="809"/>
              <w:gridCol w:w="762"/>
            </w:tblGrid>
            <w:tr w14:paraId="0072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19" w:type="pct"/>
                  <w:vMerge w:val="restart"/>
                  <w:tcBorders>
                    <w:tl2br w:val="nil"/>
                    <w:tr2bl w:val="nil"/>
                  </w:tcBorders>
                  <w:noWrap w:val="0"/>
                  <w:vAlign w:val="center"/>
                </w:tcPr>
                <w:p w14:paraId="5B269A8B">
                  <w:pPr>
                    <w:pStyle w:val="34"/>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位置</w:t>
                  </w:r>
                </w:p>
              </w:tc>
              <w:tc>
                <w:tcPr>
                  <w:tcW w:w="547" w:type="pct"/>
                  <w:vMerge w:val="restart"/>
                  <w:tcBorders>
                    <w:tl2br w:val="nil"/>
                    <w:tr2bl w:val="nil"/>
                  </w:tcBorders>
                  <w:noWrap w:val="0"/>
                  <w:vAlign w:val="center"/>
                </w:tcPr>
                <w:p w14:paraId="1C058002">
                  <w:pPr>
                    <w:pStyle w:val="34"/>
                    <w:ind w:left="0" w:leftChars="0" w:right="0" w:rightChars="0" w:firstLine="0" w:firstLine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eastAsia="宋体" w:cs="Times New Roman"/>
                      <w:b/>
                      <w:bCs/>
                      <w:color w:val="auto"/>
                      <w:sz w:val="21"/>
                      <w:szCs w:val="21"/>
                      <w:lang w:eastAsia="zh-CN"/>
                    </w:rPr>
                    <w:t>污染物</w:t>
                  </w:r>
                </w:p>
              </w:tc>
              <w:tc>
                <w:tcPr>
                  <w:tcW w:w="664" w:type="pct"/>
                  <w:vMerge w:val="restart"/>
                  <w:tcBorders>
                    <w:tl2br w:val="nil"/>
                    <w:tr2bl w:val="nil"/>
                  </w:tcBorders>
                  <w:noWrap w:val="0"/>
                  <w:vAlign w:val="center"/>
                </w:tcPr>
                <w:p w14:paraId="1EDC469E">
                  <w:pPr>
                    <w:pStyle w:val="34"/>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废气量</w:t>
                  </w:r>
                </w:p>
              </w:tc>
              <w:tc>
                <w:tcPr>
                  <w:tcW w:w="577" w:type="pct"/>
                  <w:vMerge w:val="restart"/>
                  <w:tcBorders>
                    <w:tl2br w:val="nil"/>
                    <w:tr2bl w:val="nil"/>
                  </w:tcBorders>
                  <w:noWrap w:val="0"/>
                  <w:vAlign w:val="center"/>
                </w:tcPr>
                <w:p w14:paraId="6916AFC4">
                  <w:pPr>
                    <w:pStyle w:val="34"/>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highlight w:val="none"/>
                      <w:lang w:val="en-US" w:eastAsia="zh-CN"/>
                    </w:rPr>
                    <w:t>排放高度（m）</w:t>
                  </w:r>
                </w:p>
              </w:tc>
              <w:tc>
                <w:tcPr>
                  <w:tcW w:w="1146" w:type="pct"/>
                  <w:gridSpan w:val="2"/>
                  <w:tcBorders>
                    <w:tl2br w:val="nil"/>
                    <w:tr2bl w:val="nil"/>
                  </w:tcBorders>
                  <w:noWrap w:val="0"/>
                  <w:vAlign w:val="center"/>
                </w:tcPr>
                <w:p w14:paraId="7C48293D">
                  <w:pPr>
                    <w:pStyle w:val="34"/>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排放情况</w:t>
                  </w:r>
                </w:p>
              </w:tc>
              <w:tc>
                <w:tcPr>
                  <w:tcW w:w="964" w:type="pct"/>
                  <w:gridSpan w:val="2"/>
                  <w:tcBorders>
                    <w:tl2br w:val="nil"/>
                    <w:tr2bl w:val="nil"/>
                  </w:tcBorders>
                  <w:noWrap w:val="0"/>
                  <w:vAlign w:val="center"/>
                </w:tcPr>
                <w:p w14:paraId="0CADD498">
                  <w:pPr>
                    <w:pStyle w:val="34"/>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排放标准</w:t>
                  </w:r>
                </w:p>
              </w:tc>
              <w:tc>
                <w:tcPr>
                  <w:tcW w:w="479" w:type="pct"/>
                  <w:vMerge w:val="restart"/>
                  <w:tcBorders>
                    <w:tl2br w:val="nil"/>
                    <w:tr2bl w:val="nil"/>
                  </w:tcBorders>
                  <w:noWrap w:val="0"/>
                  <w:vAlign w:val="center"/>
                </w:tcPr>
                <w:p w14:paraId="19F03C17">
                  <w:pPr>
                    <w:pStyle w:val="34"/>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是否达标</w:t>
                  </w:r>
                </w:p>
              </w:tc>
            </w:tr>
            <w:tr w14:paraId="7687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19" w:type="pct"/>
                  <w:vMerge w:val="continue"/>
                  <w:tcBorders>
                    <w:tl2br w:val="nil"/>
                    <w:tr2bl w:val="nil"/>
                  </w:tcBorders>
                  <w:noWrap w:val="0"/>
                  <w:vAlign w:val="center"/>
                </w:tcPr>
                <w:p w14:paraId="5A5B0059">
                  <w:pPr>
                    <w:pStyle w:val="34"/>
                    <w:jc w:val="center"/>
                    <w:rPr>
                      <w:rFonts w:hint="default" w:ascii="Times New Roman" w:hAnsi="Times New Roman" w:eastAsia="宋体" w:cs="Times New Roman"/>
                      <w:b/>
                      <w:bCs/>
                      <w:color w:val="auto"/>
                      <w:sz w:val="21"/>
                      <w:szCs w:val="21"/>
                    </w:rPr>
                  </w:pPr>
                </w:p>
              </w:tc>
              <w:tc>
                <w:tcPr>
                  <w:tcW w:w="547" w:type="pct"/>
                  <w:vMerge w:val="continue"/>
                  <w:tcBorders>
                    <w:tl2br w:val="nil"/>
                    <w:tr2bl w:val="nil"/>
                  </w:tcBorders>
                  <w:noWrap w:val="0"/>
                  <w:vAlign w:val="center"/>
                </w:tcPr>
                <w:p w14:paraId="131B3A57">
                  <w:pPr>
                    <w:pStyle w:val="34"/>
                    <w:ind w:left="0" w:leftChars="0" w:right="0" w:rightChars="0" w:firstLine="0" w:firstLineChars="0"/>
                    <w:jc w:val="center"/>
                    <w:rPr>
                      <w:rFonts w:hint="default" w:ascii="Times New Roman" w:hAnsi="Times New Roman" w:eastAsia="宋体" w:cs="Times New Roman"/>
                      <w:b/>
                      <w:bCs/>
                      <w:color w:val="auto"/>
                      <w:sz w:val="21"/>
                      <w:szCs w:val="21"/>
                      <w:lang w:val="zh-CN" w:eastAsia="zh-CN" w:bidi="zh-CN"/>
                    </w:rPr>
                  </w:pPr>
                </w:p>
              </w:tc>
              <w:tc>
                <w:tcPr>
                  <w:tcW w:w="664" w:type="pct"/>
                  <w:vMerge w:val="continue"/>
                  <w:tcBorders>
                    <w:tl2br w:val="nil"/>
                    <w:tr2bl w:val="nil"/>
                  </w:tcBorders>
                  <w:noWrap w:val="0"/>
                  <w:vAlign w:val="center"/>
                </w:tcPr>
                <w:p w14:paraId="4BAA166A">
                  <w:pPr>
                    <w:pStyle w:val="34"/>
                    <w:jc w:val="center"/>
                    <w:rPr>
                      <w:rFonts w:hint="default" w:ascii="Times New Roman" w:hAnsi="Times New Roman" w:eastAsia="宋体" w:cs="Times New Roman"/>
                      <w:b/>
                      <w:bCs/>
                      <w:color w:val="auto"/>
                      <w:sz w:val="21"/>
                      <w:szCs w:val="21"/>
                    </w:rPr>
                  </w:pPr>
                </w:p>
              </w:tc>
              <w:tc>
                <w:tcPr>
                  <w:tcW w:w="577" w:type="pct"/>
                  <w:vMerge w:val="continue"/>
                  <w:tcBorders>
                    <w:tl2br w:val="nil"/>
                    <w:tr2bl w:val="nil"/>
                  </w:tcBorders>
                  <w:noWrap w:val="0"/>
                  <w:vAlign w:val="center"/>
                </w:tcPr>
                <w:p w14:paraId="19700B1C">
                  <w:pPr>
                    <w:pStyle w:val="34"/>
                    <w:jc w:val="center"/>
                    <w:rPr>
                      <w:rFonts w:hint="default" w:ascii="Times New Roman" w:hAnsi="Times New Roman" w:eastAsia="宋体" w:cs="Times New Roman"/>
                      <w:b/>
                      <w:bCs/>
                      <w:color w:val="auto"/>
                      <w:sz w:val="21"/>
                      <w:szCs w:val="21"/>
                      <w:lang w:eastAsia="zh-CN"/>
                    </w:rPr>
                  </w:pPr>
                </w:p>
              </w:tc>
              <w:tc>
                <w:tcPr>
                  <w:tcW w:w="568" w:type="pct"/>
                  <w:tcBorders>
                    <w:tl2br w:val="nil"/>
                    <w:tr2bl w:val="nil"/>
                  </w:tcBorders>
                  <w:noWrap w:val="0"/>
                  <w:vAlign w:val="center"/>
                </w:tcPr>
                <w:p w14:paraId="2F5FB74C">
                  <w:pPr>
                    <w:pStyle w:val="34"/>
                    <w:ind w:left="0" w:leftChars="0" w:right="0" w:rightChars="0" w:firstLine="0" w:firstLineChars="0"/>
                    <w:jc w:val="center"/>
                    <w:rPr>
                      <w:rFonts w:hint="default" w:ascii="Times New Roman" w:hAnsi="Times New Roman" w:eastAsia="宋体" w:cs="Times New Roman"/>
                      <w:b/>
                      <w:bCs/>
                      <w:color w:val="auto"/>
                      <w:sz w:val="21"/>
                      <w:szCs w:val="21"/>
                      <w:lang w:val="en-US" w:eastAsia="zh-CN" w:bidi="zh-CN"/>
                    </w:rPr>
                  </w:pPr>
                  <w:r>
                    <w:rPr>
                      <w:rFonts w:hint="default" w:ascii="Times New Roman" w:hAnsi="Times New Roman" w:eastAsia="宋体" w:cs="Times New Roman"/>
                      <w:b/>
                      <w:bCs/>
                      <w:color w:val="auto"/>
                      <w:sz w:val="21"/>
                      <w:szCs w:val="21"/>
                      <w:lang w:eastAsia="zh-CN"/>
                    </w:rPr>
                    <w:t>速率</w:t>
                  </w:r>
                  <w:r>
                    <w:rPr>
                      <w:rFonts w:hint="default" w:ascii="Times New Roman" w:hAnsi="Times New Roman" w:eastAsia="宋体" w:cs="Times New Roman"/>
                      <w:b/>
                      <w:bCs/>
                      <w:color w:val="auto"/>
                      <w:sz w:val="21"/>
                      <w:szCs w:val="21"/>
                      <w:lang w:val="en-US" w:eastAsia="zh-CN"/>
                    </w:rPr>
                    <w:t>kg</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h</w:t>
                  </w:r>
                </w:p>
              </w:tc>
              <w:tc>
                <w:tcPr>
                  <w:tcW w:w="578" w:type="pct"/>
                  <w:tcBorders>
                    <w:tl2br w:val="nil"/>
                    <w:tr2bl w:val="nil"/>
                  </w:tcBorders>
                  <w:noWrap w:val="0"/>
                  <w:vAlign w:val="center"/>
                </w:tcPr>
                <w:p w14:paraId="7668F7BF">
                  <w:pPr>
                    <w:pStyle w:val="34"/>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455" w:type="pct"/>
                  <w:tcBorders>
                    <w:tl2br w:val="nil"/>
                    <w:tr2bl w:val="nil"/>
                  </w:tcBorders>
                  <w:noWrap w:val="0"/>
                  <w:vAlign w:val="center"/>
                </w:tcPr>
                <w:p w14:paraId="5B315A29">
                  <w:pPr>
                    <w:pStyle w:val="34"/>
                    <w:ind w:left="0" w:leftChars="0" w:right="0" w:rightChars="0" w:firstLine="0" w:firstLineChars="0"/>
                    <w:jc w:val="center"/>
                    <w:rPr>
                      <w:rFonts w:hint="default" w:ascii="Times New Roman" w:hAnsi="Times New Roman" w:eastAsia="宋体" w:cs="Times New Roman"/>
                      <w:b/>
                      <w:bCs/>
                      <w:color w:val="auto"/>
                      <w:sz w:val="21"/>
                      <w:szCs w:val="21"/>
                      <w:lang w:val="en-US" w:eastAsia="zh-CN" w:bidi="zh-CN"/>
                    </w:rPr>
                  </w:pPr>
                  <w:r>
                    <w:rPr>
                      <w:rFonts w:hint="default" w:ascii="Times New Roman" w:hAnsi="Times New Roman" w:eastAsia="宋体" w:cs="Times New Roman"/>
                      <w:b/>
                      <w:bCs/>
                      <w:color w:val="auto"/>
                      <w:sz w:val="21"/>
                      <w:szCs w:val="21"/>
                      <w:lang w:val="en-US" w:eastAsia="zh-CN"/>
                    </w:rPr>
                    <w:t>速率kg</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h</w:t>
                  </w:r>
                </w:p>
              </w:tc>
              <w:tc>
                <w:tcPr>
                  <w:tcW w:w="509" w:type="pct"/>
                  <w:tcBorders>
                    <w:tl2br w:val="nil"/>
                    <w:tr2bl w:val="nil"/>
                  </w:tcBorders>
                  <w:noWrap w:val="0"/>
                  <w:vAlign w:val="center"/>
                </w:tcPr>
                <w:p w14:paraId="2290D50D">
                  <w:pPr>
                    <w:pStyle w:val="34"/>
                    <w:ind w:left="0" w:leftChars="0" w:right="0" w:rightChars="0" w:firstLine="0" w:firstLineChars="0"/>
                    <w:jc w:val="center"/>
                    <w:rPr>
                      <w:rFonts w:hint="default" w:ascii="Times New Roman" w:hAnsi="Times New Roman" w:eastAsia="宋体" w:cs="Times New Roman"/>
                      <w:b/>
                      <w:bCs/>
                      <w:color w:val="auto"/>
                      <w:sz w:val="21"/>
                      <w:szCs w:val="21"/>
                      <w:lang w:val="zh-CN" w:eastAsia="zh-CN" w:bidi="zh-CN"/>
                    </w:rPr>
                  </w:pPr>
                  <w:r>
                    <w:rPr>
                      <w:rFonts w:hint="default" w:ascii="Times New Roman" w:hAnsi="Times New Roman" w:eastAsia="宋体" w:cs="Times New Roman"/>
                      <w:b/>
                      <w:bCs/>
                      <w:color w:val="auto"/>
                      <w:sz w:val="21"/>
                      <w:szCs w:val="21"/>
                      <w:lang w:eastAsia="zh-CN"/>
                    </w:rPr>
                    <w:t>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479" w:type="pct"/>
                  <w:vMerge w:val="continue"/>
                  <w:tcBorders>
                    <w:tl2br w:val="nil"/>
                    <w:tr2bl w:val="nil"/>
                  </w:tcBorders>
                  <w:noWrap w:val="0"/>
                  <w:vAlign w:val="center"/>
                </w:tcPr>
                <w:p w14:paraId="3F957638">
                  <w:pPr>
                    <w:pStyle w:val="34"/>
                    <w:ind w:firstLine="0" w:firstLineChars="0"/>
                    <w:jc w:val="center"/>
                    <w:rPr>
                      <w:rFonts w:hint="default" w:ascii="Times New Roman" w:hAnsi="Times New Roman" w:eastAsia="宋体" w:cs="Times New Roman"/>
                      <w:b/>
                      <w:bCs/>
                      <w:color w:val="auto"/>
                      <w:sz w:val="21"/>
                      <w:szCs w:val="21"/>
                    </w:rPr>
                  </w:pPr>
                </w:p>
              </w:tc>
            </w:tr>
            <w:tr w14:paraId="1CD6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19" w:type="pct"/>
                  <w:tcBorders>
                    <w:tl2br w:val="nil"/>
                    <w:tr2bl w:val="nil"/>
                  </w:tcBorders>
                  <w:noWrap w:val="0"/>
                  <w:vAlign w:val="center"/>
                </w:tcPr>
                <w:p w14:paraId="55C69850">
                  <w:pPr>
                    <w:pStyle w:val="34"/>
                    <w:ind w:left="0" w:leftChars="0" w:right="0" w:rightChars="0" w:firstLine="0" w:firstLineChars="0"/>
                    <w:jc w:val="center"/>
                    <w:rPr>
                      <w:rFonts w:hint="default" w:ascii="Times New Roman" w:hAnsi="Times New Roman" w:eastAsia="宋体" w:cs="Times New Roman"/>
                      <w:color w:val="auto"/>
                      <w:spacing w:val="0"/>
                      <w:sz w:val="21"/>
                      <w:szCs w:val="21"/>
                      <w:lang w:val="en-US" w:eastAsia="zh-CN" w:bidi="zh-CN"/>
                    </w:rPr>
                  </w:pPr>
                  <w:r>
                    <w:rPr>
                      <w:rFonts w:hint="default" w:ascii="Times New Roman" w:hAnsi="Times New Roman" w:eastAsia="宋体" w:cs="Times New Roman"/>
                      <w:color w:val="auto"/>
                      <w:sz w:val="21"/>
                      <w:szCs w:val="21"/>
                      <w:lang w:val="en-US" w:eastAsia="zh-CN"/>
                    </w:rPr>
                    <w:t>DA001</w:t>
                  </w:r>
                </w:p>
              </w:tc>
              <w:tc>
                <w:tcPr>
                  <w:tcW w:w="547" w:type="pct"/>
                  <w:tcBorders>
                    <w:tl2br w:val="nil"/>
                    <w:tr2bl w:val="nil"/>
                  </w:tcBorders>
                  <w:noWrap w:val="0"/>
                  <w:vAlign w:val="center"/>
                </w:tcPr>
                <w:p w14:paraId="29E81D5C">
                  <w:pPr>
                    <w:pStyle w:val="34"/>
                    <w:ind w:left="0" w:leftChars="0" w:right="0" w:rightChars="0" w:firstLine="0" w:firstLineChars="0"/>
                    <w:jc w:val="center"/>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en-US" w:eastAsia="zh-CN"/>
                    </w:rPr>
                    <w:t>颗粒物</w:t>
                  </w:r>
                </w:p>
              </w:tc>
              <w:tc>
                <w:tcPr>
                  <w:tcW w:w="664" w:type="pct"/>
                  <w:tcBorders>
                    <w:tl2br w:val="nil"/>
                    <w:tr2bl w:val="nil"/>
                  </w:tcBorders>
                  <w:noWrap w:val="0"/>
                  <w:vAlign w:val="center"/>
                </w:tcPr>
                <w:p w14:paraId="556F511D">
                  <w:pPr>
                    <w:pStyle w:val="34"/>
                    <w:ind w:left="0" w:leftChars="0" w:right="0" w:rightChars="0" w:firstLine="0" w:firstLineChars="0"/>
                    <w:jc w:val="center"/>
                    <w:rPr>
                      <w:rFonts w:hint="default" w:ascii="Times New Roman" w:hAnsi="Times New Roman" w:eastAsia="宋体" w:cs="Times New Roman"/>
                      <w:b w:val="0"/>
                      <w:bCs w:val="0"/>
                      <w:color w:val="auto"/>
                      <w:sz w:val="21"/>
                      <w:szCs w:val="21"/>
                      <w:lang w:val="en-US" w:eastAsia="zh-CN" w:bidi="zh-CN"/>
                    </w:rPr>
                  </w:pPr>
                  <w:r>
                    <w:rPr>
                      <w:rFonts w:hint="eastAsia" w:cs="Times New Roman"/>
                      <w:b w:val="0"/>
                      <w:bCs w:val="0"/>
                      <w:color w:val="auto"/>
                      <w:sz w:val="21"/>
                      <w:szCs w:val="21"/>
                      <w:lang w:val="en-US" w:eastAsia="zh-CN"/>
                    </w:rPr>
                    <w:t>21</w:t>
                  </w:r>
                  <w:r>
                    <w:rPr>
                      <w:rFonts w:hint="default" w:ascii="Times New Roman" w:hAnsi="Times New Roman" w:eastAsia="宋体" w:cs="Times New Roman"/>
                      <w:b w:val="0"/>
                      <w:bCs w:val="0"/>
                      <w:color w:val="auto"/>
                      <w:sz w:val="21"/>
                      <w:szCs w:val="21"/>
                      <w:lang w:val="en-US" w:eastAsia="zh-CN"/>
                    </w:rPr>
                    <w:t>000</w:t>
                  </w:r>
                  <w:r>
                    <w:rPr>
                      <w:rFonts w:hint="default" w:ascii="Times New Roman" w:hAnsi="Times New Roman" w:eastAsia="宋体" w:cs="Times New Roman"/>
                      <w:b w:val="0"/>
                      <w:bCs w:val="0"/>
                      <w:color w:val="auto"/>
                      <w:sz w:val="21"/>
                      <w:szCs w:val="21"/>
                    </w:rPr>
                    <w:t>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h</w:t>
                  </w:r>
                </w:p>
              </w:tc>
              <w:tc>
                <w:tcPr>
                  <w:tcW w:w="577" w:type="pct"/>
                  <w:tcBorders>
                    <w:tl2br w:val="nil"/>
                    <w:tr2bl w:val="nil"/>
                  </w:tcBorders>
                  <w:noWrap w:val="0"/>
                  <w:vAlign w:val="center"/>
                </w:tcPr>
                <w:p w14:paraId="557AD743">
                  <w:pPr>
                    <w:pStyle w:val="34"/>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20</w:t>
                  </w:r>
                </w:p>
              </w:tc>
              <w:tc>
                <w:tcPr>
                  <w:tcW w:w="903" w:type="dxa"/>
                  <w:tcBorders>
                    <w:tl2br w:val="nil"/>
                    <w:tr2bl w:val="nil"/>
                  </w:tcBorders>
                  <w:noWrap w:val="0"/>
                  <w:vAlign w:val="center"/>
                </w:tcPr>
                <w:p w14:paraId="0DE73079">
                  <w:pPr>
                    <w:pStyle w:val="2"/>
                    <w:spacing w:line="240" w:lineRule="auto"/>
                    <w:ind w:left="0" w:leftChars="0" w:right="0" w:right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vertAlign w:val="baseline"/>
                      <w:lang w:val="en-US" w:eastAsia="zh-CN" w:bidi="ar-SA"/>
                    </w:rPr>
                    <w:t>0.117</w:t>
                  </w:r>
                </w:p>
              </w:tc>
              <w:tc>
                <w:tcPr>
                  <w:tcW w:w="919" w:type="dxa"/>
                  <w:tcBorders>
                    <w:tl2br w:val="nil"/>
                    <w:tr2bl w:val="nil"/>
                  </w:tcBorders>
                  <w:noWrap w:val="0"/>
                  <w:vAlign w:val="center"/>
                </w:tcPr>
                <w:p w14:paraId="356C733C">
                  <w:pPr>
                    <w:pStyle w:val="2"/>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vertAlign w:val="baseline"/>
                      <w:lang w:val="en-US" w:eastAsia="zh-CN"/>
                    </w:rPr>
                    <w:t>5.565</w:t>
                  </w:r>
                </w:p>
              </w:tc>
              <w:tc>
                <w:tcPr>
                  <w:tcW w:w="455" w:type="pct"/>
                  <w:tcBorders>
                    <w:tl2br w:val="nil"/>
                    <w:tr2bl w:val="nil"/>
                  </w:tcBorders>
                  <w:noWrap w:val="0"/>
                  <w:vAlign w:val="center"/>
                </w:tcPr>
                <w:p w14:paraId="077BA762">
                  <w:pPr>
                    <w:pStyle w:val="34"/>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highlight w:val="none"/>
                      <w:lang w:val="en-US" w:eastAsia="zh-CN"/>
                    </w:rPr>
                    <w:t>5.9</w:t>
                  </w:r>
                </w:p>
              </w:tc>
              <w:tc>
                <w:tcPr>
                  <w:tcW w:w="509" w:type="pct"/>
                  <w:tcBorders>
                    <w:tl2br w:val="nil"/>
                    <w:tr2bl w:val="nil"/>
                  </w:tcBorders>
                  <w:noWrap w:val="0"/>
                  <w:vAlign w:val="center"/>
                </w:tcPr>
                <w:p w14:paraId="0E3392FA">
                  <w:pPr>
                    <w:pStyle w:val="34"/>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120</w:t>
                  </w:r>
                </w:p>
              </w:tc>
              <w:tc>
                <w:tcPr>
                  <w:tcW w:w="479" w:type="pct"/>
                  <w:tcBorders>
                    <w:tl2br w:val="nil"/>
                    <w:tr2bl w:val="nil"/>
                  </w:tcBorders>
                  <w:noWrap w:val="0"/>
                  <w:vAlign w:val="center"/>
                </w:tcPr>
                <w:p w14:paraId="4F04A660">
                  <w:pPr>
                    <w:pStyle w:val="34"/>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auto"/>
                      <w:sz w:val="21"/>
                      <w:szCs w:val="21"/>
                      <w:highlight w:val="none"/>
                      <w:lang w:val="en-US" w:eastAsia="zh-CN"/>
                    </w:rPr>
                    <w:t>达标</w:t>
                  </w:r>
                </w:p>
              </w:tc>
            </w:tr>
          </w:tbl>
          <w:p w14:paraId="07C77F31">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由上表可知，排气筒（</w:t>
            </w:r>
            <w:r>
              <w:rPr>
                <w:rFonts w:hint="default" w:ascii="Times New Roman" w:hAnsi="Times New Roman" w:eastAsia="宋体" w:cs="Times New Roman"/>
                <w:color w:val="auto"/>
                <w:sz w:val="24"/>
                <w:lang w:val="en-US" w:eastAsia="zh-CN"/>
              </w:rPr>
              <w:t>DA001</w:t>
            </w:r>
            <w:r>
              <w:rPr>
                <w:rFonts w:hint="default" w:ascii="Times New Roman" w:hAnsi="Times New Roman" w:eastAsia="宋体" w:cs="Times New Roman"/>
                <w:color w:val="auto"/>
                <w:sz w:val="24"/>
                <w:szCs w:val="24"/>
                <w:lang w:val="en-US" w:eastAsia="zh-CN"/>
              </w:rPr>
              <w:t>）排放浓度满足</w:t>
            </w:r>
            <w:r>
              <w:rPr>
                <w:rFonts w:hint="default" w:ascii="Times New Roman" w:hAnsi="Times New Roman" w:eastAsia="宋体" w:cs="Times New Roman"/>
                <w:color w:val="auto"/>
                <w:lang w:eastAsia="zh-CN"/>
              </w:rPr>
              <w:t>《大气污染物综合排放标准》（GB16297-1996）表2</w:t>
            </w:r>
            <w:r>
              <w:rPr>
                <w:rFonts w:hint="default" w:ascii="Times New Roman" w:hAnsi="Times New Roman" w:eastAsia="宋体" w:cs="Times New Roman"/>
                <w:color w:val="auto"/>
              </w:rPr>
              <w:t>中二级标准：颗粒物有组织排放浓度120mg/m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，排放速率</w:t>
            </w:r>
            <w:r>
              <w:rPr>
                <w:rFonts w:hint="eastAsia" w:cs="Times New Roman"/>
                <w:color w:val="auto"/>
                <w:lang w:val="en-US" w:eastAsia="zh-CN"/>
              </w:rPr>
              <w:t>5.9</w:t>
            </w:r>
            <w:r>
              <w:rPr>
                <w:rFonts w:hint="default" w:ascii="Times New Roman" w:hAnsi="Times New Roman" w:eastAsia="宋体" w:cs="Times New Roman"/>
                <w:color w:val="auto"/>
              </w:rPr>
              <w:t>kg/h</w:t>
            </w:r>
            <w:r>
              <w:rPr>
                <w:rFonts w:hint="default" w:ascii="Times New Roman" w:hAnsi="Times New Roman" w:eastAsia="宋体" w:cs="Times New Roman"/>
                <w:color w:val="auto"/>
                <w:spacing w:val="0"/>
                <w:w w:val="100"/>
                <w:highlight w:val="none"/>
                <w:lang w:eastAsia="zh-CN"/>
              </w:rPr>
              <w:t>。</w:t>
            </w:r>
          </w:p>
          <w:p w14:paraId="02E6B14B">
            <w:pPr>
              <w:pStyle w:val="2"/>
              <w:keepNext w:val="0"/>
              <w:keepLines w:val="0"/>
              <w:pageBreakBefore w:val="0"/>
              <w:widowControl w:val="0"/>
              <w:numPr>
                <w:ilvl w:val="0"/>
                <w:numId w:val="3"/>
              </w:numPr>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厂界废气达标分析</w:t>
            </w:r>
          </w:p>
          <w:p w14:paraId="243A9BC7">
            <w:pPr>
              <w:keepNext w:val="0"/>
              <w:keepLines w:val="0"/>
              <w:pageBreakBefore w:val="0"/>
              <w:widowControl w:val="0"/>
              <w:kinsoku/>
              <w:wordWrap/>
              <w:overflowPunct/>
              <w:topLinePunct w:val="0"/>
              <w:autoSpaceDE w:val="0"/>
              <w:autoSpaceDN w:val="0"/>
              <w:bidi w:val="0"/>
              <w:adjustRightInd/>
              <w:snapToGrid/>
              <w:spacing w:line="500" w:lineRule="exact"/>
              <w:ind w:left="0" w:firstLine="480" w:firstLineChars="200"/>
              <w:jc w:val="left"/>
              <w:textAlignment w:val="auto"/>
              <w:rPr>
                <w:rFonts w:hint="default" w:ascii="Times New Roman" w:hAnsi="Times New Roman" w:eastAsia="宋体" w:cs="Times New Roman"/>
                <w:color w:val="auto"/>
                <w:spacing w:val="0"/>
                <w:sz w:val="24"/>
                <w:lang w:eastAsia="zh-CN"/>
              </w:rPr>
            </w:pPr>
            <w:r>
              <w:rPr>
                <w:rFonts w:hint="default" w:ascii="Times New Roman" w:hAnsi="Times New Roman" w:eastAsia="宋体" w:cs="Times New Roman"/>
                <w:color w:val="auto"/>
                <w:spacing w:val="0"/>
                <w:sz w:val="24"/>
                <w:szCs w:val="24"/>
                <w:highlight w:val="none"/>
                <w:lang w:val="en-US" w:eastAsia="zh-CN"/>
              </w:rPr>
              <w:t>本次评价采用《环境影响评价技术导则大气环境》（HJ2.2-2018）推荐的估算模型Screen3Model，对无组织面源到厂界最大落地浓度进行估算。无组织排放达标论证结果见下表</w:t>
            </w:r>
            <w:r>
              <w:rPr>
                <w:rFonts w:hint="default" w:ascii="Times New Roman" w:hAnsi="Times New Roman" w:eastAsia="宋体" w:cs="Times New Roman"/>
                <w:color w:val="auto"/>
                <w:spacing w:val="0"/>
                <w:sz w:val="24"/>
                <w:lang w:eastAsia="zh-CN"/>
              </w:rPr>
              <w:t>。</w:t>
            </w:r>
          </w:p>
          <w:p w14:paraId="094812F4">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22" w:firstLineChars="20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采用的无组织面源参数调查清单</w:t>
            </w:r>
          </w:p>
          <w:tbl>
            <w:tblPr>
              <w:tblStyle w:val="21"/>
              <w:tblW w:w="48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339"/>
              <w:gridCol w:w="617"/>
              <w:gridCol w:w="1179"/>
              <w:gridCol w:w="1401"/>
              <w:gridCol w:w="473"/>
              <w:gridCol w:w="554"/>
              <w:gridCol w:w="674"/>
              <w:gridCol w:w="606"/>
              <w:gridCol w:w="781"/>
              <w:gridCol w:w="1350"/>
            </w:tblGrid>
            <w:tr w14:paraId="2B3DA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329" w:hRule="atLeast"/>
                <w:jc w:val="center"/>
              </w:trPr>
              <w:tc>
                <w:tcPr>
                  <w:tcW w:w="339" w:type="dxa"/>
                  <w:vMerge w:val="restart"/>
                  <w:tcBorders>
                    <w:tl2br w:val="nil"/>
                    <w:tr2bl w:val="nil"/>
                  </w:tcBorders>
                  <w:shd w:val="clear" w:color="auto" w:fill="auto"/>
                  <w:noWrap w:val="0"/>
                  <w:vAlign w:val="center"/>
                </w:tcPr>
                <w:p w14:paraId="02155656">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编号</w:t>
                  </w:r>
                </w:p>
              </w:tc>
              <w:tc>
                <w:tcPr>
                  <w:tcW w:w="617" w:type="dxa"/>
                  <w:vMerge w:val="restart"/>
                  <w:tcBorders>
                    <w:tl2br w:val="nil"/>
                    <w:tr2bl w:val="nil"/>
                  </w:tcBorders>
                  <w:shd w:val="clear" w:color="auto" w:fill="auto"/>
                  <w:noWrap w:val="0"/>
                  <w:vAlign w:val="center"/>
                </w:tcPr>
                <w:p w14:paraId="5B33F95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名称</w:t>
                  </w:r>
                </w:p>
              </w:tc>
              <w:tc>
                <w:tcPr>
                  <w:tcW w:w="2580" w:type="dxa"/>
                  <w:gridSpan w:val="2"/>
                  <w:tcBorders>
                    <w:tl2br w:val="nil"/>
                    <w:tr2bl w:val="nil"/>
                  </w:tcBorders>
                  <w:shd w:val="clear" w:color="auto" w:fill="auto"/>
                  <w:noWrap w:val="0"/>
                  <w:vAlign w:val="center"/>
                </w:tcPr>
                <w:p w14:paraId="1EB699C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面源中心点坐标</w:t>
                  </w:r>
                  <w:r>
                    <w:rPr>
                      <w:rFonts w:hint="default" w:ascii="Times New Roman" w:hAnsi="Times New Roman" w:eastAsia="宋体" w:cs="Times New Roman"/>
                      <w:snapToGrid w:val="0"/>
                      <w:color w:val="auto"/>
                      <w:sz w:val="21"/>
                      <w:szCs w:val="21"/>
                      <w:highlight w:val="none"/>
                    </w:rPr>
                    <w:t>/m</w:t>
                  </w:r>
                </w:p>
              </w:tc>
              <w:tc>
                <w:tcPr>
                  <w:tcW w:w="473" w:type="dxa"/>
                  <w:vMerge w:val="restart"/>
                  <w:tcBorders>
                    <w:tl2br w:val="nil"/>
                    <w:tr2bl w:val="nil"/>
                  </w:tcBorders>
                  <w:shd w:val="clear" w:color="auto" w:fill="auto"/>
                  <w:noWrap w:val="0"/>
                  <w:vAlign w:val="center"/>
                </w:tcPr>
                <w:p w14:paraId="7BE99D9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面源长度/m</w:t>
                  </w:r>
                </w:p>
              </w:tc>
              <w:tc>
                <w:tcPr>
                  <w:tcW w:w="554" w:type="dxa"/>
                  <w:vMerge w:val="restart"/>
                  <w:tcBorders>
                    <w:tl2br w:val="nil"/>
                    <w:tr2bl w:val="nil"/>
                  </w:tcBorders>
                  <w:shd w:val="clear" w:color="auto" w:fill="auto"/>
                  <w:noWrap w:val="0"/>
                  <w:vAlign w:val="center"/>
                </w:tcPr>
                <w:p w14:paraId="32648BD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面源宽度/m</w:t>
                  </w:r>
                </w:p>
              </w:tc>
              <w:tc>
                <w:tcPr>
                  <w:tcW w:w="674" w:type="dxa"/>
                  <w:vMerge w:val="restart"/>
                  <w:tcBorders>
                    <w:tl2br w:val="nil"/>
                    <w:tr2bl w:val="nil"/>
                  </w:tcBorders>
                  <w:shd w:val="clear" w:color="auto" w:fill="auto"/>
                  <w:noWrap w:val="0"/>
                  <w:vAlign w:val="center"/>
                </w:tcPr>
                <w:p w14:paraId="312F5666">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面源有效排放高度</w:t>
                  </w:r>
                  <w:r>
                    <w:rPr>
                      <w:rFonts w:hint="default" w:ascii="Times New Roman" w:hAnsi="Times New Roman" w:eastAsia="宋体" w:cs="Times New Roman"/>
                      <w:snapToGrid w:val="0"/>
                      <w:color w:val="auto"/>
                      <w:sz w:val="21"/>
                      <w:szCs w:val="21"/>
                      <w:highlight w:val="none"/>
                    </w:rPr>
                    <w:t>/m</w:t>
                  </w:r>
                </w:p>
              </w:tc>
              <w:tc>
                <w:tcPr>
                  <w:tcW w:w="606" w:type="dxa"/>
                  <w:vMerge w:val="restart"/>
                  <w:tcBorders>
                    <w:tl2br w:val="nil"/>
                    <w:tr2bl w:val="nil"/>
                  </w:tcBorders>
                  <w:shd w:val="clear" w:color="auto" w:fill="auto"/>
                  <w:noWrap w:val="0"/>
                  <w:vAlign w:val="center"/>
                </w:tcPr>
                <w:p w14:paraId="166D96CD">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年排放小时数</w:t>
                  </w:r>
                  <w:r>
                    <w:rPr>
                      <w:rFonts w:hint="default" w:ascii="Times New Roman" w:hAnsi="Times New Roman" w:eastAsia="宋体" w:cs="Times New Roman"/>
                      <w:snapToGrid w:val="0"/>
                      <w:color w:val="auto"/>
                      <w:sz w:val="21"/>
                      <w:szCs w:val="21"/>
                      <w:highlight w:val="none"/>
                    </w:rPr>
                    <w:t>/h</w:t>
                  </w:r>
                </w:p>
              </w:tc>
              <w:tc>
                <w:tcPr>
                  <w:tcW w:w="781" w:type="dxa"/>
                  <w:vMerge w:val="restart"/>
                  <w:tcBorders>
                    <w:tl2br w:val="nil"/>
                    <w:tr2bl w:val="nil"/>
                  </w:tcBorders>
                  <w:shd w:val="clear" w:color="auto" w:fill="auto"/>
                  <w:noWrap w:val="0"/>
                  <w:vAlign w:val="center"/>
                </w:tcPr>
                <w:p w14:paraId="682C706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排放工况</w:t>
                  </w:r>
                </w:p>
              </w:tc>
              <w:tc>
                <w:tcPr>
                  <w:tcW w:w="1350" w:type="dxa"/>
                  <w:vMerge w:val="restart"/>
                  <w:tcBorders>
                    <w:tl2br w:val="nil"/>
                    <w:tr2bl w:val="nil"/>
                  </w:tcBorders>
                  <w:shd w:val="clear" w:color="auto" w:fill="auto"/>
                  <w:noWrap w:val="0"/>
                  <w:vAlign w:val="center"/>
                </w:tcPr>
                <w:p w14:paraId="04658145">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污染物排放速率</w:t>
                  </w:r>
                  <w:r>
                    <w:rPr>
                      <w:rFonts w:hint="default" w:ascii="Times New Roman" w:hAnsi="Times New Roman" w:eastAsia="宋体" w:cs="Times New Roman"/>
                      <w:snapToGrid w:val="0"/>
                      <w:color w:val="auto"/>
                      <w:sz w:val="21"/>
                      <w:szCs w:val="21"/>
                      <w:highlight w:val="none"/>
                    </w:rPr>
                    <w:t>/kg/h</w:t>
                  </w:r>
                </w:p>
              </w:tc>
            </w:tr>
            <w:tr w14:paraId="62CCA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6" w:hRule="atLeast"/>
                <w:jc w:val="center"/>
              </w:trPr>
              <w:tc>
                <w:tcPr>
                  <w:tcW w:w="339" w:type="dxa"/>
                  <w:vMerge w:val="continue"/>
                  <w:tcBorders>
                    <w:tl2br w:val="nil"/>
                    <w:tr2bl w:val="nil"/>
                  </w:tcBorders>
                  <w:shd w:val="clear" w:color="auto" w:fill="auto"/>
                  <w:noWrap w:val="0"/>
                  <w:vAlign w:val="center"/>
                </w:tcPr>
                <w:p w14:paraId="0496A5D6">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617" w:type="dxa"/>
                  <w:vMerge w:val="continue"/>
                  <w:tcBorders>
                    <w:tl2br w:val="nil"/>
                    <w:tr2bl w:val="nil"/>
                  </w:tcBorders>
                  <w:shd w:val="clear" w:color="auto" w:fill="auto"/>
                  <w:noWrap w:val="0"/>
                  <w:vAlign w:val="center"/>
                </w:tcPr>
                <w:p w14:paraId="53873A27">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179" w:type="dxa"/>
                  <w:vMerge w:val="restart"/>
                  <w:tcBorders>
                    <w:tl2br w:val="nil"/>
                    <w:tr2bl w:val="nil"/>
                  </w:tcBorders>
                  <w:shd w:val="clear" w:color="auto" w:fill="auto"/>
                  <w:noWrap w:val="0"/>
                  <w:vAlign w:val="center"/>
                </w:tcPr>
                <w:p w14:paraId="376D8E82">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X</w:t>
                  </w:r>
                </w:p>
              </w:tc>
              <w:tc>
                <w:tcPr>
                  <w:tcW w:w="1401" w:type="dxa"/>
                  <w:vMerge w:val="restart"/>
                  <w:tcBorders>
                    <w:tl2br w:val="nil"/>
                    <w:tr2bl w:val="nil"/>
                  </w:tcBorders>
                  <w:shd w:val="clear" w:color="auto" w:fill="auto"/>
                  <w:noWrap w:val="0"/>
                  <w:vAlign w:val="center"/>
                </w:tcPr>
                <w:p w14:paraId="7132D434">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Y</w:t>
                  </w:r>
                </w:p>
              </w:tc>
              <w:tc>
                <w:tcPr>
                  <w:tcW w:w="473" w:type="dxa"/>
                  <w:vMerge w:val="continue"/>
                  <w:tcBorders>
                    <w:tl2br w:val="nil"/>
                    <w:tr2bl w:val="nil"/>
                  </w:tcBorders>
                  <w:shd w:val="clear" w:color="auto" w:fill="auto"/>
                  <w:noWrap w:val="0"/>
                  <w:vAlign w:val="center"/>
                </w:tcPr>
                <w:p w14:paraId="37679231">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554" w:type="dxa"/>
                  <w:vMerge w:val="continue"/>
                  <w:tcBorders>
                    <w:tl2br w:val="nil"/>
                    <w:tr2bl w:val="nil"/>
                  </w:tcBorders>
                  <w:shd w:val="clear" w:color="auto" w:fill="auto"/>
                  <w:noWrap w:val="0"/>
                  <w:vAlign w:val="center"/>
                </w:tcPr>
                <w:p w14:paraId="08B030B7">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74" w:type="dxa"/>
                  <w:vMerge w:val="continue"/>
                  <w:tcBorders>
                    <w:tl2br w:val="nil"/>
                    <w:tr2bl w:val="nil"/>
                  </w:tcBorders>
                  <w:shd w:val="clear" w:color="auto" w:fill="auto"/>
                  <w:noWrap w:val="0"/>
                  <w:vAlign w:val="center"/>
                </w:tcPr>
                <w:p w14:paraId="713787F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06" w:type="dxa"/>
                  <w:vMerge w:val="continue"/>
                  <w:tcBorders>
                    <w:tl2br w:val="nil"/>
                    <w:tr2bl w:val="nil"/>
                  </w:tcBorders>
                  <w:shd w:val="clear" w:color="auto" w:fill="auto"/>
                  <w:noWrap w:val="0"/>
                  <w:vAlign w:val="center"/>
                </w:tcPr>
                <w:p w14:paraId="0BFB4045">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81" w:type="dxa"/>
                  <w:vMerge w:val="continue"/>
                  <w:tcBorders>
                    <w:tl2br w:val="nil"/>
                    <w:tr2bl w:val="nil"/>
                  </w:tcBorders>
                  <w:shd w:val="clear" w:color="auto" w:fill="auto"/>
                  <w:noWrap w:val="0"/>
                  <w:vAlign w:val="center"/>
                </w:tcPr>
                <w:p w14:paraId="0A9593C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350" w:type="dxa"/>
                  <w:vMerge w:val="continue"/>
                  <w:tcBorders>
                    <w:bottom w:val="single" w:color="auto" w:sz="4" w:space="0"/>
                    <w:tl2br w:val="nil"/>
                    <w:tr2bl w:val="nil"/>
                  </w:tcBorders>
                  <w:shd w:val="clear" w:color="auto" w:fill="auto"/>
                  <w:noWrap w:val="0"/>
                  <w:vAlign w:val="center"/>
                </w:tcPr>
                <w:p w14:paraId="47057DD1">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r>
            <w:tr w14:paraId="0A7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0" w:hRule="atLeast"/>
                <w:jc w:val="center"/>
              </w:trPr>
              <w:tc>
                <w:tcPr>
                  <w:tcW w:w="339" w:type="dxa"/>
                  <w:vMerge w:val="continue"/>
                  <w:tcBorders>
                    <w:tl2br w:val="nil"/>
                    <w:tr2bl w:val="nil"/>
                  </w:tcBorders>
                  <w:shd w:val="clear" w:color="auto" w:fill="auto"/>
                  <w:noWrap w:val="0"/>
                  <w:vAlign w:val="center"/>
                </w:tcPr>
                <w:p w14:paraId="18208E6B">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617" w:type="dxa"/>
                  <w:vMerge w:val="continue"/>
                  <w:tcBorders>
                    <w:tl2br w:val="nil"/>
                    <w:tr2bl w:val="nil"/>
                  </w:tcBorders>
                  <w:shd w:val="clear" w:color="auto" w:fill="auto"/>
                  <w:noWrap w:val="0"/>
                  <w:vAlign w:val="center"/>
                </w:tcPr>
                <w:p w14:paraId="6AC963D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179" w:type="dxa"/>
                  <w:vMerge w:val="continue"/>
                  <w:tcBorders>
                    <w:tl2br w:val="nil"/>
                    <w:tr2bl w:val="nil"/>
                  </w:tcBorders>
                  <w:shd w:val="clear" w:color="auto" w:fill="auto"/>
                  <w:noWrap w:val="0"/>
                  <w:vAlign w:val="center"/>
                </w:tcPr>
                <w:p w14:paraId="0C545564">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401" w:type="dxa"/>
                  <w:vMerge w:val="continue"/>
                  <w:tcBorders>
                    <w:tl2br w:val="nil"/>
                    <w:tr2bl w:val="nil"/>
                  </w:tcBorders>
                  <w:shd w:val="clear" w:color="auto" w:fill="auto"/>
                  <w:noWrap w:val="0"/>
                  <w:vAlign w:val="center"/>
                </w:tcPr>
                <w:p w14:paraId="3669653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473" w:type="dxa"/>
                  <w:vMerge w:val="continue"/>
                  <w:tcBorders>
                    <w:tl2br w:val="nil"/>
                    <w:tr2bl w:val="nil"/>
                  </w:tcBorders>
                  <w:shd w:val="clear" w:color="auto" w:fill="auto"/>
                  <w:noWrap w:val="0"/>
                  <w:vAlign w:val="center"/>
                </w:tcPr>
                <w:p w14:paraId="5FF3D2D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554" w:type="dxa"/>
                  <w:vMerge w:val="continue"/>
                  <w:tcBorders>
                    <w:tl2br w:val="nil"/>
                    <w:tr2bl w:val="nil"/>
                  </w:tcBorders>
                  <w:shd w:val="clear" w:color="auto" w:fill="auto"/>
                  <w:noWrap w:val="0"/>
                  <w:vAlign w:val="center"/>
                </w:tcPr>
                <w:p w14:paraId="374631ED">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74" w:type="dxa"/>
                  <w:vMerge w:val="continue"/>
                  <w:tcBorders>
                    <w:tl2br w:val="nil"/>
                    <w:tr2bl w:val="nil"/>
                  </w:tcBorders>
                  <w:shd w:val="clear" w:color="auto" w:fill="auto"/>
                  <w:noWrap w:val="0"/>
                  <w:vAlign w:val="center"/>
                </w:tcPr>
                <w:p w14:paraId="5146133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06" w:type="dxa"/>
                  <w:vMerge w:val="continue"/>
                  <w:tcBorders>
                    <w:tl2br w:val="nil"/>
                    <w:tr2bl w:val="nil"/>
                  </w:tcBorders>
                  <w:shd w:val="clear" w:color="auto" w:fill="auto"/>
                  <w:noWrap w:val="0"/>
                  <w:vAlign w:val="center"/>
                </w:tcPr>
                <w:p w14:paraId="2A1D0B06">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81" w:type="dxa"/>
                  <w:vMerge w:val="continue"/>
                  <w:tcBorders>
                    <w:tl2br w:val="nil"/>
                    <w:tr2bl w:val="nil"/>
                  </w:tcBorders>
                  <w:shd w:val="clear" w:color="auto" w:fill="auto"/>
                  <w:noWrap w:val="0"/>
                  <w:vAlign w:val="center"/>
                </w:tcPr>
                <w:p w14:paraId="1C5ED2E5">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350" w:type="dxa"/>
                  <w:tcBorders>
                    <w:top w:val="single" w:color="auto" w:sz="4" w:space="0"/>
                    <w:tl2br w:val="nil"/>
                    <w:tr2bl w:val="nil"/>
                  </w:tcBorders>
                  <w:shd w:val="clear" w:color="auto" w:fill="auto"/>
                  <w:noWrap w:val="0"/>
                  <w:vAlign w:val="center"/>
                </w:tcPr>
                <w:p w14:paraId="38A58002">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TSP</w:t>
                  </w:r>
                </w:p>
              </w:tc>
            </w:tr>
            <w:tr w14:paraId="79390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2" w:hRule="atLeast"/>
                <w:jc w:val="center"/>
              </w:trPr>
              <w:tc>
                <w:tcPr>
                  <w:tcW w:w="339" w:type="dxa"/>
                  <w:tcBorders>
                    <w:tl2br w:val="nil"/>
                    <w:tr2bl w:val="nil"/>
                  </w:tcBorders>
                  <w:shd w:val="clear" w:color="auto" w:fill="auto"/>
                  <w:noWrap w:val="0"/>
                  <w:vAlign w:val="center"/>
                </w:tcPr>
                <w:p w14:paraId="4BBBDA0B">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w:t>
                  </w:r>
                </w:p>
              </w:tc>
              <w:tc>
                <w:tcPr>
                  <w:tcW w:w="617" w:type="dxa"/>
                  <w:tcBorders>
                    <w:tl2br w:val="nil"/>
                    <w:tr2bl w:val="nil"/>
                  </w:tcBorders>
                  <w:shd w:val="clear" w:color="auto" w:fill="auto"/>
                  <w:noWrap w:val="0"/>
                  <w:vAlign w:val="center"/>
                </w:tcPr>
                <w:p w14:paraId="65102627">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封闭式生产车间</w:t>
                  </w:r>
                </w:p>
              </w:tc>
              <w:tc>
                <w:tcPr>
                  <w:tcW w:w="1179" w:type="dxa"/>
                  <w:tcBorders>
                    <w:tl2br w:val="nil"/>
                    <w:tr2bl w:val="nil"/>
                  </w:tcBorders>
                  <w:shd w:val="clear" w:color="auto" w:fill="auto"/>
                  <w:noWrap w:val="0"/>
                  <w:vAlign w:val="center"/>
                </w:tcPr>
                <w:p w14:paraId="5DD93076">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117.3530412</w:t>
                  </w:r>
                </w:p>
              </w:tc>
              <w:tc>
                <w:tcPr>
                  <w:tcW w:w="1401" w:type="dxa"/>
                  <w:tcBorders>
                    <w:tl2br w:val="nil"/>
                    <w:tr2bl w:val="nil"/>
                  </w:tcBorders>
                  <w:shd w:val="clear" w:color="auto" w:fill="auto"/>
                  <w:noWrap w:val="0"/>
                  <w:vAlign w:val="center"/>
                </w:tcPr>
                <w:p w14:paraId="00BEF81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40.3002174</w:t>
                  </w:r>
                </w:p>
              </w:tc>
              <w:tc>
                <w:tcPr>
                  <w:tcW w:w="473" w:type="dxa"/>
                  <w:tcBorders>
                    <w:tl2br w:val="nil"/>
                    <w:tr2bl w:val="nil"/>
                  </w:tcBorders>
                  <w:shd w:val="clear" w:color="auto" w:fill="auto"/>
                  <w:noWrap w:val="0"/>
                  <w:vAlign w:val="center"/>
                </w:tcPr>
                <w:p w14:paraId="3AB7C452">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35</w:t>
                  </w:r>
                </w:p>
              </w:tc>
              <w:tc>
                <w:tcPr>
                  <w:tcW w:w="554" w:type="dxa"/>
                  <w:tcBorders>
                    <w:tl2br w:val="nil"/>
                    <w:tr2bl w:val="nil"/>
                  </w:tcBorders>
                  <w:shd w:val="clear" w:color="auto" w:fill="auto"/>
                  <w:noWrap w:val="0"/>
                  <w:vAlign w:val="center"/>
                </w:tcPr>
                <w:p w14:paraId="1E80E573">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15</w:t>
                  </w:r>
                </w:p>
              </w:tc>
              <w:tc>
                <w:tcPr>
                  <w:tcW w:w="674" w:type="dxa"/>
                  <w:tcBorders>
                    <w:tl2br w:val="nil"/>
                    <w:tr2bl w:val="nil"/>
                  </w:tcBorders>
                  <w:shd w:val="clear" w:color="auto" w:fill="auto"/>
                  <w:noWrap w:val="0"/>
                  <w:vAlign w:val="center"/>
                </w:tcPr>
                <w:p w14:paraId="2FB60062">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12</w:t>
                  </w:r>
                </w:p>
              </w:tc>
              <w:tc>
                <w:tcPr>
                  <w:tcW w:w="606" w:type="dxa"/>
                  <w:tcBorders>
                    <w:tl2br w:val="nil"/>
                    <w:tr2bl w:val="nil"/>
                  </w:tcBorders>
                  <w:shd w:val="clear" w:color="auto" w:fill="auto"/>
                  <w:noWrap w:val="0"/>
                  <w:vAlign w:val="center"/>
                </w:tcPr>
                <w:p w14:paraId="1066CE6A">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48</w:t>
                  </w:r>
                  <w:r>
                    <w:rPr>
                      <w:rFonts w:hint="default" w:ascii="Times New Roman" w:hAnsi="Times New Roman" w:eastAsia="宋体" w:cs="Times New Roman"/>
                      <w:snapToGrid w:val="0"/>
                      <w:color w:val="auto"/>
                      <w:sz w:val="21"/>
                      <w:szCs w:val="21"/>
                      <w:highlight w:val="none"/>
                      <w:lang w:val="en-US" w:eastAsia="zh-CN"/>
                    </w:rPr>
                    <w:t>00</w:t>
                  </w:r>
                </w:p>
              </w:tc>
              <w:tc>
                <w:tcPr>
                  <w:tcW w:w="781" w:type="dxa"/>
                  <w:tcBorders>
                    <w:tl2br w:val="nil"/>
                    <w:tr2bl w:val="nil"/>
                  </w:tcBorders>
                  <w:shd w:val="clear" w:color="auto" w:fill="auto"/>
                  <w:noWrap w:val="0"/>
                  <w:vAlign w:val="center"/>
                </w:tcPr>
                <w:p w14:paraId="2B7143F7">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正常工况</w:t>
                  </w:r>
                </w:p>
              </w:tc>
              <w:tc>
                <w:tcPr>
                  <w:tcW w:w="1350" w:type="dxa"/>
                  <w:tcBorders>
                    <w:tl2br w:val="nil"/>
                    <w:tr2bl w:val="nil"/>
                  </w:tcBorders>
                  <w:shd w:val="clear" w:color="auto" w:fill="auto"/>
                  <w:noWrap w:val="0"/>
                  <w:vAlign w:val="center"/>
                </w:tcPr>
                <w:p w14:paraId="54E98C41">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color w:val="auto"/>
                      <w:sz w:val="21"/>
                      <w:szCs w:val="21"/>
                      <w:vertAlign w:val="baseline"/>
                      <w:lang w:val="en-US" w:eastAsia="zh-CN"/>
                    </w:rPr>
                    <w:t>0.825</w:t>
                  </w:r>
                </w:p>
              </w:tc>
            </w:tr>
          </w:tbl>
          <w:p w14:paraId="2875F3D4">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22" w:firstLineChars="200"/>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5</w:t>
            </w:r>
            <w:r>
              <w:rPr>
                <w:rFonts w:hint="eastAsia" w:cs="Times New Roman"/>
                <w:b/>
                <w:bCs/>
                <w:color w:val="auto"/>
                <w:sz w:val="21"/>
                <w:szCs w:val="21"/>
                <w:highlight w:val="none"/>
                <w:lang w:eastAsia="zh-CN"/>
              </w:rPr>
              <w:t>多边形</w:t>
            </w:r>
            <w:r>
              <w:rPr>
                <w:rFonts w:hint="default" w:ascii="Times New Roman" w:hAnsi="Times New Roman" w:eastAsia="宋体" w:cs="Times New Roman"/>
                <w:b/>
                <w:bCs/>
                <w:color w:val="auto"/>
                <w:sz w:val="21"/>
                <w:szCs w:val="21"/>
                <w:highlight w:val="none"/>
              </w:rPr>
              <w:t>面源</w:t>
            </w:r>
            <w:r>
              <w:rPr>
                <w:rFonts w:hint="eastAsia" w:cs="Times New Roman"/>
                <w:b/>
                <w:bCs/>
                <w:color w:val="auto"/>
                <w:sz w:val="21"/>
                <w:szCs w:val="21"/>
                <w:highlight w:val="none"/>
                <w:lang w:eastAsia="zh-CN"/>
              </w:rPr>
              <w:t>主要预测</w:t>
            </w:r>
            <w:r>
              <w:rPr>
                <w:rFonts w:hint="default" w:ascii="Times New Roman" w:hAnsi="Times New Roman" w:eastAsia="宋体" w:cs="Times New Roman"/>
                <w:b/>
                <w:bCs/>
                <w:color w:val="auto"/>
                <w:sz w:val="21"/>
                <w:szCs w:val="21"/>
                <w:highlight w:val="none"/>
              </w:rPr>
              <w:t>参数</w:t>
            </w:r>
            <w:r>
              <w:rPr>
                <w:rFonts w:hint="eastAsia" w:cs="Times New Roman"/>
                <w:b/>
                <w:bCs/>
                <w:color w:val="auto"/>
                <w:sz w:val="21"/>
                <w:szCs w:val="21"/>
                <w:highlight w:val="none"/>
                <w:lang w:eastAsia="zh-CN"/>
              </w:rPr>
              <w:t>一览表</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35"/>
              <w:gridCol w:w="461"/>
              <w:gridCol w:w="1277"/>
              <w:gridCol w:w="1425"/>
              <w:gridCol w:w="658"/>
              <w:gridCol w:w="735"/>
              <w:gridCol w:w="780"/>
              <w:gridCol w:w="975"/>
              <w:gridCol w:w="1269"/>
            </w:tblGrid>
            <w:tr w14:paraId="114CB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9" w:hRule="atLeast"/>
                <w:jc w:val="center"/>
              </w:trPr>
              <w:tc>
                <w:tcPr>
                  <w:tcW w:w="335" w:type="dxa"/>
                  <w:vMerge w:val="restart"/>
                  <w:tcBorders>
                    <w:tl2br w:val="nil"/>
                    <w:tr2bl w:val="nil"/>
                  </w:tcBorders>
                  <w:noWrap w:val="0"/>
                  <w:vAlign w:val="center"/>
                </w:tcPr>
                <w:p w14:paraId="68471202">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编号</w:t>
                  </w:r>
                </w:p>
              </w:tc>
              <w:tc>
                <w:tcPr>
                  <w:tcW w:w="461" w:type="dxa"/>
                  <w:vMerge w:val="restart"/>
                  <w:tcBorders>
                    <w:tl2br w:val="nil"/>
                    <w:tr2bl w:val="nil"/>
                  </w:tcBorders>
                  <w:noWrap w:val="0"/>
                  <w:vAlign w:val="center"/>
                </w:tcPr>
                <w:p w14:paraId="013A93BB">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名称</w:t>
                  </w:r>
                </w:p>
              </w:tc>
              <w:tc>
                <w:tcPr>
                  <w:tcW w:w="2702" w:type="dxa"/>
                  <w:gridSpan w:val="2"/>
                  <w:tcBorders>
                    <w:tl2br w:val="nil"/>
                    <w:tr2bl w:val="nil"/>
                  </w:tcBorders>
                  <w:noWrap w:val="0"/>
                  <w:vAlign w:val="center"/>
                </w:tcPr>
                <w:p w14:paraId="3583E1B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面源</w:t>
                  </w:r>
                  <w:r>
                    <w:rPr>
                      <w:rFonts w:hint="eastAsia" w:cs="Times New Roman"/>
                      <w:snapToGrid w:val="0"/>
                      <w:color w:val="auto"/>
                      <w:sz w:val="21"/>
                      <w:szCs w:val="21"/>
                      <w:highlight w:val="none"/>
                      <w:lang w:val="zh-CN"/>
                    </w:rPr>
                    <w:t>各顶</w:t>
                  </w:r>
                  <w:r>
                    <w:rPr>
                      <w:rFonts w:hint="default" w:ascii="Times New Roman" w:hAnsi="Times New Roman" w:eastAsia="宋体" w:cs="Times New Roman"/>
                      <w:snapToGrid w:val="0"/>
                      <w:color w:val="auto"/>
                      <w:sz w:val="21"/>
                      <w:szCs w:val="21"/>
                      <w:highlight w:val="none"/>
                      <w:lang w:val="zh-CN"/>
                    </w:rPr>
                    <w:t>点坐标</w:t>
                  </w:r>
                  <w:r>
                    <w:rPr>
                      <w:rFonts w:hint="default" w:ascii="Times New Roman" w:hAnsi="Times New Roman" w:eastAsia="宋体" w:cs="Times New Roman"/>
                      <w:snapToGrid w:val="0"/>
                      <w:color w:val="auto"/>
                      <w:sz w:val="21"/>
                      <w:szCs w:val="21"/>
                      <w:highlight w:val="none"/>
                    </w:rPr>
                    <w:t>/m</w:t>
                  </w:r>
                </w:p>
              </w:tc>
              <w:tc>
                <w:tcPr>
                  <w:tcW w:w="658" w:type="dxa"/>
                  <w:vMerge w:val="restart"/>
                  <w:tcBorders>
                    <w:tl2br w:val="nil"/>
                    <w:tr2bl w:val="nil"/>
                  </w:tcBorders>
                  <w:noWrap w:val="0"/>
                  <w:vAlign w:val="center"/>
                </w:tcPr>
                <w:p w14:paraId="3410D534">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面源</w:t>
                  </w:r>
                  <w:r>
                    <w:rPr>
                      <w:rFonts w:hint="eastAsia" w:cs="Times New Roman"/>
                      <w:snapToGrid w:val="0"/>
                      <w:color w:val="auto"/>
                      <w:sz w:val="21"/>
                      <w:szCs w:val="21"/>
                      <w:highlight w:val="none"/>
                      <w:lang w:eastAsia="zh-CN"/>
                    </w:rPr>
                    <w:t>海拔高</w:t>
                  </w:r>
                  <w:r>
                    <w:rPr>
                      <w:rFonts w:hint="default" w:ascii="Times New Roman" w:hAnsi="Times New Roman" w:eastAsia="宋体" w:cs="Times New Roman"/>
                      <w:snapToGrid w:val="0"/>
                      <w:color w:val="auto"/>
                      <w:sz w:val="21"/>
                      <w:szCs w:val="21"/>
                      <w:highlight w:val="none"/>
                    </w:rPr>
                    <w:t>度/m</w:t>
                  </w:r>
                </w:p>
              </w:tc>
              <w:tc>
                <w:tcPr>
                  <w:tcW w:w="735" w:type="dxa"/>
                  <w:vMerge w:val="restart"/>
                  <w:tcBorders>
                    <w:tl2br w:val="nil"/>
                    <w:tr2bl w:val="nil"/>
                  </w:tcBorders>
                  <w:noWrap w:val="0"/>
                  <w:vAlign w:val="center"/>
                </w:tcPr>
                <w:p w14:paraId="4F137403">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面源</w:t>
                  </w:r>
                  <w:r>
                    <w:rPr>
                      <w:rFonts w:hint="eastAsia" w:cs="Times New Roman"/>
                      <w:snapToGrid w:val="0"/>
                      <w:color w:val="auto"/>
                      <w:sz w:val="21"/>
                      <w:szCs w:val="21"/>
                      <w:highlight w:val="none"/>
                      <w:lang w:eastAsia="zh-CN"/>
                    </w:rPr>
                    <w:t>有效排放高度</w:t>
                  </w:r>
                  <w:r>
                    <w:rPr>
                      <w:rFonts w:hint="default" w:ascii="Times New Roman" w:hAnsi="Times New Roman" w:eastAsia="宋体" w:cs="Times New Roman"/>
                      <w:snapToGrid w:val="0"/>
                      <w:color w:val="auto"/>
                      <w:sz w:val="21"/>
                      <w:szCs w:val="21"/>
                      <w:highlight w:val="none"/>
                    </w:rPr>
                    <w:t>/m</w:t>
                  </w:r>
                </w:p>
              </w:tc>
              <w:tc>
                <w:tcPr>
                  <w:tcW w:w="780" w:type="dxa"/>
                  <w:vMerge w:val="restart"/>
                  <w:tcBorders>
                    <w:tl2br w:val="nil"/>
                    <w:tr2bl w:val="nil"/>
                  </w:tcBorders>
                  <w:noWrap w:val="0"/>
                  <w:vAlign w:val="center"/>
                </w:tcPr>
                <w:p w14:paraId="5C35DA13">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年排放小时数</w:t>
                  </w:r>
                  <w:r>
                    <w:rPr>
                      <w:rFonts w:hint="default" w:ascii="Times New Roman" w:hAnsi="Times New Roman" w:eastAsia="宋体" w:cs="Times New Roman"/>
                      <w:snapToGrid w:val="0"/>
                      <w:color w:val="auto"/>
                      <w:sz w:val="21"/>
                      <w:szCs w:val="21"/>
                      <w:highlight w:val="none"/>
                    </w:rPr>
                    <w:t>/h</w:t>
                  </w:r>
                </w:p>
              </w:tc>
              <w:tc>
                <w:tcPr>
                  <w:tcW w:w="975" w:type="dxa"/>
                  <w:vMerge w:val="restart"/>
                  <w:tcBorders>
                    <w:tl2br w:val="nil"/>
                    <w:tr2bl w:val="nil"/>
                  </w:tcBorders>
                  <w:noWrap w:val="0"/>
                  <w:vAlign w:val="center"/>
                </w:tcPr>
                <w:p w14:paraId="3D640CED">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排放工况</w:t>
                  </w:r>
                </w:p>
              </w:tc>
              <w:tc>
                <w:tcPr>
                  <w:tcW w:w="1269" w:type="dxa"/>
                  <w:vMerge w:val="restart"/>
                  <w:tcBorders>
                    <w:tl2br w:val="nil"/>
                    <w:tr2bl w:val="nil"/>
                  </w:tcBorders>
                  <w:noWrap w:val="0"/>
                  <w:vAlign w:val="center"/>
                </w:tcPr>
                <w:p w14:paraId="1AD8169B">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污染物排放速率</w:t>
                  </w:r>
                  <w:r>
                    <w:rPr>
                      <w:rFonts w:hint="default" w:ascii="Times New Roman" w:hAnsi="Times New Roman" w:eastAsia="宋体" w:cs="Times New Roman"/>
                      <w:snapToGrid w:val="0"/>
                      <w:color w:val="auto"/>
                      <w:sz w:val="21"/>
                      <w:szCs w:val="21"/>
                      <w:highlight w:val="none"/>
                    </w:rPr>
                    <w:t>/kg/h</w:t>
                  </w:r>
                </w:p>
              </w:tc>
            </w:tr>
            <w:tr w14:paraId="4F574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6" w:hRule="atLeast"/>
                <w:jc w:val="center"/>
              </w:trPr>
              <w:tc>
                <w:tcPr>
                  <w:tcW w:w="335" w:type="dxa"/>
                  <w:vMerge w:val="continue"/>
                  <w:tcBorders>
                    <w:tl2br w:val="nil"/>
                    <w:tr2bl w:val="nil"/>
                  </w:tcBorders>
                  <w:noWrap w:val="0"/>
                  <w:vAlign w:val="center"/>
                </w:tcPr>
                <w:p w14:paraId="622D507B">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461" w:type="dxa"/>
                  <w:vMerge w:val="continue"/>
                  <w:tcBorders>
                    <w:tl2br w:val="nil"/>
                    <w:tr2bl w:val="nil"/>
                  </w:tcBorders>
                  <w:noWrap w:val="0"/>
                  <w:vAlign w:val="center"/>
                </w:tcPr>
                <w:p w14:paraId="749997B2">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277" w:type="dxa"/>
                  <w:vMerge w:val="restart"/>
                  <w:tcBorders>
                    <w:tl2br w:val="nil"/>
                    <w:tr2bl w:val="nil"/>
                  </w:tcBorders>
                  <w:noWrap w:val="0"/>
                  <w:vAlign w:val="center"/>
                </w:tcPr>
                <w:p w14:paraId="3ECA5E7B">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X</w:t>
                  </w:r>
                </w:p>
              </w:tc>
              <w:tc>
                <w:tcPr>
                  <w:tcW w:w="1425" w:type="dxa"/>
                  <w:vMerge w:val="restart"/>
                  <w:tcBorders>
                    <w:tl2br w:val="nil"/>
                    <w:tr2bl w:val="nil"/>
                  </w:tcBorders>
                  <w:noWrap w:val="0"/>
                  <w:vAlign w:val="center"/>
                </w:tcPr>
                <w:p w14:paraId="1E712C4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Y</w:t>
                  </w:r>
                </w:p>
              </w:tc>
              <w:tc>
                <w:tcPr>
                  <w:tcW w:w="658" w:type="dxa"/>
                  <w:vMerge w:val="continue"/>
                  <w:tcBorders>
                    <w:tl2br w:val="nil"/>
                    <w:tr2bl w:val="nil"/>
                  </w:tcBorders>
                  <w:noWrap w:val="0"/>
                  <w:vAlign w:val="center"/>
                </w:tcPr>
                <w:p w14:paraId="1E22CBE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35" w:type="dxa"/>
                  <w:vMerge w:val="continue"/>
                  <w:tcBorders>
                    <w:tl2br w:val="nil"/>
                    <w:tr2bl w:val="nil"/>
                  </w:tcBorders>
                  <w:noWrap w:val="0"/>
                  <w:vAlign w:val="center"/>
                </w:tcPr>
                <w:p w14:paraId="25EA58B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80" w:type="dxa"/>
                  <w:vMerge w:val="continue"/>
                  <w:tcBorders>
                    <w:tl2br w:val="nil"/>
                    <w:tr2bl w:val="nil"/>
                  </w:tcBorders>
                  <w:noWrap w:val="0"/>
                  <w:vAlign w:val="center"/>
                </w:tcPr>
                <w:p w14:paraId="7F9A5B0A">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975" w:type="dxa"/>
                  <w:vMerge w:val="continue"/>
                  <w:tcBorders>
                    <w:tl2br w:val="nil"/>
                    <w:tr2bl w:val="nil"/>
                  </w:tcBorders>
                  <w:noWrap w:val="0"/>
                  <w:vAlign w:val="center"/>
                </w:tcPr>
                <w:p w14:paraId="273D704D">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269" w:type="dxa"/>
                  <w:vMerge w:val="continue"/>
                  <w:tcBorders>
                    <w:bottom w:val="single" w:color="auto" w:sz="4" w:space="0"/>
                    <w:tl2br w:val="nil"/>
                    <w:tr2bl w:val="nil"/>
                  </w:tcBorders>
                  <w:noWrap w:val="0"/>
                  <w:vAlign w:val="center"/>
                </w:tcPr>
                <w:p w14:paraId="0F7DDAA3">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r>
            <w:tr w14:paraId="0FBC7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0" w:hRule="atLeast"/>
                <w:jc w:val="center"/>
              </w:trPr>
              <w:tc>
                <w:tcPr>
                  <w:tcW w:w="335" w:type="dxa"/>
                  <w:vMerge w:val="continue"/>
                  <w:tcBorders>
                    <w:tl2br w:val="nil"/>
                    <w:tr2bl w:val="nil"/>
                  </w:tcBorders>
                  <w:noWrap w:val="0"/>
                  <w:vAlign w:val="center"/>
                </w:tcPr>
                <w:p w14:paraId="7C1C9A05">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461" w:type="dxa"/>
                  <w:vMerge w:val="continue"/>
                  <w:tcBorders>
                    <w:tl2br w:val="nil"/>
                    <w:tr2bl w:val="nil"/>
                  </w:tcBorders>
                  <w:noWrap w:val="0"/>
                  <w:vAlign w:val="center"/>
                </w:tcPr>
                <w:p w14:paraId="37E459D9">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277" w:type="dxa"/>
                  <w:vMerge w:val="continue"/>
                  <w:tcBorders>
                    <w:tl2br w:val="nil"/>
                    <w:tr2bl w:val="nil"/>
                  </w:tcBorders>
                  <w:noWrap w:val="0"/>
                  <w:vAlign w:val="center"/>
                </w:tcPr>
                <w:p w14:paraId="7153ADEB">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425" w:type="dxa"/>
                  <w:vMerge w:val="continue"/>
                  <w:tcBorders>
                    <w:tl2br w:val="nil"/>
                    <w:tr2bl w:val="nil"/>
                  </w:tcBorders>
                  <w:noWrap w:val="0"/>
                  <w:vAlign w:val="center"/>
                </w:tcPr>
                <w:p w14:paraId="3052720D">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58" w:type="dxa"/>
                  <w:vMerge w:val="continue"/>
                  <w:tcBorders>
                    <w:tl2br w:val="nil"/>
                    <w:tr2bl w:val="nil"/>
                  </w:tcBorders>
                  <w:noWrap w:val="0"/>
                  <w:vAlign w:val="center"/>
                </w:tcPr>
                <w:p w14:paraId="530E6109">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35" w:type="dxa"/>
                  <w:vMerge w:val="continue"/>
                  <w:tcBorders>
                    <w:tl2br w:val="nil"/>
                    <w:tr2bl w:val="nil"/>
                  </w:tcBorders>
                  <w:noWrap w:val="0"/>
                  <w:vAlign w:val="center"/>
                </w:tcPr>
                <w:p w14:paraId="4ED6D88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80" w:type="dxa"/>
                  <w:vMerge w:val="continue"/>
                  <w:tcBorders>
                    <w:tl2br w:val="nil"/>
                    <w:tr2bl w:val="nil"/>
                  </w:tcBorders>
                  <w:noWrap w:val="0"/>
                  <w:vAlign w:val="center"/>
                </w:tcPr>
                <w:p w14:paraId="25BCA02D">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975" w:type="dxa"/>
                  <w:vMerge w:val="continue"/>
                  <w:tcBorders>
                    <w:tl2br w:val="nil"/>
                    <w:tr2bl w:val="nil"/>
                  </w:tcBorders>
                  <w:noWrap w:val="0"/>
                  <w:vAlign w:val="center"/>
                </w:tcPr>
                <w:p w14:paraId="64B5A305">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269" w:type="dxa"/>
                  <w:tcBorders>
                    <w:top w:val="single" w:color="auto" w:sz="4" w:space="0"/>
                    <w:tl2br w:val="nil"/>
                    <w:tr2bl w:val="nil"/>
                  </w:tcBorders>
                  <w:noWrap w:val="0"/>
                  <w:vAlign w:val="center"/>
                </w:tcPr>
                <w:p w14:paraId="4C4BB357">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eastAsia="宋体" w:cs="Times New Roman"/>
                      <w:snapToGrid w:val="0"/>
                      <w:color w:val="auto"/>
                      <w:sz w:val="21"/>
                      <w:szCs w:val="21"/>
                      <w:highlight w:val="none"/>
                      <w:lang w:val="en-US" w:eastAsia="zh-CN"/>
                    </w:rPr>
                    <w:t>TSP</w:t>
                  </w:r>
                </w:p>
              </w:tc>
            </w:tr>
            <w:tr w14:paraId="4DB53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5261765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w:t>
                  </w:r>
                </w:p>
              </w:tc>
              <w:tc>
                <w:tcPr>
                  <w:tcW w:w="461" w:type="dxa"/>
                  <w:vMerge w:val="restart"/>
                  <w:tcBorders>
                    <w:tl2br w:val="nil"/>
                    <w:tr2bl w:val="nil"/>
                  </w:tcBorders>
                  <w:noWrap w:val="0"/>
                  <w:vAlign w:val="center"/>
                </w:tcPr>
                <w:p w14:paraId="7E83CE7F">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封闭式</w:t>
                  </w:r>
                  <w:r>
                    <w:rPr>
                      <w:rFonts w:hint="eastAsia" w:cs="Times New Roman"/>
                      <w:color w:val="auto"/>
                      <w:sz w:val="21"/>
                      <w:szCs w:val="21"/>
                      <w:highlight w:val="none"/>
                      <w:lang w:val="en-US" w:eastAsia="zh-CN"/>
                    </w:rPr>
                    <w:t>原料车间</w:t>
                  </w:r>
                </w:p>
              </w:tc>
              <w:tc>
                <w:tcPr>
                  <w:tcW w:w="1277" w:type="dxa"/>
                  <w:tcBorders>
                    <w:tl2br w:val="nil"/>
                    <w:tr2bl w:val="nil"/>
                  </w:tcBorders>
                  <w:noWrap w:val="0"/>
                  <w:vAlign w:val="center"/>
                </w:tcPr>
                <w:p w14:paraId="2B042F00">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微软雅黑" w:cs="Times New Roman"/>
                      <w:snapToGrid w:val="0"/>
                      <w:color w:val="auto"/>
                      <w:sz w:val="21"/>
                      <w:szCs w:val="21"/>
                      <w:highlight w:val="none"/>
                      <w:lang w:val="en-US" w:eastAsia="zh-CN"/>
                    </w:rPr>
                  </w:pPr>
                  <w:r>
                    <w:rPr>
                      <w:rFonts w:hint="eastAsia" w:eastAsia="微软雅黑" w:cs="Times New Roman"/>
                      <w:snapToGrid w:val="0"/>
                      <w:color w:val="auto"/>
                      <w:sz w:val="21"/>
                      <w:szCs w:val="21"/>
                      <w:highlight w:val="none"/>
                      <w:lang w:val="en-US" w:eastAsia="zh-CN"/>
                    </w:rPr>
                    <w:t>117.352969</w:t>
                  </w:r>
                </w:p>
              </w:tc>
              <w:tc>
                <w:tcPr>
                  <w:tcW w:w="1425" w:type="dxa"/>
                  <w:tcBorders>
                    <w:tl2br w:val="nil"/>
                    <w:tr2bl w:val="nil"/>
                  </w:tcBorders>
                  <w:noWrap w:val="0"/>
                  <w:vAlign w:val="center"/>
                </w:tcPr>
                <w:p w14:paraId="729FE12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40.300372</w:t>
                  </w:r>
                </w:p>
              </w:tc>
              <w:tc>
                <w:tcPr>
                  <w:tcW w:w="658" w:type="dxa"/>
                  <w:vMerge w:val="restart"/>
                  <w:tcBorders>
                    <w:tl2br w:val="nil"/>
                    <w:tr2bl w:val="nil"/>
                  </w:tcBorders>
                  <w:noWrap w:val="0"/>
                  <w:vAlign w:val="center"/>
                </w:tcPr>
                <w:p w14:paraId="465703C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502</w:t>
                  </w:r>
                </w:p>
              </w:tc>
              <w:tc>
                <w:tcPr>
                  <w:tcW w:w="735" w:type="dxa"/>
                  <w:vMerge w:val="restart"/>
                  <w:tcBorders>
                    <w:tl2br w:val="nil"/>
                    <w:tr2bl w:val="nil"/>
                  </w:tcBorders>
                  <w:noWrap w:val="0"/>
                  <w:vAlign w:val="center"/>
                </w:tcPr>
                <w:p w14:paraId="0E426E4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10</w:t>
                  </w:r>
                </w:p>
              </w:tc>
              <w:tc>
                <w:tcPr>
                  <w:tcW w:w="780" w:type="dxa"/>
                  <w:vMerge w:val="restart"/>
                  <w:tcBorders>
                    <w:tl2br w:val="nil"/>
                    <w:tr2bl w:val="nil"/>
                  </w:tcBorders>
                  <w:noWrap w:val="0"/>
                  <w:vAlign w:val="center"/>
                </w:tcPr>
                <w:p w14:paraId="4A90D3B4">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4800</w:t>
                  </w:r>
                </w:p>
              </w:tc>
              <w:tc>
                <w:tcPr>
                  <w:tcW w:w="975" w:type="dxa"/>
                  <w:vMerge w:val="restart"/>
                  <w:tcBorders>
                    <w:tl2br w:val="nil"/>
                    <w:tr2bl w:val="nil"/>
                  </w:tcBorders>
                  <w:noWrap w:val="0"/>
                  <w:vAlign w:val="center"/>
                </w:tcPr>
                <w:p w14:paraId="5898A0D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正常工况</w:t>
                  </w:r>
                </w:p>
              </w:tc>
              <w:tc>
                <w:tcPr>
                  <w:tcW w:w="1269" w:type="dxa"/>
                  <w:vMerge w:val="restart"/>
                  <w:tcBorders>
                    <w:tl2br w:val="nil"/>
                    <w:tr2bl w:val="nil"/>
                  </w:tcBorders>
                  <w:noWrap w:val="0"/>
                  <w:vAlign w:val="center"/>
                </w:tcPr>
                <w:p w14:paraId="42438F9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0.133</w:t>
                  </w:r>
                </w:p>
              </w:tc>
            </w:tr>
            <w:tr w14:paraId="7C073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5BA79D25">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eastAsia="宋体"/>
                      <w:color w:val="auto"/>
                      <w:lang w:val="en-US" w:eastAsia="zh-CN"/>
                    </w:rPr>
                  </w:pPr>
                  <w:r>
                    <w:rPr>
                      <w:rFonts w:hint="eastAsia"/>
                      <w:color w:val="auto"/>
                      <w:lang w:val="en-US" w:eastAsia="zh-CN"/>
                    </w:rPr>
                    <w:t>2</w:t>
                  </w:r>
                </w:p>
              </w:tc>
              <w:tc>
                <w:tcPr>
                  <w:tcW w:w="461" w:type="dxa"/>
                  <w:vMerge w:val="continue"/>
                  <w:tcBorders>
                    <w:tl2br w:val="nil"/>
                    <w:tr2bl w:val="nil"/>
                  </w:tcBorders>
                  <w:noWrap w:val="0"/>
                  <w:vAlign w:val="center"/>
                </w:tcPr>
                <w:p w14:paraId="1F456F2E">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color w:val="auto"/>
                    </w:rPr>
                  </w:pPr>
                </w:p>
              </w:tc>
              <w:tc>
                <w:tcPr>
                  <w:tcW w:w="1277" w:type="dxa"/>
                  <w:tcBorders>
                    <w:tl2br w:val="nil"/>
                    <w:tr2bl w:val="nil"/>
                  </w:tcBorders>
                  <w:noWrap w:val="0"/>
                  <w:vAlign w:val="center"/>
                </w:tcPr>
                <w:p w14:paraId="2A1F01E0">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117.352980</w:t>
                  </w:r>
                </w:p>
              </w:tc>
              <w:tc>
                <w:tcPr>
                  <w:tcW w:w="1425" w:type="dxa"/>
                  <w:tcBorders>
                    <w:tl2br w:val="nil"/>
                    <w:tr2bl w:val="nil"/>
                  </w:tcBorders>
                  <w:noWrap w:val="0"/>
                  <w:vAlign w:val="center"/>
                </w:tcPr>
                <w:p w14:paraId="577CCD99">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40.300374</w:t>
                  </w:r>
                </w:p>
              </w:tc>
              <w:tc>
                <w:tcPr>
                  <w:tcW w:w="658" w:type="dxa"/>
                  <w:vMerge w:val="continue"/>
                  <w:tcBorders>
                    <w:tl2br w:val="nil"/>
                    <w:tr2bl w:val="nil"/>
                  </w:tcBorders>
                  <w:noWrap w:val="0"/>
                  <w:vAlign w:val="center"/>
                </w:tcPr>
                <w:p w14:paraId="56AC44FF">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326629A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5AB2B70A">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42FC48F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292622C2">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r w14:paraId="12951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2AD30C20">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461" w:type="dxa"/>
                  <w:vMerge w:val="continue"/>
                  <w:tcBorders>
                    <w:tl2br w:val="nil"/>
                    <w:tr2bl w:val="nil"/>
                  </w:tcBorders>
                  <w:noWrap w:val="0"/>
                  <w:vAlign w:val="center"/>
                </w:tcPr>
                <w:p w14:paraId="48319BB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77" w:type="dxa"/>
                  <w:tcBorders>
                    <w:tl2br w:val="nil"/>
                    <w:tr2bl w:val="nil"/>
                  </w:tcBorders>
                  <w:noWrap w:val="0"/>
                  <w:vAlign w:val="center"/>
                </w:tcPr>
                <w:p w14:paraId="517C58C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117.353018</w:t>
                  </w:r>
                </w:p>
              </w:tc>
              <w:tc>
                <w:tcPr>
                  <w:tcW w:w="1425" w:type="dxa"/>
                  <w:tcBorders>
                    <w:tl2br w:val="nil"/>
                    <w:tr2bl w:val="nil"/>
                  </w:tcBorders>
                  <w:noWrap w:val="0"/>
                  <w:vAlign w:val="center"/>
                </w:tcPr>
                <w:p w14:paraId="54685F58">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40.300328</w:t>
                  </w:r>
                </w:p>
              </w:tc>
              <w:tc>
                <w:tcPr>
                  <w:tcW w:w="658" w:type="dxa"/>
                  <w:vMerge w:val="continue"/>
                  <w:tcBorders>
                    <w:tl2br w:val="nil"/>
                    <w:tr2bl w:val="nil"/>
                  </w:tcBorders>
                  <w:noWrap w:val="0"/>
                  <w:vAlign w:val="center"/>
                </w:tcPr>
                <w:p w14:paraId="5725A275">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330AB4F6">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301618BE">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75F04F4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61DECB2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r w14:paraId="57082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335" w:type="dxa"/>
                  <w:tcBorders>
                    <w:tl2br w:val="nil"/>
                    <w:tr2bl w:val="nil"/>
                  </w:tcBorders>
                  <w:noWrap w:val="0"/>
                  <w:vAlign w:val="center"/>
                </w:tcPr>
                <w:p w14:paraId="330FCA48">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461" w:type="dxa"/>
                  <w:vMerge w:val="continue"/>
                  <w:tcBorders>
                    <w:tl2br w:val="nil"/>
                    <w:tr2bl w:val="nil"/>
                  </w:tcBorders>
                  <w:noWrap w:val="0"/>
                  <w:vAlign w:val="center"/>
                </w:tcPr>
                <w:p w14:paraId="603B81A9">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77" w:type="dxa"/>
                  <w:tcBorders>
                    <w:tl2br w:val="nil"/>
                    <w:tr2bl w:val="nil"/>
                  </w:tcBorders>
                  <w:noWrap w:val="0"/>
                  <w:vAlign w:val="center"/>
                </w:tcPr>
                <w:p w14:paraId="72D199E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117.353044</w:t>
                  </w:r>
                </w:p>
              </w:tc>
              <w:tc>
                <w:tcPr>
                  <w:tcW w:w="1425" w:type="dxa"/>
                  <w:tcBorders>
                    <w:tl2br w:val="nil"/>
                    <w:tr2bl w:val="nil"/>
                  </w:tcBorders>
                  <w:noWrap w:val="0"/>
                  <w:vAlign w:val="center"/>
                </w:tcPr>
                <w:p w14:paraId="7FD7FF7D">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40.300312</w:t>
                  </w:r>
                </w:p>
              </w:tc>
              <w:tc>
                <w:tcPr>
                  <w:tcW w:w="658" w:type="dxa"/>
                  <w:vMerge w:val="continue"/>
                  <w:tcBorders>
                    <w:tl2br w:val="nil"/>
                    <w:tr2bl w:val="nil"/>
                  </w:tcBorders>
                  <w:noWrap w:val="0"/>
                  <w:vAlign w:val="center"/>
                </w:tcPr>
                <w:p w14:paraId="091B6C19">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67A01E8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1C062F1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378C03B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01EDF78E">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r w14:paraId="398B9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0870AECF">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461" w:type="dxa"/>
                  <w:vMerge w:val="continue"/>
                  <w:tcBorders>
                    <w:tl2br w:val="nil"/>
                    <w:tr2bl w:val="nil"/>
                  </w:tcBorders>
                  <w:noWrap w:val="0"/>
                  <w:vAlign w:val="center"/>
                </w:tcPr>
                <w:p w14:paraId="2D2882D0">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77" w:type="dxa"/>
                  <w:tcBorders>
                    <w:tl2br w:val="nil"/>
                    <w:tr2bl w:val="nil"/>
                  </w:tcBorders>
                  <w:noWrap w:val="0"/>
                  <w:vAlign w:val="center"/>
                </w:tcPr>
                <w:p w14:paraId="6980900F">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117.353045</w:t>
                  </w:r>
                </w:p>
              </w:tc>
              <w:tc>
                <w:tcPr>
                  <w:tcW w:w="1425" w:type="dxa"/>
                  <w:tcBorders>
                    <w:tl2br w:val="nil"/>
                    <w:tr2bl w:val="nil"/>
                  </w:tcBorders>
                  <w:noWrap w:val="0"/>
                  <w:vAlign w:val="center"/>
                </w:tcPr>
                <w:p w14:paraId="0C6528F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40.300246</w:t>
                  </w:r>
                </w:p>
              </w:tc>
              <w:tc>
                <w:tcPr>
                  <w:tcW w:w="658" w:type="dxa"/>
                  <w:vMerge w:val="continue"/>
                  <w:tcBorders>
                    <w:tl2br w:val="nil"/>
                    <w:tr2bl w:val="nil"/>
                  </w:tcBorders>
                  <w:noWrap w:val="0"/>
                  <w:vAlign w:val="center"/>
                </w:tcPr>
                <w:p w14:paraId="61797D4F">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522103EA">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1B1BCC40">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285E955E">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7E794DEA">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r w14:paraId="6CC09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7177749F">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w:t>
                  </w:r>
                </w:p>
              </w:tc>
              <w:tc>
                <w:tcPr>
                  <w:tcW w:w="461" w:type="dxa"/>
                  <w:vMerge w:val="continue"/>
                  <w:tcBorders>
                    <w:tl2br w:val="nil"/>
                    <w:tr2bl w:val="nil"/>
                  </w:tcBorders>
                  <w:noWrap w:val="0"/>
                  <w:vAlign w:val="center"/>
                </w:tcPr>
                <w:p w14:paraId="1BBBF182">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77" w:type="dxa"/>
                  <w:tcBorders>
                    <w:tl2br w:val="nil"/>
                    <w:tr2bl w:val="nil"/>
                  </w:tcBorders>
                  <w:noWrap w:val="0"/>
                  <w:vAlign w:val="center"/>
                </w:tcPr>
                <w:p w14:paraId="3D0920B8">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117.352978</w:t>
                  </w:r>
                </w:p>
              </w:tc>
              <w:tc>
                <w:tcPr>
                  <w:tcW w:w="1425" w:type="dxa"/>
                  <w:tcBorders>
                    <w:tl2br w:val="nil"/>
                    <w:tr2bl w:val="nil"/>
                  </w:tcBorders>
                  <w:noWrap w:val="0"/>
                  <w:vAlign w:val="center"/>
                </w:tcPr>
                <w:p w14:paraId="31479A5E">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40.300246</w:t>
                  </w:r>
                </w:p>
              </w:tc>
              <w:tc>
                <w:tcPr>
                  <w:tcW w:w="658" w:type="dxa"/>
                  <w:vMerge w:val="continue"/>
                  <w:tcBorders>
                    <w:tl2br w:val="nil"/>
                    <w:tr2bl w:val="nil"/>
                  </w:tcBorders>
                  <w:noWrap w:val="0"/>
                  <w:vAlign w:val="center"/>
                </w:tcPr>
                <w:p w14:paraId="75D6C1D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4361C9DC">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798FF5A0">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16B647C8">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5B88C00C">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r w14:paraId="0436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57AFD65B">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w:t>
                  </w:r>
                </w:p>
              </w:tc>
              <w:tc>
                <w:tcPr>
                  <w:tcW w:w="461" w:type="dxa"/>
                  <w:vMerge w:val="restart"/>
                  <w:tcBorders>
                    <w:tl2br w:val="nil"/>
                    <w:tr2bl w:val="nil"/>
                  </w:tcBorders>
                  <w:noWrap w:val="0"/>
                  <w:vAlign w:val="center"/>
                </w:tcPr>
                <w:p w14:paraId="656EF7B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封闭式</w:t>
                  </w:r>
                  <w:r>
                    <w:rPr>
                      <w:rFonts w:hint="eastAsia" w:cs="Times New Roman"/>
                      <w:color w:val="auto"/>
                      <w:sz w:val="21"/>
                      <w:szCs w:val="21"/>
                      <w:highlight w:val="none"/>
                      <w:lang w:val="en-US" w:eastAsia="zh-CN"/>
                    </w:rPr>
                    <w:t>成品车间</w:t>
                  </w:r>
                </w:p>
              </w:tc>
              <w:tc>
                <w:tcPr>
                  <w:tcW w:w="1277" w:type="dxa"/>
                  <w:tcBorders>
                    <w:tl2br w:val="nil"/>
                    <w:tr2bl w:val="nil"/>
                  </w:tcBorders>
                  <w:noWrap w:val="0"/>
                  <w:vAlign w:val="center"/>
                </w:tcPr>
                <w:p w14:paraId="68C0D66E">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117.353044</w:t>
                  </w:r>
                </w:p>
              </w:tc>
              <w:tc>
                <w:tcPr>
                  <w:tcW w:w="1425" w:type="dxa"/>
                  <w:tcBorders>
                    <w:tl2br w:val="nil"/>
                    <w:tr2bl w:val="nil"/>
                  </w:tcBorders>
                  <w:noWrap w:val="0"/>
                  <w:vAlign w:val="center"/>
                </w:tcPr>
                <w:p w14:paraId="453ADE69">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40.300312</w:t>
                  </w:r>
                </w:p>
              </w:tc>
              <w:tc>
                <w:tcPr>
                  <w:tcW w:w="658" w:type="dxa"/>
                  <w:vMerge w:val="restart"/>
                  <w:tcBorders>
                    <w:tl2br w:val="nil"/>
                    <w:tr2bl w:val="nil"/>
                  </w:tcBorders>
                  <w:noWrap w:val="0"/>
                  <w:vAlign w:val="center"/>
                </w:tcPr>
                <w:p w14:paraId="22F96B15">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502</w:t>
                  </w:r>
                </w:p>
              </w:tc>
              <w:tc>
                <w:tcPr>
                  <w:tcW w:w="735" w:type="dxa"/>
                  <w:vMerge w:val="restart"/>
                  <w:tcBorders>
                    <w:tl2br w:val="nil"/>
                    <w:tr2bl w:val="nil"/>
                  </w:tcBorders>
                  <w:noWrap w:val="0"/>
                  <w:vAlign w:val="center"/>
                </w:tcPr>
                <w:p w14:paraId="226F6149">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780" w:type="dxa"/>
                  <w:vMerge w:val="restart"/>
                  <w:tcBorders>
                    <w:tl2br w:val="nil"/>
                    <w:tr2bl w:val="nil"/>
                  </w:tcBorders>
                  <w:noWrap w:val="0"/>
                  <w:vAlign w:val="center"/>
                </w:tcPr>
                <w:p w14:paraId="5668EA6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snapToGrid w:val="0"/>
                      <w:color w:val="auto"/>
                      <w:sz w:val="21"/>
                      <w:szCs w:val="21"/>
                      <w:highlight w:val="none"/>
                      <w:lang w:val="en-US" w:eastAsia="zh-CN" w:bidi="zh-CN"/>
                    </w:rPr>
                  </w:pPr>
                  <w:r>
                    <w:rPr>
                      <w:rFonts w:hint="eastAsia" w:cs="Times New Roman"/>
                      <w:snapToGrid w:val="0"/>
                      <w:color w:val="auto"/>
                      <w:sz w:val="21"/>
                      <w:szCs w:val="21"/>
                      <w:highlight w:val="none"/>
                      <w:lang w:val="en-US" w:eastAsia="zh-CN"/>
                    </w:rPr>
                    <w:t>4800</w:t>
                  </w:r>
                </w:p>
              </w:tc>
              <w:tc>
                <w:tcPr>
                  <w:tcW w:w="975" w:type="dxa"/>
                  <w:vMerge w:val="restart"/>
                  <w:tcBorders>
                    <w:tl2br w:val="nil"/>
                    <w:tr2bl w:val="nil"/>
                  </w:tcBorders>
                  <w:noWrap w:val="0"/>
                  <w:vAlign w:val="center"/>
                </w:tcPr>
                <w:p w14:paraId="3F992DE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snapToGrid w:val="0"/>
                      <w:color w:val="auto"/>
                      <w:sz w:val="21"/>
                      <w:szCs w:val="21"/>
                      <w:highlight w:val="none"/>
                      <w:lang w:val="en-US" w:eastAsia="zh-CN" w:bidi="zh-CN"/>
                    </w:rPr>
                  </w:pPr>
                  <w:r>
                    <w:rPr>
                      <w:rFonts w:hint="default" w:ascii="Times New Roman" w:hAnsi="Times New Roman" w:eastAsia="宋体" w:cs="Times New Roman"/>
                      <w:snapToGrid w:val="0"/>
                      <w:color w:val="auto"/>
                      <w:sz w:val="21"/>
                      <w:szCs w:val="21"/>
                      <w:highlight w:val="none"/>
                    </w:rPr>
                    <w:t>正常工况</w:t>
                  </w:r>
                </w:p>
              </w:tc>
              <w:tc>
                <w:tcPr>
                  <w:tcW w:w="1269" w:type="dxa"/>
                  <w:vMerge w:val="restart"/>
                  <w:tcBorders>
                    <w:tl2br w:val="nil"/>
                    <w:tr2bl w:val="nil"/>
                  </w:tcBorders>
                  <w:noWrap w:val="0"/>
                  <w:vAlign w:val="center"/>
                </w:tcPr>
                <w:p w14:paraId="67B7C60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snapToGrid w:val="0"/>
                      <w:color w:val="auto"/>
                      <w:sz w:val="21"/>
                      <w:szCs w:val="21"/>
                      <w:highlight w:val="none"/>
                      <w:lang w:val="en-US" w:eastAsia="zh-CN"/>
                    </w:rPr>
                    <w:t>0.106</w:t>
                  </w:r>
                </w:p>
              </w:tc>
            </w:tr>
            <w:tr w14:paraId="3DAB7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48794EDC">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w:t>
                  </w:r>
                </w:p>
              </w:tc>
              <w:tc>
                <w:tcPr>
                  <w:tcW w:w="461" w:type="dxa"/>
                  <w:vMerge w:val="continue"/>
                  <w:tcBorders>
                    <w:tl2br w:val="nil"/>
                    <w:tr2bl w:val="nil"/>
                  </w:tcBorders>
                  <w:noWrap w:val="0"/>
                  <w:vAlign w:val="center"/>
                </w:tcPr>
                <w:p w14:paraId="704C473B">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77" w:type="dxa"/>
                  <w:tcBorders>
                    <w:tl2br w:val="nil"/>
                    <w:tr2bl w:val="nil"/>
                  </w:tcBorders>
                  <w:noWrap w:val="0"/>
                  <w:vAlign w:val="center"/>
                </w:tcPr>
                <w:p w14:paraId="734AFCD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117.353046</w:t>
                  </w:r>
                </w:p>
              </w:tc>
              <w:tc>
                <w:tcPr>
                  <w:tcW w:w="1425" w:type="dxa"/>
                  <w:tcBorders>
                    <w:tl2br w:val="nil"/>
                    <w:tr2bl w:val="nil"/>
                  </w:tcBorders>
                  <w:noWrap w:val="0"/>
                  <w:vAlign w:val="center"/>
                </w:tcPr>
                <w:p w14:paraId="5463356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40.300245</w:t>
                  </w:r>
                </w:p>
              </w:tc>
              <w:tc>
                <w:tcPr>
                  <w:tcW w:w="658" w:type="dxa"/>
                  <w:vMerge w:val="continue"/>
                  <w:tcBorders>
                    <w:tl2br w:val="nil"/>
                    <w:tr2bl w:val="nil"/>
                  </w:tcBorders>
                  <w:noWrap w:val="0"/>
                  <w:vAlign w:val="center"/>
                </w:tcPr>
                <w:p w14:paraId="5333BA63">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4468D40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5F3894AB">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6C117A22">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3E1F4E8E">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r w14:paraId="41C02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0E879A58">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w:t>
                  </w:r>
                </w:p>
              </w:tc>
              <w:tc>
                <w:tcPr>
                  <w:tcW w:w="461" w:type="dxa"/>
                  <w:vMerge w:val="continue"/>
                  <w:tcBorders>
                    <w:tl2br w:val="nil"/>
                    <w:tr2bl w:val="nil"/>
                  </w:tcBorders>
                  <w:noWrap w:val="0"/>
                  <w:vAlign w:val="center"/>
                </w:tcPr>
                <w:p w14:paraId="30C842FA">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77" w:type="dxa"/>
                  <w:tcBorders>
                    <w:tl2br w:val="nil"/>
                    <w:tr2bl w:val="nil"/>
                  </w:tcBorders>
                  <w:noWrap w:val="0"/>
                  <w:vAlign w:val="center"/>
                </w:tcPr>
                <w:p w14:paraId="7885E95B">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117.353123</w:t>
                  </w:r>
                </w:p>
              </w:tc>
              <w:tc>
                <w:tcPr>
                  <w:tcW w:w="1425" w:type="dxa"/>
                  <w:tcBorders>
                    <w:tl2br w:val="nil"/>
                    <w:tr2bl w:val="nil"/>
                  </w:tcBorders>
                  <w:noWrap w:val="0"/>
                  <w:vAlign w:val="center"/>
                </w:tcPr>
                <w:p w14:paraId="445972EE">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40.300248</w:t>
                  </w:r>
                </w:p>
              </w:tc>
              <w:tc>
                <w:tcPr>
                  <w:tcW w:w="658" w:type="dxa"/>
                  <w:vMerge w:val="continue"/>
                  <w:tcBorders>
                    <w:tl2br w:val="nil"/>
                    <w:tr2bl w:val="nil"/>
                  </w:tcBorders>
                  <w:noWrap w:val="0"/>
                  <w:vAlign w:val="center"/>
                </w:tcPr>
                <w:p w14:paraId="55C2F6D6">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56E1BA7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17D8D52E">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0536773A">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70206839">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r w14:paraId="407FD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2956267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461" w:type="dxa"/>
                  <w:vMerge w:val="continue"/>
                  <w:tcBorders>
                    <w:tl2br w:val="nil"/>
                    <w:tr2bl w:val="nil"/>
                  </w:tcBorders>
                  <w:noWrap w:val="0"/>
                  <w:vAlign w:val="center"/>
                </w:tcPr>
                <w:p w14:paraId="2BC8093A">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77" w:type="dxa"/>
                  <w:tcBorders>
                    <w:tl2br w:val="nil"/>
                    <w:tr2bl w:val="nil"/>
                  </w:tcBorders>
                  <w:noWrap w:val="0"/>
                  <w:vAlign w:val="center"/>
                </w:tcPr>
                <w:p w14:paraId="2FBE676B">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117.353126</w:t>
                  </w:r>
                </w:p>
              </w:tc>
              <w:tc>
                <w:tcPr>
                  <w:tcW w:w="1425" w:type="dxa"/>
                  <w:tcBorders>
                    <w:tl2br w:val="nil"/>
                    <w:tr2bl w:val="nil"/>
                  </w:tcBorders>
                  <w:noWrap w:val="0"/>
                  <w:vAlign w:val="center"/>
                </w:tcPr>
                <w:p w14:paraId="710A2E28">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40.300189</w:t>
                  </w:r>
                </w:p>
              </w:tc>
              <w:tc>
                <w:tcPr>
                  <w:tcW w:w="658" w:type="dxa"/>
                  <w:vMerge w:val="continue"/>
                  <w:tcBorders>
                    <w:tl2br w:val="nil"/>
                    <w:tr2bl w:val="nil"/>
                  </w:tcBorders>
                  <w:noWrap w:val="0"/>
                  <w:vAlign w:val="center"/>
                </w:tcPr>
                <w:p w14:paraId="19A809C6">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758C9AD6">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0703BE26">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302F835B">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37E89B6D">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r w14:paraId="23410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0937042B">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w:t>
                  </w:r>
                </w:p>
              </w:tc>
              <w:tc>
                <w:tcPr>
                  <w:tcW w:w="461" w:type="dxa"/>
                  <w:vMerge w:val="continue"/>
                  <w:tcBorders>
                    <w:tl2br w:val="nil"/>
                    <w:tr2bl w:val="nil"/>
                  </w:tcBorders>
                  <w:noWrap w:val="0"/>
                  <w:vAlign w:val="center"/>
                </w:tcPr>
                <w:p w14:paraId="29A5A5D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77" w:type="dxa"/>
                  <w:tcBorders>
                    <w:tl2br w:val="nil"/>
                    <w:tr2bl w:val="nil"/>
                  </w:tcBorders>
                  <w:noWrap w:val="0"/>
                  <w:vAlign w:val="center"/>
                </w:tcPr>
                <w:p w14:paraId="012E4553">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117.353184</w:t>
                  </w:r>
                </w:p>
              </w:tc>
              <w:tc>
                <w:tcPr>
                  <w:tcW w:w="1425" w:type="dxa"/>
                  <w:tcBorders>
                    <w:tl2br w:val="nil"/>
                    <w:tr2bl w:val="nil"/>
                  </w:tcBorders>
                  <w:noWrap w:val="0"/>
                  <w:vAlign w:val="center"/>
                </w:tcPr>
                <w:p w14:paraId="2D912C7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40.300192</w:t>
                  </w:r>
                </w:p>
              </w:tc>
              <w:tc>
                <w:tcPr>
                  <w:tcW w:w="658" w:type="dxa"/>
                  <w:vMerge w:val="continue"/>
                  <w:tcBorders>
                    <w:tl2br w:val="nil"/>
                    <w:tr2bl w:val="nil"/>
                  </w:tcBorders>
                  <w:noWrap w:val="0"/>
                  <w:vAlign w:val="center"/>
                </w:tcPr>
                <w:p w14:paraId="52BAA10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39AC0F3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77CCFF5A">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7679E2D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3E4C285F">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r w14:paraId="082C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7" w:hRule="atLeast"/>
                <w:jc w:val="center"/>
              </w:trPr>
              <w:tc>
                <w:tcPr>
                  <w:tcW w:w="335" w:type="dxa"/>
                  <w:tcBorders>
                    <w:tl2br w:val="nil"/>
                    <w:tr2bl w:val="nil"/>
                  </w:tcBorders>
                  <w:noWrap w:val="0"/>
                  <w:vAlign w:val="center"/>
                </w:tcPr>
                <w:p w14:paraId="2287747A">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w:t>
                  </w:r>
                </w:p>
              </w:tc>
              <w:tc>
                <w:tcPr>
                  <w:tcW w:w="461" w:type="dxa"/>
                  <w:vMerge w:val="continue"/>
                  <w:tcBorders>
                    <w:tl2br w:val="nil"/>
                    <w:tr2bl w:val="nil"/>
                  </w:tcBorders>
                  <w:noWrap w:val="0"/>
                  <w:vAlign w:val="center"/>
                </w:tcPr>
                <w:p w14:paraId="1BB7A7C1">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77" w:type="dxa"/>
                  <w:tcBorders>
                    <w:tl2br w:val="nil"/>
                    <w:tr2bl w:val="nil"/>
                  </w:tcBorders>
                  <w:noWrap w:val="0"/>
                  <w:vAlign w:val="center"/>
                </w:tcPr>
                <w:p w14:paraId="7C5B2DD8">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117.353152</w:t>
                  </w:r>
                </w:p>
              </w:tc>
              <w:tc>
                <w:tcPr>
                  <w:tcW w:w="1425" w:type="dxa"/>
                  <w:tcBorders>
                    <w:tl2br w:val="nil"/>
                    <w:tr2bl w:val="nil"/>
                  </w:tcBorders>
                  <w:noWrap w:val="0"/>
                  <w:vAlign w:val="center"/>
                </w:tcPr>
                <w:p w14:paraId="40B6DB08">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40.300236</w:t>
                  </w:r>
                </w:p>
              </w:tc>
              <w:tc>
                <w:tcPr>
                  <w:tcW w:w="658" w:type="dxa"/>
                  <w:vMerge w:val="continue"/>
                  <w:tcBorders>
                    <w:tl2br w:val="nil"/>
                    <w:tr2bl w:val="nil"/>
                  </w:tcBorders>
                  <w:noWrap w:val="0"/>
                  <w:vAlign w:val="center"/>
                </w:tcPr>
                <w:p w14:paraId="10C28DC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35" w:type="dxa"/>
                  <w:vMerge w:val="continue"/>
                  <w:tcBorders>
                    <w:tl2br w:val="nil"/>
                    <w:tr2bl w:val="nil"/>
                  </w:tcBorders>
                  <w:noWrap w:val="0"/>
                  <w:vAlign w:val="center"/>
                </w:tcPr>
                <w:p w14:paraId="6884B6DF">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780" w:type="dxa"/>
                  <w:vMerge w:val="continue"/>
                  <w:tcBorders>
                    <w:tl2br w:val="nil"/>
                    <w:tr2bl w:val="nil"/>
                  </w:tcBorders>
                  <w:noWrap w:val="0"/>
                  <w:vAlign w:val="center"/>
                </w:tcPr>
                <w:p w14:paraId="17CB83E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975" w:type="dxa"/>
                  <w:vMerge w:val="continue"/>
                  <w:tcBorders>
                    <w:tl2br w:val="nil"/>
                    <w:tr2bl w:val="nil"/>
                  </w:tcBorders>
                  <w:noWrap w:val="0"/>
                  <w:vAlign w:val="center"/>
                </w:tcPr>
                <w:p w14:paraId="64244CA6">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c>
                <w:tcPr>
                  <w:tcW w:w="1269" w:type="dxa"/>
                  <w:vMerge w:val="continue"/>
                  <w:tcBorders>
                    <w:tl2br w:val="nil"/>
                    <w:tr2bl w:val="nil"/>
                  </w:tcBorders>
                  <w:noWrap w:val="0"/>
                  <w:vAlign w:val="center"/>
                </w:tcPr>
                <w:p w14:paraId="5785926B">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eastAsia" w:cs="Times New Roman"/>
                      <w:color w:val="auto"/>
                      <w:sz w:val="21"/>
                      <w:szCs w:val="21"/>
                      <w:highlight w:val="none"/>
                      <w:vertAlign w:val="baseline"/>
                      <w:lang w:val="en-US" w:eastAsia="zh-CN"/>
                    </w:rPr>
                  </w:pPr>
                </w:p>
              </w:tc>
            </w:tr>
          </w:tbl>
          <w:p w14:paraId="09E24DC9">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主要污染源估算模型计算结果表</w:t>
            </w:r>
          </w:p>
          <w:tbl>
            <w:tblPr>
              <w:tblStyle w:val="22"/>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95"/>
              <w:gridCol w:w="1"/>
              <w:gridCol w:w="1595"/>
              <w:gridCol w:w="1"/>
              <w:gridCol w:w="1595"/>
              <w:gridCol w:w="1"/>
              <w:gridCol w:w="1596"/>
            </w:tblGrid>
            <w:tr w14:paraId="2673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7AC42B10">
                  <w:pPr>
                    <w:spacing w:line="240" w:lineRule="auto"/>
                    <w:jc w:val="center"/>
                    <w:rPr>
                      <w:rFonts w:hint="eastAsia" w:eastAsia="宋体"/>
                      <w:color w:val="auto"/>
                      <w:vertAlign w:val="baseline"/>
                      <w:lang w:eastAsia="zh-CN"/>
                    </w:rPr>
                  </w:pPr>
                  <w:r>
                    <w:rPr>
                      <w:rFonts w:hint="eastAsia"/>
                      <w:b/>
                      <w:bCs/>
                      <w:color w:val="auto"/>
                      <w:vertAlign w:val="baseline"/>
                      <w:lang w:eastAsia="zh-CN"/>
                    </w:rPr>
                    <w:t>名称</w:t>
                  </w:r>
                </w:p>
              </w:tc>
              <w:tc>
                <w:tcPr>
                  <w:tcW w:w="6384" w:type="dxa"/>
                  <w:gridSpan w:val="7"/>
                  <w:vAlign w:val="center"/>
                </w:tcPr>
                <w:p w14:paraId="1805AD15">
                  <w:pPr>
                    <w:spacing w:line="240" w:lineRule="auto"/>
                    <w:jc w:val="center"/>
                    <w:rPr>
                      <w:b/>
                      <w:bCs/>
                      <w:color w:val="auto"/>
                      <w:vertAlign w:val="baseline"/>
                    </w:rPr>
                  </w:pPr>
                  <w:r>
                    <w:rPr>
                      <w:rFonts w:hint="default" w:ascii="Times New Roman" w:hAnsi="Times New Roman" w:eastAsia="宋体" w:cs="Times New Roman"/>
                      <w:b/>
                      <w:bCs/>
                      <w:color w:val="auto"/>
                      <w:sz w:val="21"/>
                      <w:szCs w:val="21"/>
                      <w:lang w:val="en-US" w:eastAsia="zh-CN"/>
                    </w:rPr>
                    <w:t>封闭式生产车间</w:t>
                  </w:r>
                </w:p>
              </w:tc>
            </w:tr>
            <w:tr w14:paraId="1B61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23345E52">
                  <w:pPr>
                    <w:spacing w:line="240" w:lineRule="auto"/>
                    <w:jc w:val="center"/>
                    <w:rPr>
                      <w:color w:val="auto"/>
                      <w:vertAlign w:val="baseline"/>
                    </w:rPr>
                  </w:pPr>
                  <w:r>
                    <w:rPr>
                      <w:rFonts w:hint="default" w:ascii="Times New Roman" w:hAnsi="Times New Roman" w:eastAsia="宋体" w:cs="Times New Roman"/>
                      <w:b/>
                      <w:bCs/>
                      <w:color w:val="auto"/>
                      <w:sz w:val="21"/>
                      <w:szCs w:val="21"/>
                    </w:rPr>
                    <w:t>厂界</w:t>
                  </w:r>
                </w:p>
              </w:tc>
              <w:tc>
                <w:tcPr>
                  <w:tcW w:w="1595" w:type="dxa"/>
                  <w:vAlign w:val="center"/>
                </w:tcPr>
                <w:p w14:paraId="0943D881">
                  <w:pPr>
                    <w:spacing w:line="240" w:lineRule="auto"/>
                    <w:jc w:val="center"/>
                    <w:rPr>
                      <w:rFonts w:hint="default" w:ascii="Times New Roman" w:hAnsi="Times New Roman" w:cs="Times New Roman"/>
                      <w:b/>
                      <w:bCs/>
                      <w:color w:val="auto"/>
                      <w:vertAlign w:val="baseline"/>
                    </w:rPr>
                  </w:pPr>
                  <w:r>
                    <w:rPr>
                      <w:rFonts w:hint="default" w:ascii="Times New Roman" w:hAnsi="Times New Roman" w:eastAsia="宋体" w:cs="Times New Roman"/>
                      <w:b/>
                      <w:bCs/>
                      <w:i w:val="0"/>
                      <w:iCs w:val="0"/>
                      <w:color w:val="auto"/>
                      <w:kern w:val="0"/>
                      <w:sz w:val="21"/>
                      <w:szCs w:val="21"/>
                      <w:highlight w:val="none"/>
                      <w:u w:val="none"/>
                      <w:lang w:val="en-US" w:eastAsia="zh-CN" w:bidi="ar"/>
                    </w:rPr>
                    <w:t>东厂界</w:t>
                  </w:r>
                </w:p>
              </w:tc>
              <w:tc>
                <w:tcPr>
                  <w:tcW w:w="1596" w:type="dxa"/>
                  <w:gridSpan w:val="2"/>
                  <w:vAlign w:val="center"/>
                </w:tcPr>
                <w:p w14:paraId="1008C4D9">
                  <w:pPr>
                    <w:spacing w:line="240" w:lineRule="auto"/>
                    <w:jc w:val="center"/>
                    <w:rPr>
                      <w:rFonts w:hint="default" w:ascii="Times New Roman" w:hAnsi="Times New Roman" w:cs="Times New Roman"/>
                      <w:b/>
                      <w:bCs/>
                      <w:color w:val="auto"/>
                      <w:vertAlign w:val="baseline"/>
                    </w:rPr>
                  </w:pPr>
                  <w:r>
                    <w:rPr>
                      <w:rFonts w:hint="default" w:ascii="Times New Roman" w:hAnsi="Times New Roman" w:eastAsia="宋体" w:cs="Times New Roman"/>
                      <w:b/>
                      <w:bCs/>
                      <w:i w:val="0"/>
                      <w:iCs w:val="0"/>
                      <w:color w:val="auto"/>
                      <w:kern w:val="0"/>
                      <w:sz w:val="21"/>
                      <w:szCs w:val="21"/>
                      <w:highlight w:val="none"/>
                      <w:u w:val="none"/>
                      <w:lang w:val="en-US" w:eastAsia="zh-CN" w:bidi="ar"/>
                    </w:rPr>
                    <w:t>南厂界</w:t>
                  </w:r>
                </w:p>
              </w:tc>
              <w:tc>
                <w:tcPr>
                  <w:tcW w:w="1596" w:type="dxa"/>
                  <w:gridSpan w:val="2"/>
                  <w:vAlign w:val="center"/>
                </w:tcPr>
                <w:p w14:paraId="3F7D13AD">
                  <w:pPr>
                    <w:spacing w:line="240" w:lineRule="auto"/>
                    <w:jc w:val="center"/>
                    <w:rPr>
                      <w:rFonts w:hint="default" w:ascii="Times New Roman" w:hAnsi="Times New Roman" w:cs="Times New Roman"/>
                      <w:b/>
                      <w:bCs/>
                      <w:color w:val="auto"/>
                      <w:vertAlign w:val="baseline"/>
                    </w:rPr>
                  </w:pPr>
                  <w:r>
                    <w:rPr>
                      <w:rFonts w:hint="default" w:ascii="Times New Roman" w:hAnsi="Times New Roman" w:eastAsia="宋体" w:cs="Times New Roman"/>
                      <w:b/>
                      <w:bCs/>
                      <w:i w:val="0"/>
                      <w:iCs w:val="0"/>
                      <w:color w:val="auto"/>
                      <w:kern w:val="0"/>
                      <w:sz w:val="21"/>
                      <w:szCs w:val="21"/>
                      <w:highlight w:val="none"/>
                      <w:u w:val="none"/>
                      <w:lang w:val="en-US" w:eastAsia="zh-CN" w:bidi="ar"/>
                    </w:rPr>
                    <w:t>西厂界</w:t>
                  </w:r>
                </w:p>
              </w:tc>
              <w:tc>
                <w:tcPr>
                  <w:tcW w:w="1597" w:type="dxa"/>
                  <w:gridSpan w:val="2"/>
                  <w:vAlign w:val="center"/>
                </w:tcPr>
                <w:p w14:paraId="0B1DF332">
                  <w:pPr>
                    <w:spacing w:line="240" w:lineRule="auto"/>
                    <w:jc w:val="center"/>
                    <w:rPr>
                      <w:rFonts w:hint="default" w:ascii="Times New Roman" w:hAnsi="Times New Roman" w:cs="Times New Roman"/>
                      <w:b/>
                      <w:bCs/>
                      <w:color w:val="auto"/>
                      <w:vertAlign w:val="baseline"/>
                    </w:rPr>
                  </w:pPr>
                  <w:r>
                    <w:rPr>
                      <w:rFonts w:hint="default" w:ascii="Times New Roman" w:hAnsi="Times New Roman" w:eastAsia="宋体" w:cs="Times New Roman"/>
                      <w:b/>
                      <w:bCs/>
                      <w:i w:val="0"/>
                      <w:iCs w:val="0"/>
                      <w:color w:val="auto"/>
                      <w:kern w:val="0"/>
                      <w:sz w:val="21"/>
                      <w:szCs w:val="21"/>
                      <w:highlight w:val="none"/>
                      <w:u w:val="none"/>
                      <w:lang w:val="en-US" w:eastAsia="zh-CN" w:bidi="ar"/>
                    </w:rPr>
                    <w:t>北厂界</w:t>
                  </w:r>
                </w:p>
              </w:tc>
            </w:tr>
            <w:tr w14:paraId="7DFA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7BD2D5E9">
                  <w:pPr>
                    <w:spacing w:line="240" w:lineRule="auto"/>
                    <w:jc w:val="center"/>
                    <w:rPr>
                      <w:rFonts w:hint="eastAsia" w:eastAsia="宋体"/>
                      <w:color w:val="auto"/>
                      <w:vertAlign w:val="baseline"/>
                      <w:lang w:eastAsia="zh-CN"/>
                    </w:rPr>
                  </w:pPr>
                  <w:r>
                    <w:rPr>
                      <w:rFonts w:hint="default" w:ascii="Times New Roman" w:hAnsi="Times New Roman" w:eastAsia="宋体" w:cs="Times New Roman"/>
                      <w:b/>
                      <w:bCs/>
                      <w:color w:val="auto"/>
                      <w:sz w:val="21"/>
                      <w:szCs w:val="21"/>
                    </w:rPr>
                    <w:t>距离（</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w:t>
                  </w:r>
                </w:p>
              </w:tc>
              <w:tc>
                <w:tcPr>
                  <w:tcW w:w="1595" w:type="dxa"/>
                  <w:vAlign w:val="center"/>
                </w:tcPr>
                <w:p w14:paraId="3FC8380A">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8</w:t>
                  </w:r>
                </w:p>
              </w:tc>
              <w:tc>
                <w:tcPr>
                  <w:tcW w:w="1596" w:type="dxa"/>
                  <w:gridSpan w:val="2"/>
                  <w:vAlign w:val="center"/>
                </w:tcPr>
                <w:p w14:paraId="6E756F85">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1</w:t>
                  </w:r>
                </w:p>
              </w:tc>
              <w:tc>
                <w:tcPr>
                  <w:tcW w:w="1596" w:type="dxa"/>
                  <w:gridSpan w:val="2"/>
                  <w:vAlign w:val="center"/>
                </w:tcPr>
                <w:p w14:paraId="398C89B6">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12</w:t>
                  </w:r>
                </w:p>
              </w:tc>
              <w:tc>
                <w:tcPr>
                  <w:tcW w:w="1597" w:type="dxa"/>
                  <w:gridSpan w:val="2"/>
                  <w:vAlign w:val="center"/>
                </w:tcPr>
                <w:p w14:paraId="70526D15">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40</w:t>
                  </w:r>
                </w:p>
              </w:tc>
            </w:tr>
            <w:tr w14:paraId="7ECD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2B8095EF">
                  <w:pPr>
                    <w:spacing w:line="240" w:lineRule="auto"/>
                    <w:jc w:val="center"/>
                    <w:rPr>
                      <w:color w:val="auto"/>
                      <w:vertAlign w:val="baseline"/>
                    </w:rPr>
                  </w:pPr>
                  <w:r>
                    <w:rPr>
                      <w:rFonts w:hint="default" w:ascii="Times New Roman" w:hAnsi="Times New Roman" w:eastAsia="宋体" w:cs="Times New Roman"/>
                      <w:b/>
                      <w:bCs/>
                      <w:color w:val="auto"/>
                      <w:sz w:val="21"/>
                      <w:szCs w:val="21"/>
                      <w:lang w:eastAsia="zh-CN"/>
                    </w:rPr>
                    <w:t>预测</w:t>
                  </w: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595" w:type="dxa"/>
                  <w:vAlign w:val="center"/>
                </w:tcPr>
                <w:p w14:paraId="427C2927">
                  <w:pPr>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24631</w:t>
                  </w:r>
                </w:p>
              </w:tc>
              <w:tc>
                <w:tcPr>
                  <w:tcW w:w="1596" w:type="dxa"/>
                  <w:gridSpan w:val="2"/>
                  <w:vAlign w:val="center"/>
                </w:tcPr>
                <w:p w14:paraId="2E0B4C39">
                  <w:pPr>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default" w:ascii="Times New Roman" w:hAnsi="Times New Roman" w:cs="Times New Roman"/>
                      <w:i w:val="0"/>
                      <w:iCs w:val="0"/>
                      <w:color w:val="auto"/>
                      <w:kern w:val="0"/>
                      <w:sz w:val="21"/>
                      <w:szCs w:val="21"/>
                      <w:highlight w:val="none"/>
                      <w:u w:val="none"/>
                      <w:lang w:val="en-US" w:eastAsia="zh-CN" w:bidi="ar"/>
                    </w:rPr>
                    <w:t>98961</w:t>
                  </w:r>
                </w:p>
              </w:tc>
              <w:tc>
                <w:tcPr>
                  <w:tcW w:w="1596" w:type="dxa"/>
                  <w:gridSpan w:val="2"/>
                  <w:vAlign w:val="center"/>
                </w:tcPr>
                <w:p w14:paraId="60CFF0DB">
                  <w:pPr>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i w:val="0"/>
                      <w:iCs w:val="0"/>
                      <w:color w:val="auto"/>
                      <w:kern w:val="0"/>
                      <w:sz w:val="21"/>
                      <w:szCs w:val="21"/>
                      <w:highlight w:val="none"/>
                      <w:u w:val="none"/>
                      <w:lang w:val="en-US" w:eastAsia="zh-CN" w:bidi="ar"/>
                    </w:rPr>
                    <w:t>0.24614</w:t>
                  </w:r>
                </w:p>
              </w:tc>
              <w:tc>
                <w:tcPr>
                  <w:tcW w:w="1597" w:type="dxa"/>
                  <w:gridSpan w:val="2"/>
                  <w:vAlign w:val="center"/>
                </w:tcPr>
                <w:p w14:paraId="61BFAB73">
                  <w:pPr>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i w:val="0"/>
                      <w:iCs w:val="0"/>
                      <w:color w:val="auto"/>
                      <w:kern w:val="0"/>
                      <w:sz w:val="21"/>
                      <w:szCs w:val="21"/>
                      <w:highlight w:val="none"/>
                      <w:u w:val="none"/>
                      <w:lang w:val="en-US" w:eastAsia="zh-CN" w:bidi="ar"/>
                    </w:rPr>
                    <w:t>0.24374</w:t>
                  </w:r>
                </w:p>
              </w:tc>
            </w:tr>
            <w:tr w14:paraId="73C7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7539C619">
                  <w:pPr>
                    <w:spacing w:line="240" w:lineRule="auto"/>
                    <w:ind w:left="0" w:leftChars="0" w:right="0" w:rightChars="0"/>
                    <w:jc w:val="center"/>
                    <w:rPr>
                      <w:rFonts w:hint="eastAsia" w:ascii="Times New Roman" w:hAnsi="Times New Roman" w:eastAsia="宋体" w:cs="宋体"/>
                      <w:color w:val="auto"/>
                      <w:sz w:val="24"/>
                      <w:szCs w:val="24"/>
                      <w:vertAlign w:val="baseline"/>
                      <w:lang w:val="zh-CN" w:eastAsia="zh-CN" w:bidi="zh-CN"/>
                    </w:rPr>
                  </w:pPr>
                  <w:r>
                    <w:rPr>
                      <w:rFonts w:hint="eastAsia"/>
                      <w:b/>
                      <w:bCs/>
                      <w:color w:val="auto"/>
                      <w:vertAlign w:val="baseline"/>
                      <w:lang w:eastAsia="zh-CN"/>
                    </w:rPr>
                    <w:t>名称</w:t>
                  </w:r>
                </w:p>
              </w:tc>
              <w:tc>
                <w:tcPr>
                  <w:tcW w:w="6384" w:type="dxa"/>
                  <w:gridSpan w:val="7"/>
                  <w:vAlign w:val="center"/>
                </w:tcPr>
                <w:p w14:paraId="568E0F49">
                  <w:pPr>
                    <w:spacing w:line="240" w:lineRule="auto"/>
                    <w:jc w:val="center"/>
                    <w:rPr>
                      <w:rFonts w:hint="default" w:ascii="Times New Roman" w:hAnsi="Times New Roman" w:cs="Times New Roman"/>
                      <w:b/>
                      <w:bCs/>
                      <w:color w:val="auto"/>
                      <w:sz w:val="21"/>
                      <w:szCs w:val="21"/>
                      <w:vertAlign w:val="baseline"/>
                    </w:rPr>
                  </w:pPr>
                  <w:r>
                    <w:rPr>
                      <w:rFonts w:hint="default" w:ascii="Times New Roman" w:hAnsi="Times New Roman" w:eastAsia="宋体" w:cs="Times New Roman"/>
                      <w:b/>
                      <w:bCs/>
                      <w:color w:val="auto"/>
                      <w:sz w:val="21"/>
                      <w:szCs w:val="21"/>
                      <w:highlight w:val="none"/>
                      <w:lang w:val="en-US" w:eastAsia="zh-CN"/>
                    </w:rPr>
                    <w:t>封闭式</w:t>
                  </w:r>
                  <w:r>
                    <w:rPr>
                      <w:rFonts w:hint="default" w:ascii="Times New Roman" w:hAnsi="Times New Roman" w:cs="Times New Roman"/>
                      <w:b/>
                      <w:bCs/>
                      <w:color w:val="auto"/>
                      <w:sz w:val="21"/>
                      <w:szCs w:val="21"/>
                      <w:highlight w:val="none"/>
                      <w:lang w:val="en-US" w:eastAsia="zh-CN"/>
                    </w:rPr>
                    <w:t>原料车间</w:t>
                  </w:r>
                </w:p>
              </w:tc>
            </w:tr>
            <w:tr w14:paraId="5D5C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22ACED09">
                  <w:pPr>
                    <w:spacing w:line="240" w:lineRule="auto"/>
                    <w:ind w:left="0" w:leftChars="0" w:right="0" w:rightChars="0"/>
                    <w:jc w:val="center"/>
                    <w:rPr>
                      <w:rFonts w:ascii="Times New Roman" w:hAnsi="Times New Roman" w:eastAsia="宋体" w:cs="宋体"/>
                      <w:color w:val="auto"/>
                      <w:sz w:val="24"/>
                      <w:szCs w:val="24"/>
                      <w:vertAlign w:val="baseline"/>
                      <w:lang w:val="zh-CN" w:eastAsia="zh-CN" w:bidi="zh-CN"/>
                    </w:rPr>
                  </w:pPr>
                  <w:r>
                    <w:rPr>
                      <w:rFonts w:hint="default" w:ascii="Times New Roman" w:hAnsi="Times New Roman" w:eastAsia="宋体" w:cs="Times New Roman"/>
                      <w:b/>
                      <w:bCs/>
                      <w:color w:val="auto"/>
                      <w:sz w:val="21"/>
                      <w:szCs w:val="21"/>
                    </w:rPr>
                    <w:t>厂界</w:t>
                  </w:r>
                </w:p>
              </w:tc>
              <w:tc>
                <w:tcPr>
                  <w:tcW w:w="1595" w:type="dxa"/>
                  <w:vAlign w:val="center"/>
                </w:tcPr>
                <w:p w14:paraId="1666BD44">
                  <w:pPr>
                    <w:spacing w:line="240" w:lineRule="auto"/>
                    <w:ind w:left="0" w:leftChars="0" w:right="0" w:rightChars="0"/>
                    <w:jc w:val="center"/>
                    <w:rPr>
                      <w:rFonts w:hint="default" w:ascii="Times New Roman" w:hAnsi="Times New Roman" w:eastAsia="宋体" w:cs="Times New Roman"/>
                      <w:b/>
                      <w:bCs/>
                      <w:color w:val="auto"/>
                      <w:sz w:val="21"/>
                      <w:szCs w:val="21"/>
                      <w:vertAlign w:val="baseline"/>
                      <w:lang w:val="zh-CN" w:eastAsia="zh-CN" w:bidi="zh-CN"/>
                    </w:rPr>
                  </w:pPr>
                  <w:r>
                    <w:rPr>
                      <w:rFonts w:hint="default" w:ascii="Times New Roman" w:hAnsi="Times New Roman" w:eastAsia="宋体" w:cs="Times New Roman"/>
                      <w:b/>
                      <w:bCs/>
                      <w:i w:val="0"/>
                      <w:iCs w:val="0"/>
                      <w:color w:val="auto"/>
                      <w:kern w:val="0"/>
                      <w:sz w:val="21"/>
                      <w:szCs w:val="21"/>
                      <w:highlight w:val="none"/>
                      <w:u w:val="none"/>
                      <w:lang w:val="en-US" w:eastAsia="zh-CN" w:bidi="ar"/>
                    </w:rPr>
                    <w:t>东厂界</w:t>
                  </w:r>
                </w:p>
              </w:tc>
              <w:tc>
                <w:tcPr>
                  <w:tcW w:w="1596" w:type="dxa"/>
                  <w:gridSpan w:val="2"/>
                  <w:vAlign w:val="center"/>
                </w:tcPr>
                <w:p w14:paraId="2FC37D92">
                  <w:pPr>
                    <w:spacing w:line="240" w:lineRule="auto"/>
                    <w:ind w:left="0" w:leftChars="0" w:right="0" w:rightChars="0"/>
                    <w:jc w:val="center"/>
                    <w:rPr>
                      <w:rFonts w:hint="default" w:ascii="Times New Roman" w:hAnsi="Times New Roman" w:eastAsia="宋体" w:cs="Times New Roman"/>
                      <w:b/>
                      <w:bCs/>
                      <w:color w:val="auto"/>
                      <w:sz w:val="21"/>
                      <w:szCs w:val="21"/>
                      <w:vertAlign w:val="baseline"/>
                      <w:lang w:val="zh-CN" w:eastAsia="zh-CN" w:bidi="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南厂界</w:t>
                  </w:r>
                </w:p>
              </w:tc>
              <w:tc>
                <w:tcPr>
                  <w:tcW w:w="1596" w:type="dxa"/>
                  <w:gridSpan w:val="2"/>
                  <w:vAlign w:val="center"/>
                </w:tcPr>
                <w:p w14:paraId="5BE55BEA">
                  <w:pPr>
                    <w:spacing w:line="240" w:lineRule="auto"/>
                    <w:ind w:left="0" w:leftChars="0" w:right="0" w:rightChars="0"/>
                    <w:jc w:val="center"/>
                    <w:rPr>
                      <w:rFonts w:hint="default" w:ascii="Times New Roman" w:hAnsi="Times New Roman" w:eastAsia="宋体" w:cs="Times New Roman"/>
                      <w:b/>
                      <w:bCs/>
                      <w:color w:val="auto"/>
                      <w:sz w:val="21"/>
                      <w:szCs w:val="21"/>
                      <w:vertAlign w:val="baseline"/>
                      <w:lang w:val="zh-CN" w:eastAsia="zh-CN" w:bidi="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西厂界</w:t>
                  </w:r>
                </w:p>
              </w:tc>
              <w:tc>
                <w:tcPr>
                  <w:tcW w:w="1597" w:type="dxa"/>
                  <w:gridSpan w:val="2"/>
                  <w:vAlign w:val="center"/>
                </w:tcPr>
                <w:p w14:paraId="69E32D90">
                  <w:pPr>
                    <w:spacing w:line="240" w:lineRule="auto"/>
                    <w:ind w:left="0" w:leftChars="0" w:right="0" w:rightChars="0"/>
                    <w:jc w:val="center"/>
                    <w:rPr>
                      <w:rFonts w:hint="default" w:ascii="Times New Roman" w:hAnsi="Times New Roman" w:eastAsia="宋体" w:cs="Times New Roman"/>
                      <w:b/>
                      <w:bCs/>
                      <w:color w:val="auto"/>
                      <w:sz w:val="21"/>
                      <w:szCs w:val="21"/>
                      <w:vertAlign w:val="baseline"/>
                      <w:lang w:val="zh-CN" w:eastAsia="zh-CN" w:bidi="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北厂界</w:t>
                  </w:r>
                </w:p>
              </w:tc>
            </w:tr>
            <w:tr w14:paraId="0D34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0EE60B6D">
                  <w:pPr>
                    <w:spacing w:line="240" w:lineRule="auto"/>
                    <w:ind w:left="0" w:leftChars="0" w:right="0" w:rightChars="0"/>
                    <w:jc w:val="center"/>
                    <w:rPr>
                      <w:rFonts w:hint="eastAsia" w:ascii="Times New Roman" w:hAnsi="Times New Roman" w:eastAsia="宋体" w:cs="宋体"/>
                      <w:color w:val="auto"/>
                      <w:sz w:val="24"/>
                      <w:szCs w:val="24"/>
                      <w:vertAlign w:val="baseline"/>
                      <w:lang w:val="zh-CN" w:eastAsia="zh-CN" w:bidi="zh-CN"/>
                    </w:rPr>
                  </w:pPr>
                  <w:r>
                    <w:rPr>
                      <w:rFonts w:hint="default" w:ascii="Times New Roman" w:hAnsi="Times New Roman" w:eastAsia="宋体" w:cs="Times New Roman"/>
                      <w:b/>
                      <w:bCs/>
                      <w:color w:val="auto"/>
                      <w:sz w:val="21"/>
                      <w:szCs w:val="21"/>
                    </w:rPr>
                    <w:t>距离（</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w:t>
                  </w:r>
                </w:p>
              </w:tc>
              <w:tc>
                <w:tcPr>
                  <w:tcW w:w="1595" w:type="dxa"/>
                  <w:vAlign w:val="center"/>
                </w:tcPr>
                <w:p w14:paraId="0BA93431">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w:t>
                  </w:r>
                </w:p>
              </w:tc>
              <w:tc>
                <w:tcPr>
                  <w:tcW w:w="1596" w:type="dxa"/>
                  <w:gridSpan w:val="2"/>
                  <w:vAlign w:val="center"/>
                </w:tcPr>
                <w:p w14:paraId="6F122CBC">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19</w:t>
                  </w:r>
                </w:p>
              </w:tc>
              <w:tc>
                <w:tcPr>
                  <w:tcW w:w="1596" w:type="dxa"/>
                  <w:gridSpan w:val="2"/>
                  <w:vAlign w:val="center"/>
                </w:tcPr>
                <w:p w14:paraId="5BFFE410">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597" w:type="dxa"/>
                  <w:gridSpan w:val="2"/>
                  <w:vAlign w:val="center"/>
                </w:tcPr>
                <w:p w14:paraId="5ACB591E">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14:paraId="29D6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63190ABE">
                  <w:pPr>
                    <w:spacing w:line="240" w:lineRule="auto"/>
                    <w:ind w:left="0" w:leftChars="0" w:right="0" w:rightChars="0"/>
                    <w:jc w:val="center"/>
                    <w:rPr>
                      <w:rFonts w:ascii="Times New Roman" w:hAnsi="Times New Roman" w:eastAsia="宋体" w:cs="宋体"/>
                      <w:color w:val="auto"/>
                      <w:sz w:val="24"/>
                      <w:szCs w:val="24"/>
                      <w:vertAlign w:val="baseline"/>
                      <w:lang w:val="zh-CN" w:eastAsia="zh-CN" w:bidi="zh-CN"/>
                    </w:rPr>
                  </w:pPr>
                  <w:r>
                    <w:rPr>
                      <w:rFonts w:hint="default" w:ascii="Times New Roman" w:hAnsi="Times New Roman" w:eastAsia="宋体" w:cs="Times New Roman"/>
                      <w:b/>
                      <w:bCs/>
                      <w:color w:val="auto"/>
                      <w:sz w:val="21"/>
                      <w:szCs w:val="21"/>
                      <w:lang w:eastAsia="zh-CN"/>
                    </w:rPr>
                    <w:t>预测</w:t>
                  </w: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595" w:type="dxa"/>
                  <w:vAlign w:val="center"/>
                </w:tcPr>
                <w:p w14:paraId="66B231EB">
                  <w:pPr>
                    <w:spacing w:line="240" w:lineRule="auto"/>
                    <w:ind w:left="0" w:leftChars="0" w:right="0" w:rightChars="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0.041717</w:t>
                  </w:r>
                </w:p>
              </w:tc>
              <w:tc>
                <w:tcPr>
                  <w:tcW w:w="1596" w:type="dxa"/>
                  <w:gridSpan w:val="2"/>
                  <w:vAlign w:val="center"/>
                </w:tcPr>
                <w:p w14:paraId="2A876457">
                  <w:pPr>
                    <w:spacing w:line="240" w:lineRule="auto"/>
                    <w:ind w:left="0" w:leftChars="0" w:right="0" w:rightChars="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0.049244</w:t>
                  </w:r>
                </w:p>
              </w:tc>
              <w:tc>
                <w:tcPr>
                  <w:tcW w:w="1596" w:type="dxa"/>
                  <w:gridSpan w:val="2"/>
                  <w:vAlign w:val="center"/>
                </w:tcPr>
                <w:p w14:paraId="57868648">
                  <w:pPr>
                    <w:spacing w:line="240" w:lineRule="auto"/>
                    <w:ind w:left="0" w:leftChars="0" w:right="0" w:rightChars="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0.035557</w:t>
                  </w:r>
                </w:p>
              </w:tc>
              <w:tc>
                <w:tcPr>
                  <w:tcW w:w="1597" w:type="dxa"/>
                  <w:gridSpan w:val="2"/>
                  <w:vAlign w:val="center"/>
                </w:tcPr>
                <w:p w14:paraId="5461FBF2">
                  <w:pPr>
                    <w:spacing w:line="240" w:lineRule="auto"/>
                    <w:ind w:left="0" w:leftChars="0" w:right="0" w:rightChars="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0.02255</w:t>
                  </w:r>
                </w:p>
              </w:tc>
            </w:tr>
            <w:tr w14:paraId="656C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3C4C0F8C">
                  <w:pPr>
                    <w:spacing w:line="240" w:lineRule="auto"/>
                    <w:ind w:left="0" w:leftChars="0" w:right="0" w:rightChars="0"/>
                    <w:jc w:val="center"/>
                    <w:rPr>
                      <w:rFonts w:hint="default" w:ascii="Times New Roman" w:hAnsi="Times New Roman" w:eastAsia="宋体" w:cs="宋体"/>
                      <w:color w:val="auto"/>
                      <w:sz w:val="24"/>
                      <w:szCs w:val="24"/>
                      <w:vertAlign w:val="baseline"/>
                      <w:lang w:val="zh-CN" w:eastAsia="zh-CN" w:bidi="zh-CN"/>
                    </w:rPr>
                  </w:pPr>
                  <w:r>
                    <w:rPr>
                      <w:rFonts w:hint="eastAsia"/>
                      <w:b/>
                      <w:bCs/>
                      <w:color w:val="auto"/>
                      <w:vertAlign w:val="baseline"/>
                      <w:lang w:eastAsia="zh-CN"/>
                    </w:rPr>
                    <w:t>名称</w:t>
                  </w:r>
                </w:p>
              </w:tc>
              <w:tc>
                <w:tcPr>
                  <w:tcW w:w="6384" w:type="dxa"/>
                  <w:gridSpan w:val="7"/>
                  <w:vAlign w:val="center"/>
                </w:tcPr>
                <w:p w14:paraId="64DE65D3">
                  <w:pPr>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b/>
                      <w:bCs/>
                      <w:color w:val="auto"/>
                      <w:sz w:val="21"/>
                      <w:szCs w:val="21"/>
                      <w:highlight w:val="none"/>
                      <w:lang w:val="en-US" w:eastAsia="zh-CN"/>
                    </w:rPr>
                    <w:t>封闭式</w:t>
                  </w:r>
                  <w:r>
                    <w:rPr>
                      <w:rFonts w:hint="default" w:ascii="Times New Roman" w:hAnsi="Times New Roman" w:cs="Times New Roman"/>
                      <w:b/>
                      <w:bCs/>
                      <w:color w:val="auto"/>
                      <w:sz w:val="21"/>
                      <w:szCs w:val="21"/>
                      <w:highlight w:val="none"/>
                      <w:lang w:val="en-US" w:eastAsia="zh-CN"/>
                    </w:rPr>
                    <w:t>成品车间</w:t>
                  </w:r>
                </w:p>
              </w:tc>
            </w:tr>
            <w:tr w14:paraId="2B27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640918F1">
                  <w:pPr>
                    <w:spacing w:line="240" w:lineRule="auto"/>
                    <w:ind w:left="0" w:leftChars="0" w:right="0" w:rightChars="0"/>
                    <w:jc w:val="center"/>
                    <w:rPr>
                      <w:rFonts w:hint="default" w:ascii="Times New Roman" w:hAnsi="Times New Roman" w:eastAsia="宋体" w:cs="宋体"/>
                      <w:color w:val="auto"/>
                      <w:sz w:val="24"/>
                      <w:szCs w:val="24"/>
                      <w:vertAlign w:val="baseline"/>
                      <w:lang w:val="zh-CN" w:eastAsia="zh-CN" w:bidi="zh-CN"/>
                    </w:rPr>
                  </w:pPr>
                  <w:r>
                    <w:rPr>
                      <w:rFonts w:hint="default" w:ascii="Times New Roman" w:hAnsi="Times New Roman" w:eastAsia="宋体" w:cs="Times New Roman"/>
                      <w:b/>
                      <w:bCs/>
                      <w:color w:val="auto"/>
                      <w:sz w:val="21"/>
                      <w:szCs w:val="21"/>
                    </w:rPr>
                    <w:t>厂界</w:t>
                  </w:r>
                </w:p>
              </w:tc>
              <w:tc>
                <w:tcPr>
                  <w:tcW w:w="1595" w:type="dxa"/>
                  <w:vAlign w:val="center"/>
                </w:tcPr>
                <w:p w14:paraId="470EFC32">
                  <w:pPr>
                    <w:spacing w:line="240" w:lineRule="auto"/>
                    <w:ind w:left="0" w:leftChars="0" w:right="0" w:rightChars="0"/>
                    <w:jc w:val="center"/>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i w:val="0"/>
                      <w:iCs w:val="0"/>
                      <w:color w:val="auto"/>
                      <w:kern w:val="0"/>
                      <w:sz w:val="21"/>
                      <w:szCs w:val="21"/>
                      <w:highlight w:val="none"/>
                      <w:u w:val="none"/>
                      <w:lang w:val="en-US" w:eastAsia="zh-CN" w:bidi="ar"/>
                    </w:rPr>
                    <w:t>东厂界</w:t>
                  </w:r>
                </w:p>
              </w:tc>
              <w:tc>
                <w:tcPr>
                  <w:tcW w:w="1596" w:type="dxa"/>
                  <w:gridSpan w:val="2"/>
                  <w:vAlign w:val="center"/>
                </w:tcPr>
                <w:p w14:paraId="2F6389FC">
                  <w:pPr>
                    <w:spacing w:line="240" w:lineRule="auto"/>
                    <w:ind w:left="0" w:leftChars="0" w:right="0" w:rightChars="0"/>
                    <w:jc w:val="center"/>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南厂界</w:t>
                  </w:r>
                </w:p>
              </w:tc>
              <w:tc>
                <w:tcPr>
                  <w:tcW w:w="1596" w:type="dxa"/>
                  <w:gridSpan w:val="2"/>
                  <w:vAlign w:val="center"/>
                </w:tcPr>
                <w:p w14:paraId="2EE854CC">
                  <w:pPr>
                    <w:spacing w:line="240" w:lineRule="auto"/>
                    <w:ind w:left="0" w:leftChars="0" w:right="0" w:rightChars="0"/>
                    <w:jc w:val="center"/>
                    <w:rPr>
                      <w:rFonts w:hint="default" w:ascii="Times New Roman" w:hAnsi="Times New Roman" w:eastAsia="宋体" w:cs="Times New Roman"/>
                      <w:b/>
                      <w:bCs/>
                      <w:color w:val="auto"/>
                      <w:sz w:val="21"/>
                      <w:szCs w:val="21"/>
                      <w:vertAlign w:val="baseline"/>
                      <w:lang w:val="en-US" w:eastAsia="zh-CN" w:bidi="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西厂界</w:t>
                  </w:r>
                </w:p>
              </w:tc>
              <w:tc>
                <w:tcPr>
                  <w:tcW w:w="1597" w:type="dxa"/>
                  <w:gridSpan w:val="2"/>
                  <w:vAlign w:val="center"/>
                </w:tcPr>
                <w:p w14:paraId="2A0A3536">
                  <w:pPr>
                    <w:spacing w:line="240" w:lineRule="auto"/>
                    <w:ind w:left="0" w:leftChars="0" w:right="0" w:rightChars="0"/>
                    <w:jc w:val="center"/>
                    <w:rPr>
                      <w:rFonts w:hint="default" w:ascii="Times New Roman" w:hAnsi="Times New Roman" w:eastAsia="宋体" w:cs="Times New Roman"/>
                      <w:b/>
                      <w:bCs/>
                      <w:color w:val="auto"/>
                      <w:sz w:val="21"/>
                      <w:szCs w:val="21"/>
                      <w:vertAlign w:val="baseline"/>
                      <w:lang w:val="zh-CN" w:eastAsia="zh-CN" w:bidi="zh-CN"/>
                    </w:rPr>
                  </w:pPr>
                  <w:r>
                    <w:rPr>
                      <w:rFonts w:hint="default" w:ascii="Times New Roman" w:hAnsi="Times New Roman" w:eastAsia="宋体" w:cs="Times New Roman"/>
                      <w:b/>
                      <w:bCs/>
                      <w:i w:val="0"/>
                      <w:iCs w:val="0"/>
                      <w:color w:val="auto"/>
                      <w:kern w:val="0"/>
                      <w:sz w:val="21"/>
                      <w:szCs w:val="21"/>
                      <w:highlight w:val="none"/>
                      <w:u w:val="none"/>
                      <w:lang w:val="en-US" w:eastAsia="zh-CN" w:bidi="ar"/>
                    </w:rPr>
                    <w:t>北厂界</w:t>
                  </w:r>
                </w:p>
              </w:tc>
            </w:tr>
            <w:tr w14:paraId="4D2F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30BD4CD6">
                  <w:pPr>
                    <w:spacing w:line="240" w:lineRule="auto"/>
                    <w:ind w:left="0" w:leftChars="0" w:right="0" w:rightChars="0"/>
                    <w:jc w:val="center"/>
                    <w:rPr>
                      <w:rFonts w:hint="default" w:ascii="Times New Roman" w:hAnsi="Times New Roman" w:eastAsia="宋体" w:cs="宋体"/>
                      <w:color w:val="auto"/>
                      <w:sz w:val="24"/>
                      <w:szCs w:val="24"/>
                      <w:vertAlign w:val="baseline"/>
                      <w:lang w:val="zh-CN" w:eastAsia="zh-CN" w:bidi="zh-CN"/>
                    </w:rPr>
                  </w:pPr>
                  <w:r>
                    <w:rPr>
                      <w:rFonts w:hint="default" w:ascii="Times New Roman" w:hAnsi="Times New Roman" w:eastAsia="宋体" w:cs="Times New Roman"/>
                      <w:b/>
                      <w:bCs/>
                      <w:color w:val="auto"/>
                      <w:sz w:val="21"/>
                      <w:szCs w:val="21"/>
                    </w:rPr>
                    <w:t>距离（</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w:t>
                  </w:r>
                </w:p>
              </w:tc>
              <w:tc>
                <w:tcPr>
                  <w:tcW w:w="1595" w:type="dxa"/>
                  <w:vAlign w:val="center"/>
                </w:tcPr>
                <w:p w14:paraId="711FE713">
                  <w:pPr>
                    <w:spacing w:line="240" w:lineRule="auto"/>
                    <w:ind w:left="0" w:leftChars="0" w:right="0" w:rightChars="0"/>
                    <w:jc w:val="center"/>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cs="Times New Roman"/>
                      <w:color w:val="auto"/>
                      <w:sz w:val="21"/>
                      <w:szCs w:val="21"/>
                      <w:vertAlign w:val="baseline"/>
                      <w:lang w:val="en-US" w:eastAsia="zh-CN" w:bidi="zh-CN"/>
                    </w:rPr>
                    <w:t>1</w:t>
                  </w:r>
                </w:p>
              </w:tc>
              <w:tc>
                <w:tcPr>
                  <w:tcW w:w="1596" w:type="dxa"/>
                  <w:gridSpan w:val="2"/>
                  <w:vAlign w:val="center"/>
                </w:tcPr>
                <w:p w14:paraId="13E0AE9C">
                  <w:pPr>
                    <w:spacing w:line="240" w:lineRule="auto"/>
                    <w:ind w:left="0" w:leftChars="0" w:right="0" w:rightChars="0"/>
                    <w:jc w:val="center"/>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cs="Times New Roman"/>
                      <w:color w:val="auto"/>
                      <w:sz w:val="21"/>
                      <w:szCs w:val="21"/>
                      <w:vertAlign w:val="baseline"/>
                      <w:lang w:val="en-US" w:eastAsia="zh-CN" w:bidi="zh-CN"/>
                    </w:rPr>
                    <w:t>19</w:t>
                  </w:r>
                </w:p>
              </w:tc>
              <w:tc>
                <w:tcPr>
                  <w:tcW w:w="1596" w:type="dxa"/>
                  <w:gridSpan w:val="2"/>
                  <w:vAlign w:val="center"/>
                </w:tcPr>
                <w:p w14:paraId="370D6D04">
                  <w:pPr>
                    <w:spacing w:line="240" w:lineRule="auto"/>
                    <w:ind w:left="0" w:leftChars="0" w:right="0" w:rightChars="0"/>
                    <w:jc w:val="center"/>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cs="Times New Roman"/>
                      <w:color w:val="auto"/>
                      <w:sz w:val="21"/>
                      <w:szCs w:val="21"/>
                      <w:vertAlign w:val="baseline"/>
                      <w:lang w:val="en-US" w:eastAsia="zh-CN" w:bidi="zh-CN"/>
                    </w:rPr>
                    <w:t>27</w:t>
                  </w:r>
                </w:p>
              </w:tc>
              <w:tc>
                <w:tcPr>
                  <w:tcW w:w="1597" w:type="dxa"/>
                  <w:gridSpan w:val="2"/>
                  <w:vAlign w:val="center"/>
                </w:tcPr>
                <w:p w14:paraId="7AA25A74">
                  <w:pPr>
                    <w:spacing w:line="240" w:lineRule="auto"/>
                    <w:ind w:left="0" w:leftChars="0" w:right="0" w:rightChars="0"/>
                    <w:jc w:val="center"/>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cs="Times New Roman"/>
                      <w:color w:val="auto"/>
                      <w:sz w:val="21"/>
                      <w:szCs w:val="21"/>
                      <w:vertAlign w:val="baseline"/>
                      <w:lang w:val="en-US" w:eastAsia="zh-CN" w:bidi="zh-CN"/>
                    </w:rPr>
                    <w:t>1</w:t>
                  </w:r>
                </w:p>
              </w:tc>
            </w:tr>
            <w:tr w14:paraId="2231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217060C9">
                  <w:pPr>
                    <w:spacing w:line="240" w:lineRule="auto"/>
                    <w:ind w:left="0" w:leftChars="0" w:right="0" w:rightChars="0"/>
                    <w:jc w:val="center"/>
                    <w:rPr>
                      <w:rFonts w:hint="default" w:ascii="Times New Roman" w:hAnsi="Times New Roman" w:eastAsia="宋体" w:cs="宋体"/>
                      <w:color w:val="auto"/>
                      <w:sz w:val="24"/>
                      <w:szCs w:val="24"/>
                      <w:vertAlign w:val="baseline"/>
                      <w:lang w:val="zh-CN" w:eastAsia="zh-CN" w:bidi="zh-CN"/>
                    </w:rPr>
                  </w:pPr>
                  <w:r>
                    <w:rPr>
                      <w:rFonts w:hint="default" w:ascii="Times New Roman" w:hAnsi="Times New Roman" w:eastAsia="宋体" w:cs="Times New Roman"/>
                      <w:b/>
                      <w:bCs/>
                      <w:color w:val="auto"/>
                      <w:sz w:val="21"/>
                      <w:szCs w:val="21"/>
                      <w:lang w:eastAsia="zh-CN"/>
                    </w:rPr>
                    <w:t>预测</w:t>
                  </w: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595" w:type="dxa"/>
                  <w:vAlign w:val="center"/>
                </w:tcPr>
                <w:p w14:paraId="4AE8528B">
                  <w:pPr>
                    <w:spacing w:line="240" w:lineRule="auto"/>
                    <w:jc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0.019908</w:t>
                  </w:r>
                </w:p>
              </w:tc>
              <w:tc>
                <w:tcPr>
                  <w:tcW w:w="1596" w:type="dxa"/>
                  <w:gridSpan w:val="2"/>
                  <w:vAlign w:val="center"/>
                </w:tcPr>
                <w:p w14:paraId="129CC0CE">
                  <w:pPr>
                    <w:spacing w:line="240" w:lineRule="auto"/>
                    <w:jc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0.046077</w:t>
                  </w:r>
                </w:p>
              </w:tc>
              <w:tc>
                <w:tcPr>
                  <w:tcW w:w="1596" w:type="dxa"/>
                  <w:gridSpan w:val="2"/>
                  <w:vAlign w:val="center"/>
                </w:tcPr>
                <w:p w14:paraId="32969104">
                  <w:pPr>
                    <w:spacing w:line="240" w:lineRule="auto"/>
                    <w:jc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0.050288</w:t>
                  </w:r>
                </w:p>
              </w:tc>
              <w:tc>
                <w:tcPr>
                  <w:tcW w:w="1597" w:type="dxa"/>
                  <w:gridSpan w:val="2"/>
                  <w:vAlign w:val="center"/>
                </w:tcPr>
                <w:p w14:paraId="5F329985">
                  <w:pPr>
                    <w:spacing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0.019908</w:t>
                  </w:r>
                </w:p>
              </w:tc>
            </w:tr>
            <w:tr w14:paraId="631E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1C1E0B50">
                  <w:pPr>
                    <w:spacing w:line="240" w:lineRule="auto"/>
                    <w:ind w:left="0" w:leftChars="0" w:right="0" w:rightChars="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背景</w:t>
                  </w: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6384" w:type="dxa"/>
                  <w:gridSpan w:val="7"/>
                  <w:vAlign w:val="center"/>
                </w:tcPr>
                <w:p w14:paraId="67284126">
                  <w:pPr>
                    <w:spacing w:line="240" w:lineRule="auto"/>
                    <w:jc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0.134</w:t>
                  </w:r>
                </w:p>
              </w:tc>
            </w:tr>
            <w:tr w14:paraId="1F418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37C28506">
                  <w:pPr>
                    <w:spacing w:line="240" w:lineRule="auto"/>
                    <w:ind w:left="0" w:leftChars="0" w:right="0" w:rightChars="0"/>
                    <w:jc w:val="center"/>
                    <w:rPr>
                      <w:rFonts w:hint="eastAsia" w:cs="Times New Roman"/>
                      <w:b/>
                      <w:bCs/>
                      <w:color w:val="auto"/>
                      <w:sz w:val="21"/>
                      <w:szCs w:val="21"/>
                      <w:lang w:eastAsia="zh-CN"/>
                    </w:rPr>
                  </w:pPr>
                  <w:r>
                    <w:rPr>
                      <w:rFonts w:hint="eastAsia" w:cs="Times New Roman"/>
                      <w:b/>
                      <w:bCs/>
                      <w:color w:val="auto"/>
                      <w:sz w:val="21"/>
                      <w:szCs w:val="21"/>
                      <w:lang w:eastAsia="zh-CN"/>
                    </w:rPr>
                    <w:t>合计</w:t>
                  </w: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596" w:type="dxa"/>
                  <w:gridSpan w:val="2"/>
                  <w:vAlign w:val="center"/>
                </w:tcPr>
                <w:p w14:paraId="73657B38">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0.441935</w:t>
                  </w:r>
                </w:p>
              </w:tc>
              <w:tc>
                <w:tcPr>
                  <w:tcW w:w="1596" w:type="dxa"/>
                  <w:gridSpan w:val="2"/>
                  <w:vAlign w:val="center"/>
                </w:tcPr>
                <w:p w14:paraId="45F9202F">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0.328282</w:t>
                  </w:r>
                </w:p>
              </w:tc>
              <w:tc>
                <w:tcPr>
                  <w:tcW w:w="1596" w:type="dxa"/>
                  <w:gridSpan w:val="2"/>
                  <w:vAlign w:val="center"/>
                </w:tcPr>
                <w:p w14:paraId="5C14EF5E">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0.465985</w:t>
                  </w:r>
                </w:p>
              </w:tc>
              <w:tc>
                <w:tcPr>
                  <w:tcW w:w="1596" w:type="dxa"/>
                  <w:vAlign w:val="center"/>
                </w:tcPr>
                <w:p w14:paraId="7F708194">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i w:val="0"/>
                      <w:iCs w:val="0"/>
                      <w:color w:val="auto"/>
                      <w:sz w:val="21"/>
                      <w:szCs w:val="21"/>
                      <w:u w:val="none"/>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0.420198</w:t>
                  </w:r>
                </w:p>
              </w:tc>
            </w:tr>
            <w:tr w14:paraId="594D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14:paraId="1A1F8325">
                  <w:pPr>
                    <w:spacing w:line="240" w:lineRule="auto"/>
                    <w:ind w:left="0" w:leftChars="0" w:right="0" w:rightChars="0"/>
                    <w:jc w:val="center"/>
                    <w:rPr>
                      <w:rFonts w:hint="eastAsia" w:cs="Times New Roman"/>
                      <w:b/>
                      <w:bCs/>
                      <w:color w:val="auto"/>
                      <w:sz w:val="21"/>
                      <w:szCs w:val="21"/>
                      <w:lang w:eastAsia="zh-CN"/>
                    </w:rPr>
                  </w:pPr>
                  <w:r>
                    <w:rPr>
                      <w:rFonts w:hint="default" w:ascii="Times New Roman" w:hAnsi="Times New Roman" w:eastAsia="宋体" w:cs="Times New Roman"/>
                      <w:b/>
                      <w:bCs/>
                      <w:color w:val="auto"/>
                      <w:sz w:val="21"/>
                      <w:szCs w:val="21"/>
                    </w:rPr>
                    <w:t>标</w:t>
                  </w:r>
                  <w:r>
                    <w:rPr>
                      <w:rFonts w:hint="default" w:ascii="Times New Roman" w:hAnsi="Times New Roman" w:eastAsia="宋体" w:cs="Times New Roman"/>
                      <w:b/>
                      <w:bCs/>
                      <w:color w:val="auto"/>
                      <w:sz w:val="21"/>
                      <w:szCs w:val="21"/>
                      <w:lang w:eastAsia="zh-CN"/>
                    </w:rPr>
                    <w:t>准</w:t>
                  </w: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6384" w:type="dxa"/>
                  <w:gridSpan w:val="7"/>
                  <w:vAlign w:val="center"/>
                </w:tcPr>
                <w:p w14:paraId="2FCC6761">
                  <w:pPr>
                    <w:spacing w:line="240" w:lineRule="auto"/>
                    <w:jc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r>
          </w:tbl>
          <w:p w14:paraId="79E84846">
            <w:pPr>
              <w:pStyle w:val="2"/>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rPr>
              <w:t>由上表可知，</w:t>
            </w:r>
            <w:r>
              <w:rPr>
                <w:rFonts w:hint="default" w:ascii="Times New Roman" w:hAnsi="Times New Roman" w:eastAsia="宋体" w:cs="Times New Roman"/>
                <w:color w:val="auto"/>
                <w:sz w:val="24"/>
                <w:szCs w:val="24"/>
                <w:highlight w:val="none"/>
                <w:lang w:eastAsia="zh-CN"/>
              </w:rPr>
              <w:t>本项目封闭式生产车间、封闭式</w:t>
            </w:r>
            <w:r>
              <w:rPr>
                <w:rFonts w:hint="eastAsia" w:cs="Times New Roman"/>
                <w:color w:val="auto"/>
                <w:sz w:val="24"/>
                <w:szCs w:val="24"/>
                <w:highlight w:val="none"/>
                <w:lang w:eastAsia="zh-CN"/>
              </w:rPr>
              <w:t>原料</w:t>
            </w:r>
            <w:r>
              <w:rPr>
                <w:rFonts w:hint="default" w:ascii="Times New Roman" w:hAnsi="Times New Roman" w:eastAsia="宋体" w:cs="Times New Roman"/>
                <w:color w:val="auto"/>
                <w:sz w:val="24"/>
                <w:szCs w:val="24"/>
                <w:highlight w:val="none"/>
                <w:lang w:eastAsia="zh-CN"/>
              </w:rPr>
              <w:t>车间</w:t>
            </w:r>
            <w:r>
              <w:rPr>
                <w:rFonts w:hint="eastAsia" w:cs="Times New Roman"/>
                <w:color w:val="auto"/>
                <w:sz w:val="24"/>
                <w:szCs w:val="24"/>
                <w:highlight w:val="none"/>
                <w:lang w:eastAsia="zh-CN"/>
              </w:rPr>
              <w:t>及封闭式成品车间</w:t>
            </w:r>
            <w:r>
              <w:rPr>
                <w:rFonts w:hint="default" w:ascii="Times New Roman" w:hAnsi="Times New Roman" w:eastAsia="宋体" w:cs="Times New Roman"/>
                <w:color w:val="auto"/>
                <w:sz w:val="24"/>
                <w:szCs w:val="24"/>
                <w:highlight w:val="none"/>
                <w:lang w:eastAsia="zh-CN"/>
              </w:rPr>
              <w:t>内颗粒物到达厂界四周浓度均能满足标准限值</w:t>
            </w:r>
            <w:r>
              <w:rPr>
                <w:rFonts w:hint="default" w:ascii="Times New Roman" w:hAnsi="Times New Roman" w:eastAsia="宋体" w:cs="Times New Roman"/>
                <w:color w:val="auto"/>
                <w:sz w:val="24"/>
                <w:szCs w:val="24"/>
                <w:highlight w:val="none"/>
                <w:vertAlign w:val="baseline"/>
                <w:lang w:val="zh-CN"/>
              </w:rPr>
              <w:t>，</w:t>
            </w:r>
            <w:r>
              <w:rPr>
                <w:rFonts w:hint="default" w:ascii="Times New Roman" w:hAnsi="Times New Roman" w:eastAsia="宋体" w:cs="Times New Roman"/>
                <w:color w:val="auto"/>
                <w:sz w:val="24"/>
                <w:szCs w:val="24"/>
                <w:highlight w:val="none"/>
              </w:rPr>
              <w:t>实现达标排放。</w:t>
            </w:r>
          </w:p>
          <w:p w14:paraId="575CEA35">
            <w:pPr>
              <w:pStyle w:val="2"/>
              <w:keepNext w:val="0"/>
              <w:keepLines w:val="0"/>
              <w:pageBreakBefore w:val="0"/>
              <w:widowControl w:val="0"/>
              <w:numPr>
                <w:ilvl w:val="0"/>
                <w:numId w:val="3"/>
              </w:numPr>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排气筒高度达标分析</w:t>
            </w:r>
          </w:p>
          <w:p w14:paraId="57E1F0FA">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根据《大气污染物综合排放标准》（GB16297-1996）表2中二级标准</w:t>
            </w:r>
            <w:r>
              <w:rPr>
                <w:rFonts w:hint="default" w:ascii="Times New Roman" w:hAnsi="Times New Roman" w:eastAsia="宋体" w:cs="Times New Roman"/>
                <w:color w:val="auto"/>
              </w:rPr>
              <w:t>：颗粒物有组织排放浓度120mg/m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，排放速率</w:t>
            </w:r>
            <w:r>
              <w:rPr>
                <w:rFonts w:hint="eastAsia" w:cs="Times New Roman"/>
                <w:color w:val="auto"/>
                <w:lang w:val="en-US" w:eastAsia="zh-CN"/>
              </w:rPr>
              <w:t>5.9</w:t>
            </w:r>
            <w:r>
              <w:rPr>
                <w:rFonts w:hint="default" w:ascii="Times New Roman" w:hAnsi="Times New Roman" w:eastAsia="宋体" w:cs="Times New Roman"/>
                <w:color w:val="auto"/>
              </w:rPr>
              <w:t>kg/h，排气筒高度</w:t>
            </w:r>
            <w:r>
              <w:rPr>
                <w:rFonts w:hint="eastAsia" w:cs="Times New Roman"/>
                <w:color w:val="auto"/>
                <w:lang w:val="en-US" w:eastAsia="zh-CN"/>
              </w:rPr>
              <w:t>20</w:t>
            </w:r>
            <w:r>
              <w:rPr>
                <w:rFonts w:hint="default" w:ascii="Times New Roman" w:hAnsi="Times New Roman" w:eastAsia="宋体" w:cs="Times New Roman"/>
                <w:color w:val="auto"/>
                <w:lang w:val="en-US" w:eastAsia="zh-CN"/>
              </w:rPr>
              <w:t>m，还应高出周围200m半径范围的建筑物5m。</w:t>
            </w:r>
            <w:r>
              <w:rPr>
                <w:rFonts w:hint="eastAsia" w:cs="Times New Roman"/>
                <w:color w:val="auto"/>
                <w:lang w:val="en-US" w:eastAsia="zh-CN"/>
              </w:rPr>
              <w:t>距离</w:t>
            </w:r>
            <w:r>
              <w:rPr>
                <w:rFonts w:hint="default" w:ascii="Times New Roman" w:hAnsi="Times New Roman" w:eastAsia="宋体" w:cs="Times New Roman"/>
                <w:color w:val="auto"/>
                <w:highlight w:val="none"/>
                <w:lang w:val="en-US" w:eastAsia="zh-CN"/>
              </w:rPr>
              <w:t>本项目</w:t>
            </w:r>
            <w:r>
              <w:rPr>
                <w:rFonts w:hint="eastAsia" w:cs="Times New Roman"/>
                <w:color w:val="auto"/>
                <w:lang w:val="en-US" w:eastAsia="zh-CN"/>
              </w:rPr>
              <w:t>77</w:t>
            </w:r>
            <w:r>
              <w:rPr>
                <w:rFonts w:hint="default" w:ascii="Times New Roman" w:hAnsi="Times New Roman" w:eastAsia="宋体" w:cs="Times New Roman"/>
                <w:color w:val="auto"/>
                <w:lang w:val="en-US" w:eastAsia="zh-CN"/>
              </w:rPr>
              <w:t>m</w:t>
            </w:r>
            <w:r>
              <w:rPr>
                <w:rFonts w:hint="eastAsia" w:cs="Times New Roman"/>
                <w:color w:val="auto"/>
                <w:lang w:val="en-US" w:eastAsia="zh-CN"/>
              </w:rPr>
              <w:t>处</w:t>
            </w:r>
            <w:r>
              <w:rPr>
                <w:rFonts w:hint="eastAsia" w:ascii="Times New Roman" w:hAnsi="Times New Roman" w:eastAsia="宋体" w:cs="Times New Roman"/>
                <w:color w:val="auto"/>
                <w:lang w:val="en-US" w:eastAsia="zh-CN"/>
              </w:rPr>
              <w:t>为兴隆县瑞隆矿业有限公司</w:t>
            </w:r>
            <w:r>
              <w:rPr>
                <w:rFonts w:hint="default" w:ascii="Times New Roman" w:hAnsi="Times New Roman" w:eastAsia="宋体" w:cs="Times New Roman"/>
                <w:color w:val="auto"/>
                <w:highlight w:val="none"/>
                <w:lang w:val="en-US" w:eastAsia="zh-CN"/>
              </w:rPr>
              <w:t>生产车间高</w:t>
            </w:r>
            <w:r>
              <w:rPr>
                <w:rFonts w:hint="eastAsia"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m，排气筒DA001的高度为</w:t>
            </w:r>
            <w:r>
              <w:rPr>
                <w:rFonts w:hint="eastAsia" w:cs="Times New Roman"/>
                <w:color w:val="auto"/>
                <w:highlight w:val="none"/>
                <w:lang w:val="en-US" w:eastAsia="zh-CN"/>
              </w:rPr>
              <w:t>20</w:t>
            </w:r>
            <w:r>
              <w:rPr>
                <w:rFonts w:hint="default" w:ascii="Times New Roman" w:hAnsi="Times New Roman" w:eastAsia="宋体" w:cs="Times New Roman"/>
                <w:color w:val="auto"/>
                <w:highlight w:val="none"/>
                <w:lang w:val="en-US" w:eastAsia="zh-CN"/>
              </w:rPr>
              <w:t>m，高于</w:t>
            </w:r>
            <w:r>
              <w:rPr>
                <w:rFonts w:hint="default" w:ascii="Times New Roman" w:hAnsi="Times New Roman" w:eastAsia="宋体" w:cs="Times New Roman"/>
                <w:color w:val="auto"/>
                <w:lang w:val="en-US" w:eastAsia="zh-CN"/>
              </w:rPr>
              <w:t>周围200m半径范围的建筑物5m</w:t>
            </w:r>
            <w:r>
              <w:rPr>
                <w:rFonts w:hint="default" w:ascii="Times New Roman" w:hAnsi="Times New Roman" w:eastAsia="宋体" w:cs="Times New Roman"/>
                <w:color w:val="auto"/>
                <w:highlight w:val="none"/>
                <w:lang w:val="en-US" w:eastAsia="zh-CN"/>
              </w:rPr>
              <w:t>。因此，本项目排气筒高度设置合理。</w:t>
            </w:r>
          </w:p>
          <w:p w14:paraId="4148546F">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1.6非正常工况废气排放情况</w:t>
            </w:r>
          </w:p>
          <w:p w14:paraId="646BD38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项目生产工艺特征和污染物产生情况，考虑到整套废气治理设施全部失效的可能性不大，本次非正常排放按照废气治理设施失效时，废气不经治理直接排放，直接排放进行核算，由此核算非正常工况状态下污染物排放情况见下表。</w:t>
            </w:r>
          </w:p>
          <w:p w14:paraId="50F58F44">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eastAsia="zh-CN"/>
              </w:rPr>
              <w:t>非正常工况排放参数表</w:t>
            </w:r>
          </w:p>
          <w:tbl>
            <w:tblPr>
              <w:tblStyle w:val="22"/>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842"/>
              <w:gridCol w:w="786"/>
              <w:gridCol w:w="1119"/>
              <w:gridCol w:w="1049"/>
              <w:gridCol w:w="729"/>
              <w:gridCol w:w="661"/>
              <w:gridCol w:w="1820"/>
            </w:tblGrid>
            <w:tr w14:paraId="4457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653" w:type="pct"/>
                  <w:vAlign w:val="center"/>
                </w:tcPr>
                <w:p w14:paraId="11A866F5">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非正常排放源</w:t>
                  </w:r>
                </w:p>
              </w:tc>
              <w:tc>
                <w:tcPr>
                  <w:tcW w:w="522" w:type="pct"/>
                  <w:vAlign w:val="center"/>
                </w:tcPr>
                <w:p w14:paraId="4E808F3C">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非正常排放原因</w:t>
                  </w:r>
                </w:p>
              </w:tc>
              <w:tc>
                <w:tcPr>
                  <w:tcW w:w="487" w:type="pct"/>
                  <w:vAlign w:val="center"/>
                </w:tcPr>
                <w:p w14:paraId="6BAC4C1D">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694" w:type="pct"/>
                  <w:vAlign w:val="center"/>
                </w:tcPr>
                <w:p w14:paraId="46D0BC62">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非正常排放浓度（</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vertAlign w:val="baseline"/>
                      <w:lang w:val="en-US" w:eastAsia="zh-CN"/>
                    </w:rPr>
                    <w:t>）</w:t>
                  </w:r>
                </w:p>
              </w:tc>
              <w:tc>
                <w:tcPr>
                  <w:tcW w:w="650" w:type="pct"/>
                  <w:vAlign w:val="center"/>
                </w:tcPr>
                <w:p w14:paraId="63BA4CAA">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非正常排放速率（kg/h）</w:t>
                  </w:r>
                </w:p>
              </w:tc>
              <w:tc>
                <w:tcPr>
                  <w:tcW w:w="452" w:type="pct"/>
                  <w:vAlign w:val="center"/>
                </w:tcPr>
                <w:p w14:paraId="37852AFC">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单次持续时间/h</w:t>
                  </w:r>
                </w:p>
              </w:tc>
              <w:tc>
                <w:tcPr>
                  <w:tcW w:w="410" w:type="pct"/>
                  <w:vAlign w:val="center"/>
                </w:tcPr>
                <w:p w14:paraId="432B4EC5">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年发生频次</w:t>
                  </w:r>
                </w:p>
              </w:tc>
              <w:tc>
                <w:tcPr>
                  <w:tcW w:w="1129" w:type="pct"/>
                  <w:vAlign w:val="center"/>
                </w:tcPr>
                <w:p w14:paraId="3CB821CC">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对应措施</w:t>
                  </w:r>
                </w:p>
              </w:tc>
            </w:tr>
            <w:tr w14:paraId="6103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Align w:val="center"/>
                </w:tcPr>
                <w:p w14:paraId="605D1607">
                  <w:pPr>
                    <w:pStyle w:val="34"/>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DA001</w:t>
                  </w:r>
                </w:p>
              </w:tc>
              <w:tc>
                <w:tcPr>
                  <w:tcW w:w="522" w:type="pct"/>
                  <w:vAlign w:val="center"/>
                </w:tcPr>
                <w:p w14:paraId="3E483A1F">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除尘系统故障</w:t>
                  </w:r>
                </w:p>
              </w:tc>
              <w:tc>
                <w:tcPr>
                  <w:tcW w:w="487" w:type="pct"/>
                  <w:vMerge w:val="restart"/>
                  <w:vAlign w:val="center"/>
                </w:tcPr>
                <w:p w14:paraId="79510D63">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694" w:type="pct"/>
                  <w:vAlign w:val="center"/>
                </w:tcPr>
                <w:p w14:paraId="7DCB8687">
                  <w:pPr>
                    <w:pStyle w:val="2"/>
                    <w:spacing w:line="240" w:lineRule="auto"/>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bidi="ar-SA"/>
                    </w:rPr>
                    <w:t>56.1</w:t>
                  </w:r>
                </w:p>
              </w:tc>
              <w:tc>
                <w:tcPr>
                  <w:tcW w:w="650" w:type="pct"/>
                  <w:vAlign w:val="center"/>
                </w:tcPr>
                <w:p w14:paraId="390BEBD7">
                  <w:pPr>
                    <w:pStyle w:val="2"/>
                    <w:spacing w:line="240" w:lineRule="auto"/>
                    <w:ind w:left="0" w:leftChars="0" w:right="0" w:right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11.688</w:t>
                  </w:r>
                </w:p>
              </w:tc>
              <w:tc>
                <w:tcPr>
                  <w:tcW w:w="452" w:type="pct"/>
                  <w:vAlign w:val="center"/>
                </w:tcPr>
                <w:p w14:paraId="3C3C404F">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410" w:type="pct"/>
                  <w:vAlign w:val="center"/>
                </w:tcPr>
                <w:p w14:paraId="744C14E7">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29" w:type="pct"/>
                  <w:vMerge w:val="restart"/>
                  <w:vAlign w:val="center"/>
                </w:tcPr>
                <w:p w14:paraId="0025979E">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加强废气处理装置的管理维护，定期检修，确保环保装置正常运行，在环保装置停止运行或出现故障时，相应工序应立即停止生产，待环保设备正常运行后方可恢复生产。</w:t>
                  </w:r>
                </w:p>
              </w:tc>
            </w:tr>
            <w:tr w14:paraId="1139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53" w:type="pct"/>
                  <w:vAlign w:val="center"/>
                </w:tcPr>
                <w:p w14:paraId="49381F5D">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封闭式</w:t>
                  </w:r>
                  <w:r>
                    <w:rPr>
                      <w:rFonts w:hint="eastAsia" w:cs="Times New Roman"/>
                      <w:color w:val="auto"/>
                      <w:sz w:val="21"/>
                      <w:szCs w:val="21"/>
                      <w:vertAlign w:val="baseline"/>
                      <w:lang w:val="en-US" w:eastAsia="zh-CN"/>
                    </w:rPr>
                    <w:t>原料</w:t>
                  </w:r>
                  <w:r>
                    <w:rPr>
                      <w:rFonts w:hint="default" w:ascii="Times New Roman" w:hAnsi="Times New Roman" w:eastAsia="宋体" w:cs="Times New Roman"/>
                      <w:color w:val="auto"/>
                      <w:sz w:val="21"/>
                      <w:szCs w:val="21"/>
                      <w:vertAlign w:val="baseline"/>
                      <w:lang w:val="en-US" w:eastAsia="zh-CN"/>
                    </w:rPr>
                    <w:t>车间</w:t>
                  </w:r>
                </w:p>
              </w:tc>
              <w:tc>
                <w:tcPr>
                  <w:tcW w:w="522" w:type="pct"/>
                  <w:vMerge w:val="restart"/>
                  <w:vAlign w:val="center"/>
                </w:tcPr>
                <w:p w14:paraId="77E6A97A">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喷淋设备故障</w:t>
                  </w:r>
                </w:p>
              </w:tc>
              <w:tc>
                <w:tcPr>
                  <w:tcW w:w="487" w:type="pct"/>
                  <w:vMerge w:val="continue"/>
                  <w:vAlign w:val="center"/>
                </w:tcPr>
                <w:p w14:paraId="4A379547">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94" w:type="pct"/>
                  <w:vAlign w:val="center"/>
                </w:tcPr>
                <w:p w14:paraId="29BCC1B1">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49" w:type="dxa"/>
                  <w:vAlign w:val="center"/>
                </w:tcPr>
                <w:p w14:paraId="7F80F59C">
                  <w:pPr>
                    <w:pStyle w:val="34"/>
                    <w:ind w:left="0" w:leftChars="0" w:right="0" w:rightChars="0" w:firstLine="0" w:firstLineChars="0"/>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highlight w:val="none"/>
                      <w:lang w:val="en-US" w:eastAsia="zh-CN" w:bidi="zh-CN"/>
                    </w:rPr>
                    <w:t>51.573</w:t>
                  </w:r>
                </w:p>
              </w:tc>
              <w:tc>
                <w:tcPr>
                  <w:tcW w:w="452" w:type="pct"/>
                  <w:vMerge w:val="restart"/>
                  <w:vAlign w:val="center"/>
                </w:tcPr>
                <w:p w14:paraId="321BF7B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410" w:type="pct"/>
                  <w:vMerge w:val="restart"/>
                  <w:vAlign w:val="center"/>
                </w:tcPr>
                <w:p w14:paraId="75F52F23">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129" w:type="pct"/>
                  <w:vMerge w:val="continue"/>
                  <w:vAlign w:val="center"/>
                </w:tcPr>
                <w:p w14:paraId="5E000D0A">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7533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53" w:type="pct"/>
                  <w:vAlign w:val="center"/>
                </w:tcPr>
                <w:p w14:paraId="20701AA6">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封闭式成品车间</w:t>
                  </w:r>
                </w:p>
              </w:tc>
              <w:tc>
                <w:tcPr>
                  <w:tcW w:w="522" w:type="pct"/>
                  <w:vMerge w:val="continue"/>
                  <w:vAlign w:val="center"/>
                </w:tcPr>
                <w:p w14:paraId="6EA628C8">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87" w:type="pct"/>
                  <w:vMerge w:val="continue"/>
                  <w:vAlign w:val="center"/>
                </w:tcPr>
                <w:p w14:paraId="2617A685">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94" w:type="pct"/>
                  <w:vAlign w:val="center"/>
                </w:tcPr>
                <w:p w14:paraId="1C2E242F">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49" w:type="dxa"/>
                  <w:vAlign w:val="center"/>
                </w:tcPr>
                <w:p w14:paraId="7F71FA4D">
                  <w:pPr>
                    <w:pStyle w:val="34"/>
                    <w:ind w:left="0" w:leftChars="0" w:right="0" w:rightChars="0" w:firstLine="0" w:firstLineChars="0"/>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highlight w:val="none"/>
                      <w:lang w:val="en-US" w:eastAsia="zh-CN" w:bidi="zh-CN"/>
                    </w:rPr>
                    <w:t>48.406</w:t>
                  </w:r>
                </w:p>
              </w:tc>
              <w:tc>
                <w:tcPr>
                  <w:tcW w:w="452" w:type="pct"/>
                  <w:vMerge w:val="continue"/>
                  <w:vAlign w:val="center"/>
                </w:tcPr>
                <w:p w14:paraId="590FA3DE">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14:paraId="4A0792B2">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29" w:type="pct"/>
                  <w:vMerge w:val="continue"/>
                  <w:vAlign w:val="center"/>
                </w:tcPr>
                <w:p w14:paraId="14C51578">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bl>
          <w:p w14:paraId="18C29A1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因此，建设单位应加强废气处理装置的管理维护，定期检修，确保环保装置正常运行，在环保装置停止运行或出现故障时，相应工序应立即停止生产，待环保设备正常运行后方可恢复生产。</w:t>
            </w:r>
          </w:p>
          <w:p w14:paraId="24FAB8DD">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1.7污染物排放口基本情况</w:t>
            </w:r>
          </w:p>
          <w:p w14:paraId="07B231FC">
            <w:pPr>
              <w:pStyle w:val="2"/>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本项目排放口基本情况见下表。</w:t>
            </w:r>
          </w:p>
          <w:p w14:paraId="1FCF842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eastAsia="zh-CN"/>
              </w:rPr>
              <w:t>本项目有组织排放口基本情况</w:t>
            </w:r>
          </w:p>
          <w:tbl>
            <w:tblPr>
              <w:tblStyle w:val="22"/>
              <w:tblW w:w="48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848"/>
              <w:gridCol w:w="848"/>
              <w:gridCol w:w="688"/>
              <w:gridCol w:w="707"/>
              <w:gridCol w:w="724"/>
              <w:gridCol w:w="882"/>
              <w:gridCol w:w="693"/>
              <w:gridCol w:w="1374"/>
            </w:tblGrid>
            <w:tr w14:paraId="414E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19" w:type="pct"/>
                  <w:vMerge w:val="restart"/>
                  <w:vAlign w:val="center"/>
                </w:tcPr>
                <w:p w14:paraId="615FC665">
                  <w:pPr>
                    <w:pStyle w:val="2"/>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排放源</w:t>
                  </w:r>
                </w:p>
              </w:tc>
              <w:tc>
                <w:tcPr>
                  <w:tcW w:w="1073" w:type="pct"/>
                  <w:gridSpan w:val="2"/>
                  <w:vAlign w:val="center"/>
                </w:tcPr>
                <w:p w14:paraId="7DB63741">
                  <w:pPr>
                    <w:pStyle w:val="2"/>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排气筒底部中心坐标</w:t>
                  </w:r>
                </w:p>
              </w:tc>
              <w:tc>
                <w:tcPr>
                  <w:tcW w:w="435" w:type="pct"/>
                  <w:vMerge w:val="restart"/>
                  <w:vAlign w:val="center"/>
                </w:tcPr>
                <w:p w14:paraId="4CFE6891">
                  <w:pPr>
                    <w:pStyle w:val="2"/>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排气筒高度/m</w:t>
                  </w:r>
                </w:p>
              </w:tc>
              <w:tc>
                <w:tcPr>
                  <w:tcW w:w="447" w:type="pct"/>
                  <w:vMerge w:val="restart"/>
                  <w:vAlign w:val="center"/>
                </w:tcPr>
                <w:p w14:paraId="6E4B9927">
                  <w:pPr>
                    <w:pStyle w:val="2"/>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出口内径/m</w:t>
                  </w:r>
                </w:p>
              </w:tc>
              <w:tc>
                <w:tcPr>
                  <w:tcW w:w="458" w:type="pct"/>
                  <w:vMerge w:val="restart"/>
                  <w:vAlign w:val="center"/>
                </w:tcPr>
                <w:p w14:paraId="68D6DC6C">
                  <w:pPr>
                    <w:pStyle w:val="2"/>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类型</w:t>
                  </w:r>
                </w:p>
              </w:tc>
              <w:tc>
                <w:tcPr>
                  <w:tcW w:w="558" w:type="pct"/>
                  <w:vMerge w:val="restart"/>
                  <w:vAlign w:val="center"/>
                </w:tcPr>
                <w:p w14:paraId="5331F8D5">
                  <w:pPr>
                    <w:pStyle w:val="2"/>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烟气温度/℃</w:t>
                  </w:r>
                </w:p>
              </w:tc>
              <w:tc>
                <w:tcPr>
                  <w:tcW w:w="438" w:type="pct"/>
                  <w:vMerge w:val="restart"/>
                  <w:vAlign w:val="center"/>
                </w:tcPr>
                <w:p w14:paraId="5BDF3D1C">
                  <w:pPr>
                    <w:pStyle w:val="2"/>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排放污染物</w:t>
                  </w:r>
                </w:p>
              </w:tc>
              <w:tc>
                <w:tcPr>
                  <w:tcW w:w="869" w:type="pct"/>
                  <w:vMerge w:val="restart"/>
                  <w:vAlign w:val="center"/>
                </w:tcPr>
                <w:p w14:paraId="3D7C46BB">
                  <w:pPr>
                    <w:pStyle w:val="2"/>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执行标准</w:t>
                  </w:r>
                </w:p>
              </w:tc>
            </w:tr>
            <w:tr w14:paraId="67C9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pct"/>
                  <w:vMerge w:val="continue"/>
                  <w:vAlign w:val="center"/>
                </w:tcPr>
                <w:p w14:paraId="41A597AB">
                  <w:pPr>
                    <w:pStyle w:val="2"/>
                    <w:spacing w:line="240" w:lineRule="auto"/>
                    <w:jc w:val="center"/>
                    <w:rPr>
                      <w:rFonts w:hint="default" w:ascii="Times New Roman" w:hAnsi="Times New Roman" w:eastAsia="宋体" w:cs="Times New Roman"/>
                      <w:color w:val="auto"/>
                      <w:sz w:val="21"/>
                      <w:szCs w:val="21"/>
                      <w:highlight w:val="none"/>
                    </w:rPr>
                  </w:pPr>
                </w:p>
              </w:tc>
              <w:tc>
                <w:tcPr>
                  <w:tcW w:w="536" w:type="pct"/>
                  <w:vAlign w:val="center"/>
                </w:tcPr>
                <w:p w14:paraId="153F6D57">
                  <w:pPr>
                    <w:pStyle w:val="2"/>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东经</w:t>
                  </w:r>
                </w:p>
              </w:tc>
              <w:tc>
                <w:tcPr>
                  <w:tcW w:w="536" w:type="pct"/>
                  <w:vAlign w:val="center"/>
                </w:tcPr>
                <w:p w14:paraId="384357A3">
                  <w:pPr>
                    <w:pStyle w:val="2"/>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北纬</w:t>
                  </w:r>
                </w:p>
              </w:tc>
              <w:tc>
                <w:tcPr>
                  <w:tcW w:w="435" w:type="pct"/>
                  <w:vMerge w:val="continue"/>
                  <w:vAlign w:val="center"/>
                </w:tcPr>
                <w:p w14:paraId="1E69EE58">
                  <w:pPr>
                    <w:pStyle w:val="2"/>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p>
              </w:tc>
              <w:tc>
                <w:tcPr>
                  <w:tcW w:w="447" w:type="pct"/>
                  <w:vMerge w:val="continue"/>
                  <w:vAlign w:val="center"/>
                </w:tcPr>
                <w:p w14:paraId="60FEF75D">
                  <w:pPr>
                    <w:pStyle w:val="2"/>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p>
              </w:tc>
              <w:tc>
                <w:tcPr>
                  <w:tcW w:w="458" w:type="pct"/>
                  <w:vMerge w:val="continue"/>
                  <w:vAlign w:val="center"/>
                </w:tcPr>
                <w:p w14:paraId="79E53B56">
                  <w:pPr>
                    <w:pStyle w:val="2"/>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p>
              </w:tc>
              <w:tc>
                <w:tcPr>
                  <w:tcW w:w="558" w:type="pct"/>
                  <w:vMerge w:val="continue"/>
                  <w:vAlign w:val="center"/>
                </w:tcPr>
                <w:p w14:paraId="345A7EBF">
                  <w:pPr>
                    <w:pStyle w:val="2"/>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p>
              </w:tc>
              <w:tc>
                <w:tcPr>
                  <w:tcW w:w="438" w:type="pct"/>
                  <w:vMerge w:val="continue"/>
                  <w:vAlign w:val="center"/>
                </w:tcPr>
                <w:p w14:paraId="0BFC7E42">
                  <w:pPr>
                    <w:pStyle w:val="2"/>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p>
              </w:tc>
              <w:tc>
                <w:tcPr>
                  <w:tcW w:w="869" w:type="pct"/>
                  <w:vMerge w:val="continue"/>
                  <w:vAlign w:val="center"/>
                </w:tcPr>
                <w:p w14:paraId="1D0153B3">
                  <w:pPr>
                    <w:pStyle w:val="2"/>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p>
              </w:tc>
            </w:tr>
            <w:tr w14:paraId="20F6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19" w:type="pct"/>
                  <w:vAlign w:val="center"/>
                </w:tcPr>
                <w:p w14:paraId="6576345F">
                  <w:pPr>
                    <w:pStyle w:val="2"/>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DA001</w:t>
                  </w:r>
                </w:p>
              </w:tc>
              <w:tc>
                <w:tcPr>
                  <w:tcW w:w="536" w:type="pct"/>
                  <w:vAlign w:val="center"/>
                </w:tcPr>
                <w:p w14:paraId="59D130C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117.3530586</w:t>
                  </w:r>
                </w:p>
              </w:tc>
              <w:tc>
                <w:tcPr>
                  <w:tcW w:w="536" w:type="pct"/>
                  <w:vAlign w:val="center"/>
                </w:tcPr>
                <w:p w14:paraId="1F4A4730">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40.3001865</w:t>
                  </w:r>
                </w:p>
              </w:tc>
              <w:tc>
                <w:tcPr>
                  <w:tcW w:w="435" w:type="pct"/>
                  <w:vAlign w:val="center"/>
                </w:tcPr>
                <w:p w14:paraId="7E148095">
                  <w:pPr>
                    <w:pStyle w:val="2"/>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w:t>
                  </w:r>
                </w:p>
              </w:tc>
              <w:tc>
                <w:tcPr>
                  <w:tcW w:w="447" w:type="pct"/>
                  <w:vAlign w:val="center"/>
                </w:tcPr>
                <w:p w14:paraId="1ED78E87">
                  <w:pPr>
                    <w:pStyle w:val="2"/>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0.3</w:t>
                  </w:r>
                </w:p>
              </w:tc>
              <w:tc>
                <w:tcPr>
                  <w:tcW w:w="458" w:type="pct"/>
                  <w:vAlign w:val="center"/>
                </w:tcPr>
                <w:p w14:paraId="7C1F79BC">
                  <w:pPr>
                    <w:pStyle w:val="2"/>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w:t>
                  </w:r>
                </w:p>
              </w:tc>
              <w:tc>
                <w:tcPr>
                  <w:tcW w:w="558" w:type="pct"/>
                  <w:vAlign w:val="center"/>
                </w:tcPr>
                <w:p w14:paraId="0F080544">
                  <w:pPr>
                    <w:pStyle w:val="2"/>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w:t>
                  </w:r>
                </w:p>
              </w:tc>
              <w:tc>
                <w:tcPr>
                  <w:tcW w:w="438" w:type="pct"/>
                  <w:vAlign w:val="center"/>
                </w:tcPr>
                <w:p w14:paraId="0D72AA70">
                  <w:pPr>
                    <w:pStyle w:val="2"/>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869" w:type="pct"/>
                  <w:vAlign w:val="center"/>
                </w:tcPr>
                <w:p w14:paraId="12E82DB7">
                  <w:pPr>
                    <w:pStyle w:val="2"/>
                    <w:numPr>
                      <w:ilvl w:val="0"/>
                      <w:numId w:val="0"/>
                    </w:num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《大气污染物综合排放标准》（GB16297-1996）表2二级标准</w:t>
                  </w:r>
                </w:p>
              </w:tc>
            </w:tr>
          </w:tbl>
          <w:p w14:paraId="6A1C58D8">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1.8废气监测要求</w:t>
            </w:r>
          </w:p>
          <w:p w14:paraId="0CBFE97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全厂废气监测要求如下。</w:t>
            </w:r>
          </w:p>
          <w:p w14:paraId="0ED48052">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eastAsia="zh-CN"/>
              </w:rPr>
              <w:t>运营期废气监测计划一览表</w:t>
            </w:r>
          </w:p>
          <w:tbl>
            <w:tblPr>
              <w:tblStyle w:val="22"/>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1495"/>
              <w:gridCol w:w="1075"/>
              <w:gridCol w:w="3062"/>
            </w:tblGrid>
            <w:tr w14:paraId="6D9C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493" w:type="pct"/>
                  <w:vAlign w:val="center"/>
                </w:tcPr>
                <w:p w14:paraId="3B0F492C">
                  <w:pPr>
                    <w:pStyle w:val="2"/>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930" w:type="pct"/>
                  <w:vAlign w:val="center"/>
                </w:tcPr>
                <w:p w14:paraId="39CD4EF3">
                  <w:pPr>
                    <w:pStyle w:val="2"/>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669" w:type="pct"/>
                  <w:vAlign w:val="center"/>
                </w:tcPr>
                <w:p w14:paraId="7F36C611">
                  <w:pPr>
                    <w:pStyle w:val="2"/>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监测频次</w:t>
                  </w:r>
                </w:p>
              </w:tc>
              <w:tc>
                <w:tcPr>
                  <w:tcW w:w="1906" w:type="pct"/>
                  <w:vAlign w:val="center"/>
                </w:tcPr>
                <w:p w14:paraId="41F2BCC2">
                  <w:pPr>
                    <w:pStyle w:val="2"/>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执行标准</w:t>
                  </w:r>
                </w:p>
              </w:tc>
            </w:tr>
            <w:tr w14:paraId="1AD2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493" w:type="pct"/>
                  <w:vAlign w:val="center"/>
                </w:tcPr>
                <w:p w14:paraId="7F744E57">
                  <w:pPr>
                    <w:pStyle w:val="2"/>
                    <w:numPr>
                      <w:ilvl w:val="0"/>
                      <w:numId w:val="0"/>
                    </w:num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w:t>
                  </w:r>
                </w:p>
              </w:tc>
              <w:tc>
                <w:tcPr>
                  <w:tcW w:w="930" w:type="pct"/>
                  <w:vAlign w:val="center"/>
                </w:tcPr>
                <w:p w14:paraId="46A0CCAC">
                  <w:pPr>
                    <w:pStyle w:val="2"/>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669" w:type="pct"/>
                  <w:vAlign w:val="center"/>
                </w:tcPr>
                <w:p w14:paraId="185658C5">
                  <w:pPr>
                    <w:pStyle w:val="2"/>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1次/年</w:t>
                  </w:r>
                </w:p>
              </w:tc>
              <w:tc>
                <w:tcPr>
                  <w:tcW w:w="1906" w:type="pct"/>
                  <w:vMerge w:val="restart"/>
                  <w:vAlign w:val="center"/>
                </w:tcPr>
                <w:p w14:paraId="3A2A23A1">
                  <w:pPr>
                    <w:pStyle w:val="2"/>
                    <w:spacing w:line="240" w:lineRule="auto"/>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《大气污染物综合排放标准》（GB16297-1996）</w:t>
                  </w:r>
                </w:p>
              </w:tc>
            </w:tr>
            <w:tr w14:paraId="77D8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493" w:type="pct"/>
                  <w:vAlign w:val="center"/>
                </w:tcPr>
                <w:p w14:paraId="1B112808">
                  <w:pPr>
                    <w:pStyle w:val="2"/>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厂界四周</w:t>
                  </w:r>
                  <w:r>
                    <w:rPr>
                      <w:rFonts w:hint="default" w:ascii="Times New Roman" w:hAnsi="Times New Roman" w:eastAsia="宋体" w:cs="Times New Roman"/>
                      <w:b w:val="0"/>
                      <w:bCs w:val="0"/>
                      <w:color w:val="auto"/>
                      <w:sz w:val="21"/>
                      <w:szCs w:val="21"/>
                      <w:vertAlign w:val="baseline"/>
                      <w:lang w:val="en-US" w:eastAsia="zh-CN"/>
                    </w:rPr>
                    <w:t>外1m</w:t>
                  </w:r>
                </w:p>
              </w:tc>
              <w:tc>
                <w:tcPr>
                  <w:tcW w:w="930" w:type="pct"/>
                  <w:vAlign w:val="center"/>
                </w:tcPr>
                <w:p w14:paraId="4CFF8D1F">
                  <w:pPr>
                    <w:pStyle w:val="2"/>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669" w:type="pct"/>
                  <w:vAlign w:val="center"/>
                </w:tcPr>
                <w:p w14:paraId="46808477">
                  <w:pPr>
                    <w:pStyle w:val="2"/>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1次/年</w:t>
                  </w:r>
                </w:p>
              </w:tc>
              <w:tc>
                <w:tcPr>
                  <w:tcW w:w="1906" w:type="pct"/>
                  <w:vMerge w:val="continue"/>
                  <w:vAlign w:val="center"/>
                </w:tcPr>
                <w:p w14:paraId="2DAC9134">
                  <w:pPr>
                    <w:pStyle w:val="2"/>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r>
          </w:tbl>
          <w:p w14:paraId="68CC4A3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2、废水</w:t>
            </w:r>
          </w:p>
          <w:p w14:paraId="4DAA8BF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2"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lang w:val="en-US" w:eastAsia="zh-CN"/>
              </w:rPr>
              <w:t>2.1废水排放源强</w:t>
            </w:r>
            <w:r>
              <w:rPr>
                <w:rFonts w:hint="default" w:ascii="Times New Roman" w:hAnsi="Times New Roman" w:eastAsia="宋体" w:cs="Times New Roman"/>
                <w:color w:val="auto"/>
                <w:sz w:val="24"/>
                <w:szCs w:val="24"/>
                <w:lang w:val="en-US" w:eastAsia="zh-CN"/>
              </w:rPr>
              <w:tab/>
            </w:r>
          </w:p>
          <w:p w14:paraId="52EA298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4"/>
                <w:sz w:val="24"/>
                <w:szCs w:val="24"/>
                <w:lang w:val="en-US" w:eastAsia="zh-CN"/>
              </w:rPr>
            </w:pPr>
            <w:r>
              <w:rPr>
                <w:rFonts w:hint="default" w:ascii="Times New Roman" w:hAnsi="Times New Roman" w:eastAsia="宋体" w:cs="Times New Roman"/>
                <w:color w:val="auto"/>
                <w:sz w:val="24"/>
                <w:szCs w:val="24"/>
                <w:highlight w:val="none"/>
                <w:lang w:val="en-US"/>
              </w:rPr>
              <w:t>本项目用水全部由</w:t>
            </w:r>
            <w:r>
              <w:rPr>
                <w:rFonts w:hint="default" w:ascii="Times New Roman" w:hAnsi="Times New Roman" w:eastAsia="宋体" w:cs="Times New Roman"/>
                <w:color w:val="auto"/>
                <w:sz w:val="24"/>
                <w:szCs w:val="24"/>
                <w:highlight w:val="none"/>
                <w:lang w:val="en-US" w:eastAsia="zh-CN"/>
              </w:rPr>
              <w:t>自备水井</w:t>
            </w:r>
            <w:r>
              <w:rPr>
                <w:rFonts w:hint="default" w:ascii="Times New Roman" w:hAnsi="Times New Roman" w:eastAsia="宋体" w:cs="Times New Roman"/>
                <w:color w:val="auto"/>
                <w:sz w:val="24"/>
                <w:szCs w:val="24"/>
                <w:highlight w:val="none"/>
                <w:lang w:val="en-US"/>
              </w:rPr>
              <w:t>提供。</w:t>
            </w:r>
            <w:r>
              <w:rPr>
                <w:rFonts w:hint="default" w:ascii="Times New Roman" w:hAnsi="Times New Roman" w:eastAsia="宋体" w:cs="Times New Roman"/>
                <w:color w:val="auto"/>
                <w:szCs w:val="22"/>
                <w:lang w:val="en-US" w:eastAsia="zh-CN"/>
              </w:rPr>
              <w:t>本项目用水为生产用水及生活用水</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4"/>
                <w:highlight w:val="none"/>
              </w:rPr>
              <w:t>项目</w:t>
            </w:r>
            <w:r>
              <w:rPr>
                <w:rFonts w:hint="default" w:ascii="Times New Roman" w:hAnsi="Times New Roman" w:eastAsia="宋体" w:cs="Times New Roman"/>
                <w:color w:val="auto"/>
                <w:szCs w:val="22"/>
                <w:lang w:val="en-US" w:eastAsia="zh-CN"/>
              </w:rPr>
              <w:t>生产</w:t>
            </w:r>
            <w:r>
              <w:rPr>
                <w:rFonts w:hint="default" w:ascii="Times New Roman" w:hAnsi="Times New Roman" w:eastAsia="宋体" w:cs="Times New Roman"/>
                <w:color w:val="auto"/>
                <w:kern w:val="24"/>
                <w:highlight w:val="none"/>
              </w:rPr>
              <w:t>用水主要</w:t>
            </w:r>
            <w:r>
              <w:rPr>
                <w:rFonts w:hint="eastAsia" w:cs="Times New Roman"/>
                <w:color w:val="auto"/>
                <w:kern w:val="24"/>
                <w:highlight w:val="none"/>
                <w:lang w:eastAsia="zh-CN"/>
              </w:rPr>
              <w:t>为</w:t>
            </w:r>
            <w:r>
              <w:rPr>
                <w:rFonts w:hint="default" w:ascii="Times New Roman" w:hAnsi="Times New Roman" w:eastAsia="宋体" w:cs="Times New Roman"/>
                <w:color w:val="auto"/>
                <w:kern w:val="24"/>
                <w:szCs w:val="28"/>
                <w:highlight w:val="none"/>
              </w:rPr>
              <w:t>上料仓喷淋</w:t>
            </w:r>
            <w:r>
              <w:rPr>
                <w:rFonts w:hint="default" w:ascii="Times New Roman" w:hAnsi="Times New Roman" w:eastAsia="宋体" w:cs="Times New Roman"/>
                <w:color w:val="auto"/>
                <w:kern w:val="24"/>
                <w:highlight w:val="none"/>
              </w:rPr>
              <w:t>、</w:t>
            </w:r>
            <w:r>
              <w:rPr>
                <w:rFonts w:hint="eastAsia" w:cs="Times New Roman"/>
                <w:color w:val="auto"/>
                <w:kern w:val="24"/>
                <w:highlight w:val="none"/>
                <w:lang w:eastAsia="zh-CN"/>
              </w:rPr>
              <w:t>车间及厂区内抑尘、球磨及</w:t>
            </w:r>
            <w:r>
              <w:rPr>
                <w:rFonts w:hint="default" w:ascii="Times New Roman" w:hAnsi="Times New Roman" w:eastAsia="宋体" w:cs="Times New Roman"/>
                <w:color w:val="auto"/>
                <w:kern w:val="24"/>
                <w:highlight w:val="none"/>
                <w:lang w:eastAsia="zh-CN"/>
              </w:rPr>
              <w:t>车辆清洗</w:t>
            </w:r>
            <w:r>
              <w:rPr>
                <w:rFonts w:hint="default" w:ascii="Times New Roman" w:hAnsi="Times New Roman" w:eastAsia="宋体" w:cs="Times New Roman"/>
                <w:color w:val="auto"/>
                <w:kern w:val="24"/>
                <w:highlight w:val="none"/>
              </w:rPr>
              <w:t>等</w:t>
            </w:r>
            <w:r>
              <w:rPr>
                <w:rFonts w:hint="eastAsia" w:cs="Times New Roman"/>
                <w:color w:val="auto"/>
                <w:kern w:val="24"/>
                <w:highlight w:val="none"/>
                <w:lang w:eastAsia="zh-CN"/>
              </w:rPr>
              <w:t>，</w:t>
            </w:r>
            <w:r>
              <w:rPr>
                <w:rFonts w:hint="default" w:ascii="Times New Roman" w:hAnsi="Times New Roman" w:eastAsia="宋体" w:cs="Times New Roman"/>
                <w:color w:val="auto"/>
                <w:szCs w:val="22"/>
                <w:highlight w:val="none"/>
                <w:lang w:val="en-US" w:eastAsia="zh-CN"/>
              </w:rPr>
              <w:t>项目总用水量为</w:t>
            </w:r>
            <w:r>
              <w:rPr>
                <w:rFonts w:hint="eastAsia" w:cs="Times New Roman"/>
                <w:color w:val="auto"/>
                <w:highlight w:val="none"/>
                <w:lang w:val="en-US" w:eastAsia="zh-CN"/>
              </w:rPr>
              <w:t>305.26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d</w:t>
            </w:r>
            <w:r>
              <w:rPr>
                <w:rFonts w:hint="default" w:ascii="Times New Roman" w:hAnsi="Times New Roman" w:eastAsia="宋体" w:cs="Times New Roman"/>
                <w:color w:val="auto"/>
                <w:highlight w:val="none"/>
                <w:lang w:val="en-US" w:eastAsia="zh-CN"/>
              </w:rPr>
              <w:t>（</w:t>
            </w:r>
            <w:r>
              <w:rPr>
                <w:rFonts w:hint="eastAsia" w:cs="Times New Roman"/>
                <w:color w:val="auto"/>
                <w:kern w:val="0"/>
                <w:sz w:val="24"/>
                <w:szCs w:val="24"/>
                <w:lang w:val="en-US" w:eastAsia="zh-CN" w:bidi="ar"/>
              </w:rPr>
              <w:t>91578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），其中新水量为</w:t>
            </w:r>
            <w:r>
              <w:rPr>
                <w:rFonts w:hint="eastAsia" w:cs="Times New Roman"/>
                <w:color w:val="auto"/>
                <w:highlight w:val="none"/>
                <w:lang w:val="en-US" w:eastAsia="zh-CN"/>
              </w:rPr>
              <w:t>31.808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eastAsia" w:cs="Times New Roman"/>
                <w:color w:val="auto"/>
                <w:highlight w:val="none"/>
                <w:lang w:val="en-US" w:eastAsia="zh-CN"/>
              </w:rPr>
              <w:t>d</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9542.4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lang w:eastAsia="zh-CN"/>
              </w:rPr>
              <w:t>），循环水量为</w:t>
            </w:r>
            <w:r>
              <w:rPr>
                <w:rFonts w:hint="eastAsia" w:cs="Times New Roman"/>
                <w:color w:val="auto"/>
                <w:highlight w:val="none"/>
                <w:lang w:val="en-US" w:eastAsia="zh-CN"/>
              </w:rPr>
              <w:t>276.002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d</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82800.6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sz w:val="24"/>
                <w:szCs w:val="24"/>
                <w:highlight w:val="none"/>
                <w:lang w:eastAsia="zh-CN"/>
              </w:rPr>
              <w:t>。</w:t>
            </w:r>
          </w:p>
          <w:p w14:paraId="321157D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default" w:ascii="Times New Roman" w:hAnsi="Times New Roman" w:eastAsia="宋体" w:cs="Times New Roman"/>
                <w:color w:val="auto"/>
                <w:kern w:val="24"/>
                <w:sz w:val="24"/>
                <w:szCs w:val="24"/>
                <w:highlight w:val="none"/>
                <w:lang w:eastAsia="zh-CN"/>
              </w:rPr>
            </w:pPr>
            <w:r>
              <w:rPr>
                <w:rFonts w:hint="default" w:ascii="Times New Roman" w:hAnsi="Times New Roman" w:eastAsia="宋体" w:cs="Times New Roman"/>
                <w:color w:val="auto"/>
                <w:kern w:val="24"/>
                <w:sz w:val="24"/>
                <w:szCs w:val="24"/>
                <w:highlight w:val="none"/>
                <w:lang w:eastAsia="zh-CN"/>
              </w:rPr>
              <w:t>上料仓喷淋用水，全部进入物料；厂区及车间内抑尘用水，全部蒸发。</w:t>
            </w:r>
          </w:p>
          <w:p w14:paraId="797D442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kern w:val="24"/>
                <w:highlight w:val="none"/>
                <w:lang w:eastAsia="zh-CN"/>
              </w:rPr>
              <w:t>钢渣除杂</w:t>
            </w:r>
            <w:r>
              <w:rPr>
                <w:rFonts w:hint="default" w:ascii="Times New Roman" w:hAnsi="Times New Roman" w:eastAsia="宋体" w:cs="Times New Roman"/>
                <w:color w:val="auto"/>
                <w:kern w:val="24"/>
                <w:highlight w:val="none"/>
                <w:lang w:eastAsia="zh-CN"/>
              </w:rPr>
              <w:t>废</w:t>
            </w:r>
            <w:r>
              <w:rPr>
                <w:rFonts w:hint="default" w:ascii="Times New Roman" w:hAnsi="Times New Roman" w:eastAsia="宋体" w:cs="Times New Roman"/>
                <w:color w:val="auto"/>
                <w:kern w:val="24"/>
                <w:highlight w:val="none"/>
              </w:rPr>
              <w:t>水</w:t>
            </w:r>
            <w:r>
              <w:rPr>
                <w:rFonts w:hint="eastAsia" w:cs="Times New Roman"/>
                <w:color w:val="auto"/>
                <w:kern w:val="24"/>
                <w:highlight w:val="none"/>
                <w:lang w:eastAsia="zh-CN"/>
              </w:rPr>
              <w:t>排放量</w:t>
            </w:r>
            <w:r>
              <w:rPr>
                <w:rFonts w:hint="default" w:ascii="Times New Roman" w:hAnsi="Times New Roman" w:eastAsia="宋体" w:cs="Times New Roman"/>
                <w:color w:val="auto"/>
                <w:highlight w:val="none"/>
                <w:lang w:eastAsia="zh-CN"/>
              </w:rPr>
              <w:t>按用水量</w:t>
            </w:r>
            <w:r>
              <w:rPr>
                <w:rFonts w:hint="eastAsia" w:cs="Times New Roman"/>
                <w:color w:val="auto"/>
                <w:highlight w:val="none"/>
                <w:lang w:val="en-US" w:eastAsia="zh-CN"/>
              </w:rPr>
              <w:t>95</w:t>
            </w:r>
            <w:r>
              <w:rPr>
                <w:rFonts w:hint="default" w:ascii="Times New Roman" w:hAnsi="Times New Roman" w:eastAsia="宋体" w:cs="Times New Roman"/>
                <w:color w:val="auto"/>
                <w:kern w:val="24"/>
                <w:highlight w:val="none"/>
                <w:lang w:val="en-US" w:eastAsia="zh-CN"/>
              </w:rPr>
              <w:t>%，</w:t>
            </w:r>
            <w:r>
              <w:rPr>
                <w:rFonts w:hint="eastAsia"/>
                <w:color w:val="auto"/>
              </w:rPr>
              <w:t>球磨后物料进入</w:t>
            </w:r>
            <w:r>
              <w:rPr>
                <w:rFonts w:hint="default" w:ascii="Times New Roman" w:hAnsi="Times New Roman" w:eastAsia="宋体" w:cs="Times New Roman"/>
                <w:color w:val="auto"/>
                <w:sz w:val="24"/>
                <w:highlight w:val="none"/>
              </w:rPr>
              <w:t>盘式过滤机过滤</w:t>
            </w:r>
            <w:r>
              <w:rPr>
                <w:rFonts w:hint="eastAsia"/>
                <w:color w:val="auto"/>
              </w:rPr>
              <w:t>，循环水通过水泵泵入球磨机，废钢渣含水率</w:t>
            </w:r>
            <w:r>
              <w:rPr>
                <w:rFonts w:hint="eastAsia"/>
                <w:color w:val="auto"/>
                <w:lang w:val="en-US" w:eastAsia="zh-CN"/>
              </w:rPr>
              <w:t>1.7</w:t>
            </w:r>
            <w:r>
              <w:rPr>
                <w:rFonts w:hint="eastAsia"/>
                <w:color w:val="auto"/>
              </w:rPr>
              <w:t>%，原料带入水量</w:t>
            </w:r>
            <w:r>
              <w:rPr>
                <w:rFonts w:hint="eastAsia"/>
                <w:color w:val="auto"/>
                <w:lang w:val="en-US" w:eastAsia="zh-CN"/>
              </w:rPr>
              <w:t>2.55</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rFonts w:hint="eastAsia"/>
                <w:color w:val="auto"/>
              </w:rPr>
              <w:t>（</w:t>
            </w:r>
            <w:r>
              <w:rPr>
                <w:rFonts w:hint="eastAsia"/>
                <w:color w:val="auto"/>
                <w:lang w:val="en-US" w:eastAsia="zh-CN"/>
              </w:rPr>
              <w:t>765</w:t>
            </w:r>
            <w:r>
              <w:rPr>
                <w:rFonts w:hint="default"/>
                <w:color w:val="auto"/>
              </w:rPr>
              <w:t>m</w:t>
            </w:r>
            <w:r>
              <w:rPr>
                <w:rFonts w:hint="default"/>
                <w:color w:val="auto"/>
                <w:vertAlign w:val="superscript"/>
              </w:rPr>
              <w:t>3</w:t>
            </w:r>
            <w:r>
              <w:rPr>
                <w:rFonts w:hint="default"/>
                <w:color w:val="auto"/>
              </w:rPr>
              <w:t>/a</w:t>
            </w:r>
            <w:r>
              <w:rPr>
                <w:rFonts w:hint="eastAsia"/>
                <w:color w:val="auto"/>
              </w:rPr>
              <w:t>），</w:t>
            </w:r>
            <w:r>
              <w:rPr>
                <w:rFonts w:hint="eastAsia"/>
                <w:color w:val="auto"/>
                <w:lang w:eastAsia="zh-CN"/>
              </w:rPr>
              <w:t>球磨</w:t>
            </w:r>
            <w:r>
              <w:rPr>
                <w:rFonts w:hint="eastAsia"/>
                <w:color w:val="auto"/>
              </w:rPr>
              <w:t>过程蒸发损耗</w:t>
            </w:r>
            <w:r>
              <w:rPr>
                <w:rFonts w:hint="eastAsia"/>
                <w:color w:val="auto"/>
                <w:lang w:val="en-US" w:eastAsia="zh-CN"/>
              </w:rPr>
              <w:t>15</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color w:val="auto"/>
              </w:rPr>
              <w:t>（</w:t>
            </w:r>
            <w:r>
              <w:rPr>
                <w:rFonts w:hint="eastAsia"/>
                <w:color w:val="auto"/>
                <w:lang w:val="en-US" w:eastAsia="zh-CN"/>
              </w:rPr>
              <w:t>4500</w:t>
            </w:r>
            <w:r>
              <w:rPr>
                <w:rFonts w:hint="default"/>
                <w:color w:val="auto"/>
              </w:rPr>
              <w:t>m</w:t>
            </w:r>
            <w:r>
              <w:rPr>
                <w:rFonts w:hint="default"/>
                <w:color w:val="auto"/>
                <w:vertAlign w:val="superscript"/>
              </w:rPr>
              <w:t>3</w:t>
            </w:r>
            <w:r>
              <w:rPr>
                <w:rFonts w:hint="default"/>
                <w:color w:val="auto"/>
              </w:rPr>
              <w:t>/a</w:t>
            </w:r>
            <w:r>
              <w:rPr>
                <w:rFonts w:hint="eastAsia"/>
                <w:color w:val="auto"/>
                <w:lang w:eastAsia="zh-CN"/>
              </w:rPr>
              <w:t>）</w:t>
            </w:r>
            <w:r>
              <w:rPr>
                <w:rFonts w:hint="eastAsia"/>
                <w:color w:val="auto"/>
              </w:rPr>
              <w:t>，产品带走水量</w:t>
            </w:r>
            <w:r>
              <w:rPr>
                <w:rFonts w:hint="eastAsia"/>
                <w:color w:val="auto"/>
                <w:lang w:eastAsia="zh-CN"/>
              </w:rPr>
              <w:t>（</w:t>
            </w:r>
            <w:r>
              <w:rPr>
                <w:rFonts w:hint="eastAsia"/>
                <w:color w:val="auto"/>
              </w:rPr>
              <w:t>含水率</w:t>
            </w:r>
            <w:r>
              <w:rPr>
                <w:rFonts w:hint="eastAsia"/>
                <w:color w:val="auto"/>
                <w:lang w:val="en-US" w:eastAsia="zh-CN"/>
              </w:rPr>
              <w:t>8</w:t>
            </w:r>
            <w:r>
              <w:rPr>
                <w:rFonts w:hint="eastAsia"/>
                <w:color w:val="auto"/>
              </w:rPr>
              <w:t>%</w:t>
            </w:r>
            <w:r>
              <w:rPr>
                <w:rFonts w:hint="eastAsia"/>
                <w:color w:val="auto"/>
                <w:lang w:eastAsia="zh-CN"/>
              </w:rPr>
              <w:t>计）约为</w:t>
            </w:r>
            <w:r>
              <w:rPr>
                <w:rFonts w:hint="eastAsia"/>
                <w:color w:val="auto"/>
                <w:lang w:val="en-US" w:eastAsia="zh-CN"/>
              </w:rPr>
              <w:t>11.94</w:t>
            </w:r>
            <w:r>
              <w:rPr>
                <w:rFonts w:hint="default"/>
                <w:color w:val="auto"/>
              </w:rPr>
              <w:t>m</w:t>
            </w:r>
            <w:r>
              <w:rPr>
                <w:rFonts w:hint="default"/>
                <w:color w:val="auto"/>
                <w:vertAlign w:val="superscript"/>
              </w:rPr>
              <w:t>3</w:t>
            </w:r>
            <w:r>
              <w:rPr>
                <w:rFonts w:hint="default"/>
                <w:color w:val="auto"/>
              </w:rPr>
              <w:t>/</w:t>
            </w:r>
            <w:r>
              <w:rPr>
                <w:rFonts w:hint="eastAsia"/>
                <w:color w:val="auto"/>
                <w:lang w:val="en-US" w:eastAsia="zh-CN"/>
              </w:rPr>
              <w:t>d</w:t>
            </w:r>
            <w:r>
              <w:rPr>
                <w:rFonts w:hint="eastAsia"/>
                <w:color w:val="auto"/>
              </w:rPr>
              <w:t>（</w:t>
            </w:r>
            <w:r>
              <w:rPr>
                <w:rFonts w:hint="eastAsia"/>
                <w:color w:val="auto"/>
                <w:lang w:val="en-US" w:eastAsia="zh-CN"/>
              </w:rPr>
              <w:t>3582</w:t>
            </w:r>
            <w:r>
              <w:rPr>
                <w:rFonts w:hint="default"/>
                <w:color w:val="auto"/>
              </w:rPr>
              <w:t>m</w:t>
            </w:r>
            <w:r>
              <w:rPr>
                <w:rFonts w:hint="default"/>
                <w:color w:val="auto"/>
                <w:vertAlign w:val="superscript"/>
              </w:rPr>
              <w:t>3</w:t>
            </w:r>
            <w:r>
              <w:rPr>
                <w:rFonts w:hint="default"/>
                <w:color w:val="auto"/>
              </w:rPr>
              <w:t>/a</w:t>
            </w:r>
            <w:r>
              <w:rPr>
                <w:rFonts w:hint="eastAsia"/>
                <w:color w:val="auto"/>
              </w:rPr>
              <w:t>），</w:t>
            </w:r>
            <w:r>
              <w:rPr>
                <w:color w:val="auto"/>
              </w:rPr>
              <w:t>循环水</w:t>
            </w:r>
            <w:r>
              <w:rPr>
                <w:rFonts w:hint="eastAsia"/>
                <w:color w:val="auto"/>
              </w:rPr>
              <w:t>为</w:t>
            </w:r>
            <w:r>
              <w:rPr>
                <w:rFonts w:hint="eastAsia"/>
                <w:color w:val="auto"/>
                <w:lang w:val="en-US" w:eastAsia="zh-CN"/>
              </w:rPr>
              <w:t>275.61</w:t>
            </w:r>
            <w:r>
              <w:rPr>
                <w:rFonts w:hint="default"/>
                <w:color w:val="auto"/>
              </w:rPr>
              <w:t>m</w:t>
            </w:r>
            <w:r>
              <w:rPr>
                <w:rFonts w:hint="default"/>
                <w:color w:val="auto"/>
                <w:vertAlign w:val="superscript"/>
              </w:rPr>
              <w:t>3</w:t>
            </w:r>
            <w:r>
              <w:rPr>
                <w:color w:val="auto"/>
              </w:rPr>
              <w:t>/</w:t>
            </w:r>
            <w:r>
              <w:rPr>
                <w:rFonts w:hint="eastAsia"/>
                <w:color w:val="auto"/>
                <w:lang w:val="en-US" w:eastAsia="zh-CN"/>
              </w:rPr>
              <w:t>d</w:t>
            </w:r>
            <w:r>
              <w:rPr>
                <w:color w:val="auto"/>
              </w:rPr>
              <w:t>（</w:t>
            </w:r>
            <w:r>
              <w:rPr>
                <w:rFonts w:hint="eastAsia"/>
                <w:color w:val="auto"/>
                <w:lang w:val="en-US" w:eastAsia="zh-CN"/>
              </w:rPr>
              <w:t>82683</w:t>
            </w:r>
            <w:r>
              <w:rPr>
                <w:rFonts w:hint="default"/>
                <w:color w:val="auto"/>
              </w:rPr>
              <w:t>m</w:t>
            </w:r>
            <w:r>
              <w:rPr>
                <w:rFonts w:hint="default"/>
                <w:color w:val="auto"/>
                <w:vertAlign w:val="superscript"/>
              </w:rPr>
              <w:t>3</w:t>
            </w:r>
            <w:r>
              <w:rPr>
                <w:color w:val="auto"/>
              </w:rPr>
              <w:t>/a）</w:t>
            </w:r>
            <w:r>
              <w:rPr>
                <w:rFonts w:hint="eastAsia"/>
                <w:color w:val="auto"/>
                <w:lang w:eastAsia="zh-CN"/>
              </w:rPr>
              <w:t>；</w:t>
            </w:r>
            <w:r>
              <w:rPr>
                <w:color w:val="auto"/>
              </w:rPr>
              <w:t>经</w:t>
            </w:r>
            <w:r>
              <w:rPr>
                <w:rFonts w:hint="eastAsia"/>
                <w:color w:val="auto"/>
                <w:lang w:eastAsia="zh-CN"/>
              </w:rPr>
              <w:t>沉淀池</w:t>
            </w:r>
            <w:r>
              <w:rPr>
                <w:color w:val="auto"/>
              </w:rPr>
              <w:t>后回用于生产，无废水外排</w:t>
            </w:r>
            <w:r>
              <w:rPr>
                <w:rFonts w:hint="eastAsia"/>
                <w:color w:val="auto"/>
                <w:highlight w:val="none"/>
                <w:lang w:eastAsia="zh-CN"/>
              </w:rPr>
              <w:t>；</w:t>
            </w:r>
            <w:r>
              <w:rPr>
                <w:rFonts w:hint="eastAsia" w:ascii="Times New Roman" w:hAnsi="Times New Roman" w:cs="Times New Roman"/>
                <w:color w:val="auto"/>
                <w:kern w:val="24"/>
                <w:sz w:val="24"/>
                <w:szCs w:val="24"/>
                <w:highlight w:val="none"/>
                <w:lang w:eastAsia="zh-CN"/>
              </w:rPr>
              <w:t>车辆清洗废水</w:t>
            </w:r>
            <w:r>
              <w:rPr>
                <w:rFonts w:hint="eastAsia" w:cs="Times New Roman"/>
                <w:color w:val="auto"/>
                <w:sz w:val="24"/>
                <w:szCs w:val="24"/>
                <w:lang w:val="en-US" w:eastAsia="zh-CN"/>
              </w:rPr>
              <w:t>0.392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color w:val="auto"/>
                <w:lang w:val="en-US" w:eastAsia="zh-CN"/>
              </w:rPr>
              <w:t>d</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117.6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cs="Times New Roman"/>
                <w:color w:val="auto"/>
                <w:sz w:val="24"/>
                <w:szCs w:val="24"/>
                <w:lang w:eastAsia="zh-CN"/>
              </w:rPr>
              <w:t>，</w:t>
            </w:r>
            <w:r>
              <w:rPr>
                <w:color w:val="auto"/>
                <w:kern w:val="24"/>
                <w:highlight w:val="none"/>
              </w:rPr>
              <w:t>主要污染因子为SS，</w:t>
            </w:r>
            <w:r>
              <w:rPr>
                <w:rFonts w:hint="eastAsia"/>
                <w:color w:val="auto"/>
                <w:highlight w:val="none"/>
                <w:lang w:eastAsia="zh-CN"/>
              </w:rPr>
              <w:t>排入</w:t>
            </w:r>
            <w:r>
              <w:rPr>
                <w:rFonts w:hint="eastAsia"/>
                <w:color w:val="auto"/>
                <w:highlight w:val="none"/>
                <w:lang w:val="en-US" w:eastAsia="zh-CN"/>
              </w:rPr>
              <w:t>配套</w:t>
            </w:r>
            <w:r>
              <w:rPr>
                <w:rFonts w:hint="eastAsia"/>
                <w:color w:val="auto"/>
                <w:highlight w:val="none"/>
                <w:lang w:eastAsia="zh-CN"/>
              </w:rPr>
              <w:t>沉淀池，沉淀后回用于车辆清洗</w:t>
            </w:r>
            <w:r>
              <w:rPr>
                <w:rFonts w:hint="default" w:ascii="Times New Roman" w:hAnsi="Times New Roman" w:eastAsia="宋体" w:cs="Times New Roman"/>
                <w:color w:val="auto"/>
                <w:kern w:val="24"/>
                <w:sz w:val="24"/>
                <w:szCs w:val="24"/>
                <w:highlight w:val="none"/>
              </w:rPr>
              <w:t>，无废水</w:t>
            </w:r>
            <w:r>
              <w:rPr>
                <w:rFonts w:hint="eastAsia" w:cs="Times New Roman"/>
                <w:color w:val="auto"/>
                <w:kern w:val="24"/>
                <w:sz w:val="24"/>
                <w:szCs w:val="24"/>
                <w:highlight w:val="none"/>
                <w:lang w:eastAsia="zh-CN"/>
              </w:rPr>
              <w:t>外排</w:t>
            </w:r>
            <w:r>
              <w:rPr>
                <w:rFonts w:hint="eastAsia"/>
                <w:color w:val="auto"/>
                <w:highlight w:val="none"/>
                <w:lang w:eastAsia="zh-CN"/>
              </w:rPr>
              <w:t>；</w:t>
            </w:r>
            <w:r>
              <w:rPr>
                <w:rFonts w:hint="eastAsia" w:ascii="Times New Roman" w:hAnsi="Times New Roman" w:cs="Times New Roman"/>
                <w:color w:val="auto"/>
                <w:kern w:val="24"/>
                <w:sz w:val="24"/>
                <w:szCs w:val="24"/>
                <w:highlight w:val="none"/>
                <w:lang w:eastAsia="zh-CN"/>
              </w:rPr>
              <w:t>车辆清洗废水</w:t>
            </w:r>
            <w:r>
              <w:rPr>
                <w:rFonts w:hint="eastAsia" w:cs="Times New Roman"/>
                <w:color w:val="auto"/>
                <w:sz w:val="24"/>
                <w:szCs w:val="24"/>
                <w:lang w:val="en-US" w:eastAsia="zh-CN"/>
              </w:rPr>
              <w:t>0.392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color w:val="auto"/>
                <w:lang w:val="en-US" w:eastAsia="zh-CN"/>
              </w:rPr>
              <w:t>d</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117.6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cs="Times New Roman"/>
                <w:color w:val="auto"/>
                <w:sz w:val="24"/>
                <w:szCs w:val="24"/>
                <w:lang w:eastAsia="zh-CN"/>
              </w:rPr>
              <w:t>，</w:t>
            </w:r>
            <w:r>
              <w:rPr>
                <w:color w:val="auto"/>
                <w:kern w:val="24"/>
                <w:highlight w:val="none"/>
              </w:rPr>
              <w:t>主要污染因子为SS，</w:t>
            </w:r>
            <w:r>
              <w:rPr>
                <w:rFonts w:hint="eastAsia"/>
                <w:color w:val="auto"/>
                <w:highlight w:val="none"/>
                <w:lang w:eastAsia="zh-CN"/>
              </w:rPr>
              <w:t>排入</w:t>
            </w:r>
            <w:r>
              <w:rPr>
                <w:rFonts w:hint="eastAsia"/>
                <w:color w:val="auto"/>
                <w:highlight w:val="none"/>
                <w:lang w:val="en-US" w:eastAsia="zh-CN"/>
              </w:rPr>
              <w:t>配套</w:t>
            </w:r>
            <w:r>
              <w:rPr>
                <w:rFonts w:hint="eastAsia"/>
                <w:color w:val="auto"/>
                <w:highlight w:val="none"/>
                <w:lang w:eastAsia="zh-CN"/>
              </w:rPr>
              <w:t>沉淀池，沉淀后回用于车辆清洗</w:t>
            </w:r>
            <w:r>
              <w:rPr>
                <w:rFonts w:hint="default" w:ascii="Times New Roman" w:hAnsi="Times New Roman" w:eastAsia="宋体" w:cs="Times New Roman"/>
                <w:color w:val="auto"/>
                <w:kern w:val="24"/>
                <w:sz w:val="24"/>
                <w:szCs w:val="24"/>
                <w:highlight w:val="none"/>
              </w:rPr>
              <w:t>，无废水</w:t>
            </w:r>
            <w:r>
              <w:rPr>
                <w:rFonts w:hint="eastAsia" w:cs="Times New Roman"/>
                <w:color w:val="auto"/>
                <w:kern w:val="24"/>
                <w:sz w:val="24"/>
                <w:szCs w:val="24"/>
                <w:highlight w:val="none"/>
                <w:lang w:eastAsia="zh-CN"/>
              </w:rPr>
              <w:t>外排</w:t>
            </w:r>
            <w:r>
              <w:rPr>
                <w:rFonts w:hint="default" w:ascii="Times New Roman" w:hAnsi="Times New Roman" w:eastAsia="宋体" w:cs="Times New Roman"/>
                <w:color w:val="auto"/>
                <w:kern w:val="24"/>
                <w:sz w:val="24"/>
                <w:szCs w:val="24"/>
                <w:highlight w:val="none"/>
                <w:lang w:eastAsia="zh-CN"/>
              </w:rPr>
              <w:t>。</w:t>
            </w:r>
            <w:r>
              <w:rPr>
                <w:rFonts w:hint="default" w:ascii="Times New Roman" w:hAnsi="Times New Roman" w:eastAsia="宋体" w:cs="Times New Roman"/>
                <w:color w:val="auto"/>
                <w:kern w:val="24"/>
                <w:sz w:val="24"/>
                <w:szCs w:val="24"/>
                <w:highlight w:val="none"/>
                <w:lang w:val="en-US" w:eastAsia="zh-CN"/>
              </w:rPr>
              <w:t xml:space="preserve">                                                                                                                                                                                                                                                                                                                                                                                                                                                                                                                       </w:t>
            </w:r>
          </w:p>
          <w:p w14:paraId="054BD290">
            <w:pPr>
              <w:pStyle w:val="9"/>
              <w:keepNext w:val="0"/>
              <w:keepLines w:val="0"/>
              <w:pageBreakBefore w:val="0"/>
              <w:widowControl w:val="0"/>
              <w:kinsoku/>
              <w:wordWrap/>
              <w:overflowPunct/>
              <w:topLinePunct w:val="0"/>
              <w:autoSpaceDE w:val="0"/>
              <w:autoSpaceDN w:val="0"/>
              <w:bidi w:val="0"/>
              <w:adjustRightInd w:val="0"/>
              <w:snapToGrid w:val="0"/>
              <w:spacing w:line="500" w:lineRule="exact"/>
              <w:ind w:firstLine="51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4"/>
                <w:sz w:val="24"/>
                <w:szCs w:val="24"/>
                <w:highlight w:val="none"/>
                <w:lang w:val="en-US" w:eastAsia="zh-CN"/>
              </w:rPr>
              <w:t>生活污水按排放系数0.8计算，产生量为</w:t>
            </w:r>
            <w:r>
              <w:rPr>
                <w:rFonts w:hint="eastAsia" w:cs="Times New Roman"/>
                <w:color w:val="auto"/>
                <w:kern w:val="24"/>
                <w:highlight w:val="none"/>
                <w:lang w:val="en-US" w:eastAsia="zh-CN"/>
              </w:rPr>
              <w:t>0.56</w:t>
            </w:r>
            <w:r>
              <w:rPr>
                <w:rFonts w:hint="default" w:ascii="Times New Roman" w:hAnsi="Times New Roman" w:eastAsia="宋体" w:cs="Times New Roman"/>
                <w:color w:val="auto"/>
                <w:kern w:val="24"/>
                <w:highlight w:val="none"/>
                <w:lang w:val="en-US" w:eastAsia="zh-CN"/>
              </w:rPr>
              <w:t>m</w:t>
            </w:r>
            <w:r>
              <w:rPr>
                <w:rFonts w:hint="default" w:ascii="Times New Roman" w:hAnsi="Times New Roman" w:eastAsia="宋体" w:cs="Times New Roman"/>
                <w:color w:val="auto"/>
                <w:kern w:val="24"/>
                <w:highlight w:val="none"/>
                <w:vertAlign w:val="superscript"/>
                <w:lang w:val="en-US" w:eastAsia="zh-CN"/>
              </w:rPr>
              <w:t>3</w:t>
            </w:r>
            <w:r>
              <w:rPr>
                <w:rFonts w:hint="default" w:ascii="Times New Roman" w:hAnsi="Times New Roman" w:eastAsia="宋体" w:cs="Times New Roman"/>
                <w:color w:val="auto"/>
                <w:kern w:val="24"/>
                <w:highlight w:val="none"/>
                <w:lang w:val="en-US" w:eastAsia="zh-CN"/>
              </w:rPr>
              <w:t>/</w:t>
            </w:r>
            <w:r>
              <w:rPr>
                <w:rFonts w:hint="eastAsia"/>
                <w:color w:val="auto"/>
                <w:lang w:val="en-US" w:eastAsia="zh-CN"/>
              </w:rPr>
              <w:t>d</w:t>
            </w:r>
            <w:r>
              <w:rPr>
                <w:rFonts w:hint="default" w:ascii="Times New Roman" w:hAnsi="Times New Roman" w:eastAsia="宋体" w:cs="Times New Roman"/>
                <w:color w:val="auto"/>
                <w:kern w:val="24"/>
                <w:highlight w:val="none"/>
                <w:lang w:val="en-US" w:eastAsia="zh-CN"/>
              </w:rPr>
              <w:t>（</w:t>
            </w:r>
            <w:r>
              <w:rPr>
                <w:rFonts w:hint="eastAsia" w:cs="Times New Roman"/>
                <w:color w:val="auto"/>
                <w:kern w:val="24"/>
                <w:highlight w:val="none"/>
                <w:lang w:val="en-US" w:eastAsia="zh-CN"/>
              </w:rPr>
              <w:t>168</w:t>
            </w:r>
            <w:r>
              <w:rPr>
                <w:rFonts w:hint="default" w:ascii="Times New Roman" w:hAnsi="Times New Roman" w:eastAsia="宋体" w:cs="Times New Roman"/>
                <w:color w:val="auto"/>
                <w:kern w:val="24"/>
                <w:highlight w:val="none"/>
                <w:lang w:val="en-US" w:eastAsia="zh-CN"/>
              </w:rPr>
              <w:t>m</w:t>
            </w:r>
            <w:r>
              <w:rPr>
                <w:rFonts w:hint="default" w:ascii="Times New Roman" w:hAnsi="Times New Roman" w:eastAsia="宋体" w:cs="Times New Roman"/>
                <w:color w:val="auto"/>
                <w:kern w:val="24"/>
                <w:highlight w:val="none"/>
                <w:vertAlign w:val="superscript"/>
                <w:lang w:val="en-US" w:eastAsia="zh-CN"/>
              </w:rPr>
              <w:t>3</w:t>
            </w:r>
            <w:r>
              <w:rPr>
                <w:rFonts w:hint="default" w:ascii="Times New Roman" w:hAnsi="Times New Roman" w:eastAsia="宋体" w:cs="Times New Roman"/>
                <w:color w:val="auto"/>
                <w:kern w:val="24"/>
                <w:highlight w:val="none"/>
                <w:lang w:val="en-US" w:eastAsia="zh-CN"/>
              </w:rPr>
              <w:t>/a）</w:t>
            </w:r>
            <w:r>
              <w:rPr>
                <w:rFonts w:hint="default" w:ascii="Times New Roman" w:hAnsi="Times New Roman" w:eastAsia="宋体" w:cs="Times New Roman"/>
                <w:color w:val="auto"/>
                <w:kern w:val="24"/>
                <w:sz w:val="24"/>
                <w:szCs w:val="24"/>
                <w:highlight w:val="none"/>
                <w:lang w:val="en-US" w:eastAsia="zh-CN"/>
              </w:rPr>
              <w:t>，主要污染因子为pH、COD、BOD</w:t>
            </w:r>
            <w:r>
              <w:rPr>
                <w:rFonts w:hint="default" w:ascii="Times New Roman" w:hAnsi="Times New Roman" w:eastAsia="宋体" w:cs="Times New Roman"/>
                <w:color w:val="auto"/>
                <w:kern w:val="24"/>
                <w:sz w:val="24"/>
                <w:szCs w:val="24"/>
                <w:highlight w:val="none"/>
                <w:vertAlign w:val="subscript"/>
                <w:lang w:val="en-US" w:eastAsia="zh-CN"/>
              </w:rPr>
              <w:t>5</w:t>
            </w:r>
            <w:r>
              <w:rPr>
                <w:rFonts w:hint="default" w:ascii="Times New Roman" w:hAnsi="Times New Roman" w:eastAsia="宋体" w:cs="Times New Roman"/>
                <w:color w:val="auto"/>
                <w:kern w:val="24"/>
                <w:sz w:val="24"/>
                <w:szCs w:val="24"/>
                <w:highlight w:val="none"/>
                <w:lang w:val="en-US" w:eastAsia="zh-CN"/>
              </w:rPr>
              <w:t>、SS、NH</w:t>
            </w:r>
            <w:r>
              <w:rPr>
                <w:rFonts w:hint="default" w:ascii="Times New Roman" w:hAnsi="Times New Roman" w:eastAsia="宋体" w:cs="Times New Roman"/>
                <w:color w:val="auto"/>
                <w:kern w:val="24"/>
                <w:sz w:val="24"/>
                <w:szCs w:val="24"/>
                <w:highlight w:val="none"/>
                <w:vertAlign w:val="subscript"/>
                <w:lang w:val="en-US" w:eastAsia="zh-CN"/>
              </w:rPr>
              <w:t>3</w:t>
            </w:r>
            <w:r>
              <w:rPr>
                <w:rFonts w:hint="default" w:ascii="Times New Roman" w:hAnsi="Times New Roman" w:eastAsia="宋体" w:cs="Times New Roman"/>
                <w:color w:val="auto"/>
                <w:kern w:val="24"/>
                <w:sz w:val="24"/>
                <w:szCs w:val="24"/>
                <w:highlight w:val="none"/>
                <w:lang w:val="en-US" w:eastAsia="zh-CN"/>
              </w:rPr>
              <w:t>-N、总磷等，生活污水产生量较少，排入化粪池，定期清掏</w:t>
            </w:r>
            <w:r>
              <w:rPr>
                <w:rFonts w:hint="default" w:ascii="Times New Roman" w:hAnsi="Times New Roman" w:eastAsia="宋体" w:cs="Times New Roman"/>
                <w:color w:val="auto"/>
                <w:sz w:val="24"/>
                <w:szCs w:val="24"/>
                <w:lang w:val="en-US" w:eastAsia="zh-CN"/>
              </w:rPr>
              <w:t>。</w:t>
            </w:r>
          </w:p>
          <w:p w14:paraId="404D19DB">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2.2处理措施可行性分析</w:t>
            </w:r>
          </w:p>
          <w:p w14:paraId="1ECE79A9">
            <w:pPr>
              <w:keepNext w:val="0"/>
              <w:keepLines w:val="0"/>
              <w:pageBreakBefore w:val="0"/>
              <w:widowControl w:val="0"/>
              <w:numPr>
                <w:ilvl w:val="0"/>
                <w:numId w:val="4"/>
              </w:numPr>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生产废水</w:t>
            </w:r>
          </w:p>
          <w:p w14:paraId="2A7AAE7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①</w:t>
            </w:r>
            <w:r>
              <w:rPr>
                <w:rFonts w:hint="default" w:ascii="Times New Roman" w:hAnsi="Times New Roman" w:eastAsia="宋体" w:cs="Times New Roman"/>
                <w:color w:val="auto"/>
                <w:sz w:val="24"/>
                <w:szCs w:val="24"/>
                <w:highlight w:val="none"/>
                <w:lang w:eastAsia="zh-CN"/>
              </w:rPr>
              <w:t>生产废水</w:t>
            </w:r>
            <w:r>
              <w:rPr>
                <w:rFonts w:hint="eastAsia" w:cs="Times New Roman"/>
                <w:color w:val="auto"/>
                <w:sz w:val="24"/>
                <w:szCs w:val="24"/>
                <w:highlight w:val="none"/>
                <w:lang w:eastAsia="zh-CN"/>
              </w:rPr>
              <w:t>产生量为</w:t>
            </w:r>
            <w:r>
              <w:rPr>
                <w:rFonts w:hint="eastAsia"/>
                <w:color w:val="auto"/>
                <w:lang w:val="en-US" w:eastAsia="zh-CN"/>
              </w:rPr>
              <w:t>283.074</w:t>
            </w:r>
            <w:r>
              <w:rPr>
                <w:rFonts w:hint="default"/>
                <w:color w:val="auto"/>
              </w:rPr>
              <w:t>m</w:t>
            </w:r>
            <w:r>
              <w:rPr>
                <w:rFonts w:hint="default"/>
                <w:color w:val="auto"/>
                <w:vertAlign w:val="superscript"/>
              </w:rPr>
              <w:t>3</w:t>
            </w:r>
            <w:r>
              <w:rPr>
                <w:color w:val="auto"/>
              </w:rPr>
              <w:t>/</w:t>
            </w:r>
            <w:r>
              <w:rPr>
                <w:rFonts w:hint="eastAsia"/>
                <w:color w:val="auto"/>
                <w:lang w:val="en-US" w:eastAsia="zh-CN"/>
              </w:rPr>
              <w:t>d</w:t>
            </w:r>
            <w:r>
              <w:rPr>
                <w:rFonts w:hint="eastAsia"/>
                <w:color w:val="auto"/>
                <w:highlight w:val="none"/>
                <w:lang w:eastAsia="zh-CN"/>
              </w:rPr>
              <w:t>，</w:t>
            </w:r>
            <w:r>
              <w:rPr>
                <w:rFonts w:hint="default" w:ascii="Times New Roman" w:hAnsi="Times New Roman" w:eastAsia="宋体" w:cs="Times New Roman"/>
                <w:color w:val="auto"/>
                <w:sz w:val="24"/>
                <w:szCs w:val="24"/>
                <w:highlight w:val="none"/>
                <w:lang w:eastAsia="zh-CN"/>
              </w:rPr>
              <w:t>厂区内</w:t>
            </w:r>
            <w:r>
              <w:rPr>
                <w:rFonts w:hint="eastAsia" w:cs="Times New Roman"/>
                <w:color w:val="auto"/>
                <w:sz w:val="24"/>
                <w:szCs w:val="24"/>
                <w:highlight w:val="none"/>
                <w:lang w:eastAsia="zh-CN"/>
              </w:rPr>
              <w:t>建设一座</w:t>
            </w:r>
            <w:r>
              <w:rPr>
                <w:rFonts w:hint="default" w:ascii="Times New Roman" w:hAnsi="Times New Roman" w:eastAsia="宋体" w:cs="Times New Roman"/>
                <w:color w:val="auto"/>
                <w:sz w:val="24"/>
                <w:szCs w:val="24"/>
                <w:highlight w:val="none"/>
                <w:lang w:eastAsia="zh-CN"/>
              </w:rPr>
              <w:t>容积为</w:t>
            </w:r>
            <w:r>
              <w:rPr>
                <w:rFonts w:hint="eastAsia" w:cs="Times New Roman"/>
                <w:color w:val="auto"/>
                <w:kern w:val="2"/>
                <w:sz w:val="24"/>
                <w:szCs w:val="24"/>
                <w:highlight w:val="none"/>
                <w:lang w:val="en-US" w:eastAsia="zh-CN" w:bidi="ar-SA"/>
              </w:rPr>
              <w:t>170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沉淀池</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拟建项目运行后，每小时产生废水约</w:t>
            </w:r>
            <w:r>
              <w:rPr>
                <w:rFonts w:hint="eastAsia" w:cs="Times New Roman"/>
                <w:color w:val="auto"/>
                <w:sz w:val="24"/>
                <w:szCs w:val="24"/>
                <w:highlight w:val="none"/>
                <w:lang w:val="en-US" w:eastAsia="zh-CN"/>
              </w:rPr>
              <w:t>17.693</w:t>
            </w:r>
            <w:r>
              <w:rPr>
                <w:rFonts w:hint="default"/>
                <w:color w:val="auto"/>
              </w:rPr>
              <w:t>m</w:t>
            </w:r>
            <w:r>
              <w:rPr>
                <w:rFonts w:hint="default"/>
                <w:color w:val="auto"/>
                <w:vertAlign w:val="superscript"/>
              </w:rPr>
              <w:t>3</w:t>
            </w:r>
            <w:r>
              <w:rPr>
                <w:rFonts w:hint="eastAsia"/>
                <w:color w:val="auto"/>
                <w:vertAlign w:val="baseline"/>
                <w:lang w:eastAsia="zh-CN"/>
              </w:rPr>
              <w:t>，废水</w:t>
            </w:r>
            <w:r>
              <w:rPr>
                <w:rFonts w:hint="eastAsia" w:cs="Times New Roman"/>
                <w:color w:val="auto"/>
                <w:sz w:val="24"/>
                <w:szCs w:val="24"/>
                <w:highlight w:val="none"/>
                <w:lang w:val="en-US" w:eastAsia="zh-CN"/>
              </w:rPr>
              <w:t>经盘式过滤机</w:t>
            </w:r>
            <w:r>
              <w:rPr>
                <w:rFonts w:hint="default" w:ascii="Times New Roman" w:hAnsi="Times New Roman" w:eastAsia="宋体" w:cs="Times New Roman"/>
                <w:color w:val="auto"/>
                <w:sz w:val="24"/>
                <w:szCs w:val="24"/>
                <w:lang w:eastAsia="zh-CN"/>
              </w:rPr>
              <w:t>可以有效地过滤水中的悬浮物</w:t>
            </w:r>
            <w:r>
              <w:rPr>
                <w:rFonts w:hint="eastAsia" w:cs="Times New Roman"/>
                <w:color w:val="auto"/>
                <w:sz w:val="24"/>
                <w:szCs w:val="24"/>
                <w:lang w:eastAsia="zh-CN"/>
              </w:rPr>
              <w:t>，因此，废水在沉淀池中停留2-3h即可到达沉淀效果，废水能在污水沉淀池中至少停留</w:t>
            </w:r>
            <w:r>
              <w:rPr>
                <w:rFonts w:hint="eastAsia" w:cs="Times New Roman"/>
                <w:color w:val="auto"/>
                <w:sz w:val="24"/>
                <w:szCs w:val="24"/>
                <w:lang w:val="en-US" w:eastAsia="zh-CN"/>
              </w:rPr>
              <w:t>2</w:t>
            </w:r>
            <w:r>
              <w:rPr>
                <w:rFonts w:hint="eastAsia" w:cs="Times New Roman"/>
                <w:color w:val="auto"/>
                <w:sz w:val="24"/>
                <w:szCs w:val="24"/>
                <w:lang w:eastAsia="zh-CN"/>
              </w:rPr>
              <w:t>h（合计为</w:t>
            </w:r>
            <w:r>
              <w:rPr>
                <w:rFonts w:hint="eastAsia" w:cs="Times New Roman"/>
                <w:color w:val="auto"/>
                <w:sz w:val="24"/>
                <w:szCs w:val="24"/>
                <w:lang w:val="en-US" w:eastAsia="zh-CN"/>
              </w:rPr>
              <w:t>35.386</w:t>
            </w:r>
            <w:r>
              <w:rPr>
                <w:rFonts w:hint="eastAsia" w:cs="Times New Roman"/>
                <w:color w:val="auto"/>
                <w:sz w:val="24"/>
                <w:szCs w:val="24"/>
                <w:lang w:eastAsia="zh-CN"/>
              </w:rPr>
              <w:t>m</w:t>
            </w:r>
            <w:r>
              <w:rPr>
                <w:rFonts w:hint="eastAsia" w:cs="Times New Roman"/>
                <w:color w:val="auto"/>
                <w:sz w:val="24"/>
                <w:szCs w:val="24"/>
                <w:vertAlign w:val="superscript"/>
                <w:lang w:eastAsia="zh-CN"/>
              </w:rPr>
              <w:t>3</w:t>
            </w:r>
            <w:r>
              <w:rPr>
                <w:rFonts w:hint="eastAsia" w:cs="Times New Roman"/>
                <w:color w:val="auto"/>
                <w:sz w:val="24"/>
                <w:szCs w:val="24"/>
                <w:lang w:eastAsia="zh-CN"/>
              </w:rPr>
              <w:t>），沉淀池容量能够满足</w:t>
            </w:r>
            <w:r>
              <w:rPr>
                <w:rFonts w:hint="default" w:ascii="Times New Roman" w:hAnsi="Times New Roman" w:eastAsia="宋体" w:cs="Times New Roman"/>
                <w:color w:val="auto"/>
                <w:sz w:val="24"/>
                <w:szCs w:val="24"/>
                <w:lang w:eastAsia="zh-CN"/>
              </w:rPr>
              <w:t>项目日常使用，且</w:t>
            </w:r>
            <w:r>
              <w:rPr>
                <w:rFonts w:hint="eastAsia" w:cs="Times New Roman"/>
                <w:color w:val="auto"/>
                <w:sz w:val="24"/>
                <w:szCs w:val="24"/>
                <w:lang w:eastAsia="zh-CN"/>
              </w:rPr>
              <w:t>沉淀池</w:t>
            </w:r>
            <w:r>
              <w:rPr>
                <w:rFonts w:hint="eastAsia" w:cs="Times New Roman"/>
                <w:b w:val="0"/>
                <w:bCs w:val="0"/>
                <w:color w:val="auto"/>
                <w:lang w:val="en-US" w:eastAsia="zh-CN"/>
              </w:rPr>
              <w:t>混凝土一次性浇筑，防渗系数≤10</w:t>
            </w:r>
            <w:r>
              <w:rPr>
                <w:rFonts w:hint="eastAsia" w:cs="Times New Roman"/>
                <w:b w:val="0"/>
                <w:bCs w:val="0"/>
                <w:color w:val="auto"/>
                <w:vertAlign w:val="superscript"/>
                <w:lang w:val="en-US" w:eastAsia="zh-CN"/>
              </w:rPr>
              <w:t>-7</w:t>
            </w:r>
            <w:r>
              <w:rPr>
                <w:rFonts w:hint="eastAsia" w:cs="Times New Roman"/>
                <w:b w:val="0"/>
                <w:bCs w:val="0"/>
                <w:color w:val="auto"/>
                <w:lang w:val="en-US" w:eastAsia="zh-CN"/>
              </w:rPr>
              <w:t>cm/s</w:t>
            </w:r>
            <w:r>
              <w:rPr>
                <w:rFonts w:hint="default" w:ascii="Times New Roman" w:hAnsi="Times New Roman" w:eastAsia="宋体" w:cs="Times New Roman"/>
                <w:color w:val="auto"/>
                <w:sz w:val="24"/>
                <w:szCs w:val="24"/>
                <w:lang w:eastAsia="zh-CN"/>
              </w:rPr>
              <w:t>。</w:t>
            </w:r>
          </w:p>
          <w:p w14:paraId="2E8AAAB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eastAsia" w:cs="Times New Roman"/>
                <w:b w:val="0"/>
                <w:bCs w:val="0"/>
                <w:color w:val="auto"/>
                <w:lang w:val="en-US" w:eastAsia="zh-CN"/>
              </w:rPr>
            </w:pPr>
            <w:r>
              <w:rPr>
                <w:rFonts w:hint="eastAsia" w:cs="Times New Roman"/>
                <w:b w:val="0"/>
                <w:bCs w:val="0"/>
                <w:color w:val="auto"/>
                <w:lang w:val="en-US" w:eastAsia="zh-CN"/>
              </w:rPr>
              <w:t>②车辆清洗废水排入洗车平台配套沉淀池内，沉淀澄清后回用于车辆清洗，且沉淀池为混凝土一次性浇筑，防渗系数≤10</w:t>
            </w:r>
            <w:r>
              <w:rPr>
                <w:rFonts w:hint="eastAsia" w:cs="Times New Roman"/>
                <w:b w:val="0"/>
                <w:bCs w:val="0"/>
                <w:color w:val="auto"/>
                <w:vertAlign w:val="superscript"/>
                <w:lang w:val="en-US" w:eastAsia="zh-CN"/>
              </w:rPr>
              <w:t>-7</w:t>
            </w:r>
            <w:r>
              <w:rPr>
                <w:rFonts w:hint="eastAsia" w:cs="Times New Roman"/>
                <w:b w:val="0"/>
                <w:bCs w:val="0"/>
                <w:color w:val="auto"/>
                <w:lang w:val="en-US" w:eastAsia="zh-CN"/>
              </w:rPr>
              <w:t>cm/s。不会对地下水、土壤环境产生影响。</w:t>
            </w:r>
          </w:p>
          <w:p w14:paraId="55AB3F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eastAsia" w:cs="Times New Roman"/>
                <w:b w:val="0"/>
                <w:bCs w:val="0"/>
                <w:color w:val="auto"/>
                <w:lang w:val="en-US" w:eastAsia="zh-CN"/>
              </w:rPr>
            </w:pPr>
            <w:r>
              <w:rPr>
                <w:rFonts w:hint="eastAsia" w:cs="Times New Roman"/>
                <w:b w:val="0"/>
                <w:bCs w:val="0"/>
                <w:color w:val="auto"/>
                <w:lang w:val="en-US" w:eastAsia="zh-CN"/>
              </w:rPr>
              <w:t>故本项目沉淀池设置合理。</w:t>
            </w:r>
          </w:p>
          <w:p w14:paraId="0BB1C20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（2）生活污水</w:t>
            </w:r>
          </w:p>
          <w:p w14:paraId="2DA2F10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ascii="Times New Roman" w:hAnsi="Times New Roman" w:eastAsia="宋体" w:cs="Times New Roman"/>
                <w:b w:val="0"/>
                <w:bCs w:val="0"/>
                <w:color w:val="auto"/>
                <w:lang w:val="en-US" w:eastAsia="zh-CN"/>
              </w:rPr>
            </w:pPr>
            <w:r>
              <w:rPr>
                <w:rFonts w:hint="eastAsia" w:cs="Times New Roman"/>
                <w:bCs/>
                <w:color w:val="auto"/>
                <w:highlight w:val="none"/>
                <w:lang w:eastAsia="zh-CN"/>
              </w:rPr>
              <w:t>项目区内不设置</w:t>
            </w:r>
            <w:r>
              <w:rPr>
                <w:rFonts w:hint="default" w:ascii="Times New Roman" w:hAnsi="Times New Roman" w:cs="Times New Roman"/>
                <w:color w:val="auto"/>
                <w:lang w:val="en-US" w:eastAsia="zh-CN"/>
              </w:rPr>
              <w:t>食堂、洗浴设施</w:t>
            </w:r>
            <w:r>
              <w:rPr>
                <w:rFonts w:hint="default" w:ascii="Times New Roman" w:hAnsi="Times New Roman" w:eastAsia="宋体" w:cs="Times New Roman"/>
                <w:b w:val="0"/>
                <w:bCs w:val="0"/>
                <w:color w:val="auto"/>
                <w:lang w:val="en-US" w:eastAsia="zh-CN"/>
              </w:rPr>
              <w:t>，生活污水主要为生活盥洗水，</w:t>
            </w:r>
            <w:r>
              <w:rPr>
                <w:rFonts w:hint="eastAsia" w:cs="Times New Roman"/>
                <w:b w:val="0"/>
                <w:bCs w:val="0"/>
                <w:color w:val="auto"/>
                <w:lang w:val="en-US" w:eastAsia="zh-CN"/>
              </w:rPr>
              <w:t>水质简单，</w:t>
            </w:r>
            <w:r>
              <w:rPr>
                <w:rFonts w:hint="default" w:ascii="Times New Roman" w:hAnsi="Times New Roman" w:eastAsia="宋体" w:cs="Times New Roman"/>
                <w:color w:val="auto"/>
                <w:sz w:val="24"/>
                <w:szCs w:val="24"/>
                <w:lang w:eastAsia="zh-CN"/>
              </w:rPr>
              <w:t>生活污水</w:t>
            </w:r>
            <w:r>
              <w:rPr>
                <w:rFonts w:hint="eastAsia" w:cs="Times New Roman"/>
                <w:color w:val="auto"/>
                <w:sz w:val="24"/>
                <w:szCs w:val="24"/>
                <w:lang w:eastAsia="zh-CN"/>
              </w:rPr>
              <w:t>排入化粪池，定期清掏，</w:t>
            </w:r>
            <w:r>
              <w:rPr>
                <w:rFonts w:hint="default" w:ascii="Times New Roman" w:hAnsi="Times New Roman" w:eastAsia="宋体" w:cs="Times New Roman"/>
                <w:b w:val="0"/>
                <w:bCs w:val="0"/>
                <w:color w:val="auto"/>
                <w:lang w:val="en-US" w:eastAsia="zh-CN"/>
              </w:rPr>
              <w:t>本项目处理措施合理</w:t>
            </w:r>
            <w:r>
              <w:rPr>
                <w:rFonts w:hint="eastAsia" w:cs="Times New Roman"/>
                <w:b w:val="0"/>
                <w:bCs w:val="0"/>
                <w:color w:val="auto"/>
                <w:lang w:val="en-US" w:eastAsia="zh-CN"/>
              </w:rPr>
              <w:t>。</w:t>
            </w:r>
          </w:p>
          <w:p w14:paraId="7E26C8EC">
            <w:pPr>
              <w:tabs>
                <w:tab w:val="left" w:pos="4253"/>
              </w:tabs>
              <w:spacing w:line="480" w:lineRule="exact"/>
              <w:ind w:firstLine="482" w:firstLineChars="200"/>
              <w:jc w:val="left"/>
              <w:rPr>
                <w:b/>
                <w:bCs/>
                <w:color w:val="auto"/>
                <w:sz w:val="24"/>
                <w:szCs w:val="24"/>
              </w:rPr>
            </w:pPr>
            <w:r>
              <w:rPr>
                <w:rFonts w:hint="eastAsia"/>
                <w:b/>
                <w:bCs/>
                <w:color w:val="auto"/>
                <w:sz w:val="24"/>
                <w:szCs w:val="24"/>
                <w:lang w:val="en-US" w:eastAsia="zh-CN"/>
              </w:rPr>
              <w:t>2.3</w:t>
            </w:r>
            <w:r>
              <w:rPr>
                <w:b/>
                <w:bCs/>
                <w:color w:val="auto"/>
                <w:sz w:val="24"/>
                <w:szCs w:val="24"/>
              </w:rPr>
              <w:t>事故废水</w:t>
            </w:r>
          </w:p>
          <w:p w14:paraId="594CB1F5">
            <w:pPr>
              <w:tabs>
                <w:tab w:val="left" w:pos="4253"/>
              </w:tabs>
              <w:spacing w:line="480" w:lineRule="exact"/>
              <w:ind w:firstLine="480"/>
              <w:jc w:val="left"/>
              <w:rPr>
                <w:color w:val="auto"/>
                <w:sz w:val="24"/>
                <w:szCs w:val="24"/>
              </w:rPr>
            </w:pPr>
            <w:r>
              <w:rPr>
                <w:color w:val="auto"/>
                <w:sz w:val="24"/>
                <w:szCs w:val="24"/>
              </w:rPr>
              <w:t>当球磨机、</w:t>
            </w:r>
            <w:r>
              <w:rPr>
                <w:rFonts w:hint="eastAsia"/>
                <w:color w:val="auto"/>
                <w:sz w:val="24"/>
                <w:szCs w:val="24"/>
                <w:lang w:eastAsia="zh-CN"/>
              </w:rPr>
              <w:t>湿式</w:t>
            </w:r>
            <w:r>
              <w:rPr>
                <w:color w:val="auto"/>
                <w:sz w:val="24"/>
                <w:szCs w:val="24"/>
              </w:rPr>
              <w:t>磁选机、高频筛等设备出现故障时，存在废浆非正常排放的可能性，</w:t>
            </w:r>
            <w:r>
              <w:rPr>
                <w:rFonts w:hint="eastAsia"/>
                <w:color w:val="auto"/>
                <w:sz w:val="24"/>
                <w:szCs w:val="24"/>
              </w:rPr>
              <w:t>发生事故时</w:t>
            </w:r>
            <w:r>
              <w:rPr>
                <w:rFonts w:hint="eastAsia"/>
                <w:color w:val="auto"/>
                <w:sz w:val="24"/>
                <w:szCs w:val="24"/>
                <w:lang w:eastAsia="zh-CN"/>
              </w:rPr>
              <w:t>，</w:t>
            </w:r>
            <w:r>
              <w:rPr>
                <w:rFonts w:hint="eastAsia"/>
                <w:color w:val="auto"/>
                <w:sz w:val="24"/>
                <w:szCs w:val="24"/>
              </w:rPr>
              <w:t>废</w:t>
            </w:r>
            <w:r>
              <w:rPr>
                <w:rFonts w:hint="eastAsia"/>
                <w:color w:val="auto"/>
                <w:sz w:val="24"/>
                <w:szCs w:val="24"/>
                <w:lang w:eastAsia="zh-CN"/>
              </w:rPr>
              <w:t>渣泥砂</w:t>
            </w:r>
            <w:r>
              <w:rPr>
                <w:rFonts w:hint="eastAsia"/>
                <w:color w:val="auto"/>
                <w:sz w:val="24"/>
                <w:szCs w:val="24"/>
              </w:rPr>
              <w:t>浆</w:t>
            </w:r>
            <w:r>
              <w:rPr>
                <w:color w:val="auto"/>
                <w:sz w:val="24"/>
                <w:szCs w:val="24"/>
              </w:rPr>
              <w:t>排放量为</w:t>
            </w:r>
            <w:r>
              <w:rPr>
                <w:rFonts w:hint="eastAsia"/>
                <w:color w:val="auto"/>
                <w:lang w:val="en-US" w:eastAsia="zh-CN"/>
              </w:rPr>
              <w:t>283.074</w:t>
            </w:r>
            <w:r>
              <w:rPr>
                <w:rFonts w:hint="default"/>
                <w:color w:val="auto"/>
              </w:rPr>
              <w:t>m</w:t>
            </w:r>
            <w:r>
              <w:rPr>
                <w:rFonts w:hint="default"/>
                <w:color w:val="auto"/>
                <w:vertAlign w:val="superscript"/>
              </w:rPr>
              <w:t>3</w:t>
            </w:r>
            <w:r>
              <w:rPr>
                <w:color w:val="auto"/>
              </w:rPr>
              <w:t>/</w:t>
            </w:r>
            <w:r>
              <w:rPr>
                <w:rFonts w:hint="eastAsia"/>
                <w:color w:val="auto"/>
                <w:lang w:val="en-US" w:eastAsia="zh-CN"/>
              </w:rPr>
              <w:t>d，</w:t>
            </w:r>
            <w:r>
              <w:rPr>
                <w:color w:val="auto"/>
                <w:sz w:val="24"/>
                <w:szCs w:val="24"/>
              </w:rPr>
              <w:t>若不设事故池收集将对区域</w:t>
            </w:r>
            <w:r>
              <w:rPr>
                <w:rFonts w:hint="eastAsia"/>
                <w:color w:val="auto"/>
                <w:sz w:val="24"/>
                <w:szCs w:val="24"/>
                <w:lang w:eastAsia="zh-CN"/>
              </w:rPr>
              <w:t>地表水</w:t>
            </w:r>
            <w:r>
              <w:rPr>
                <w:color w:val="auto"/>
                <w:sz w:val="24"/>
                <w:szCs w:val="24"/>
              </w:rPr>
              <w:t>环境产生一定程度不良影响。为避免上述非正常排放的发生，本项目</w:t>
            </w:r>
            <w:r>
              <w:rPr>
                <w:rFonts w:hint="eastAsia"/>
                <w:color w:val="auto"/>
                <w:sz w:val="24"/>
                <w:szCs w:val="24"/>
                <w:lang w:eastAsia="zh-CN"/>
              </w:rPr>
              <w:t>利用现有</w:t>
            </w:r>
            <w:r>
              <w:rPr>
                <w:rFonts w:hint="eastAsia"/>
                <w:color w:val="auto"/>
                <w:sz w:val="24"/>
                <w:szCs w:val="24"/>
              </w:rPr>
              <w:t>沉淀池作为本项目的应急池，沉淀池长37m×宽30m×高4m；容积4440m</w:t>
            </w:r>
            <w:r>
              <w:rPr>
                <w:rFonts w:hint="eastAsia"/>
                <w:color w:val="auto"/>
                <w:sz w:val="24"/>
                <w:szCs w:val="24"/>
                <w:vertAlign w:val="superscript"/>
              </w:rPr>
              <w:t>3</w:t>
            </w:r>
            <w:r>
              <w:rPr>
                <w:rFonts w:hint="eastAsia"/>
                <w:color w:val="auto"/>
                <w:sz w:val="24"/>
                <w:szCs w:val="24"/>
              </w:rPr>
              <w:t>；</w:t>
            </w:r>
            <w:r>
              <w:rPr>
                <w:rFonts w:hint="eastAsia"/>
                <w:color w:val="auto"/>
                <w:sz w:val="24"/>
                <w:szCs w:val="24"/>
                <w:lang w:eastAsia="zh-CN"/>
              </w:rPr>
              <w:t>可</w:t>
            </w:r>
            <w:r>
              <w:rPr>
                <w:rFonts w:hint="eastAsia"/>
                <w:color w:val="auto"/>
                <w:sz w:val="24"/>
                <w:szCs w:val="24"/>
              </w:rPr>
              <w:t>占用其中一格</w:t>
            </w:r>
            <w:r>
              <w:rPr>
                <w:rFonts w:hint="eastAsia"/>
                <w:color w:val="auto"/>
                <w:sz w:val="24"/>
                <w:szCs w:val="24"/>
                <w:lang w:eastAsia="zh-CN"/>
              </w:rPr>
              <w:t>用于本项目</w:t>
            </w:r>
            <w:r>
              <w:rPr>
                <w:color w:val="auto"/>
                <w:sz w:val="24"/>
                <w:szCs w:val="24"/>
              </w:rPr>
              <w:t>发生故障时废浆</w:t>
            </w:r>
            <w:r>
              <w:rPr>
                <w:rFonts w:hint="eastAsia"/>
                <w:color w:val="auto"/>
                <w:sz w:val="24"/>
                <w:szCs w:val="24"/>
                <w:lang w:eastAsia="zh-CN"/>
              </w:rPr>
              <w:t>临时</w:t>
            </w:r>
            <w:r>
              <w:rPr>
                <w:color w:val="auto"/>
                <w:sz w:val="24"/>
                <w:szCs w:val="24"/>
              </w:rPr>
              <w:t>储存，当设备恢复后，将事故排放</w:t>
            </w:r>
            <w:r>
              <w:rPr>
                <w:rFonts w:hint="eastAsia"/>
                <w:color w:val="auto"/>
                <w:sz w:val="24"/>
                <w:szCs w:val="24"/>
              </w:rPr>
              <w:t>渣</w:t>
            </w:r>
            <w:r>
              <w:rPr>
                <w:color w:val="auto"/>
                <w:sz w:val="24"/>
                <w:szCs w:val="24"/>
              </w:rPr>
              <w:t>浆收集后排入</w:t>
            </w:r>
            <w:r>
              <w:rPr>
                <w:rFonts w:hint="eastAsia"/>
                <w:color w:val="auto"/>
                <w:sz w:val="24"/>
                <w:szCs w:val="24"/>
                <w:lang w:eastAsia="zh-CN"/>
              </w:rPr>
              <w:t>盘式过滤机</w:t>
            </w:r>
            <w:r>
              <w:rPr>
                <w:color w:val="auto"/>
                <w:sz w:val="24"/>
                <w:szCs w:val="24"/>
              </w:rPr>
              <w:t>处理，将事故对环境的影响降到最低。</w:t>
            </w:r>
          </w:p>
          <w:p w14:paraId="071DD87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2" w:firstLineChars="200"/>
              <w:jc w:val="lef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2.</w:t>
            </w:r>
            <w:r>
              <w:rPr>
                <w:rFonts w:hint="eastAsia" w:cs="Times New Roman"/>
                <w:b/>
                <w:bCs/>
                <w:color w:val="auto"/>
                <w:lang w:val="en-US" w:eastAsia="zh-CN"/>
              </w:rPr>
              <w:t>4</w:t>
            </w:r>
            <w:r>
              <w:rPr>
                <w:rFonts w:hint="default" w:ascii="Times New Roman" w:hAnsi="Times New Roman" w:eastAsia="宋体" w:cs="Times New Roman"/>
                <w:b/>
                <w:bCs/>
                <w:color w:val="auto"/>
              </w:rPr>
              <w:t>建设项目废水污染物排放信息表</w:t>
            </w:r>
          </w:p>
          <w:p w14:paraId="32B2BAA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rPr>
              <w:t>建设项目废水类别、污染物及污染治理设施信息表见下表</w:t>
            </w:r>
            <w:r>
              <w:rPr>
                <w:rFonts w:hint="default" w:ascii="Times New Roman" w:hAnsi="Times New Roman" w:eastAsia="宋体" w:cs="Times New Roman"/>
                <w:color w:val="auto"/>
                <w:lang w:val="en-US" w:eastAsia="zh-CN"/>
              </w:rPr>
              <w:t>：</w:t>
            </w:r>
          </w:p>
          <w:p w14:paraId="4016AB86">
            <w:pPr>
              <w:keepNext w:val="0"/>
              <w:keepLines w:val="0"/>
              <w:pageBreakBefore w:val="0"/>
              <w:widowControl w:val="0"/>
              <w:kinsoku/>
              <w:wordWrap/>
              <w:overflowPunct/>
              <w:topLinePunct w:val="0"/>
              <w:autoSpaceDE w:val="0"/>
              <w:autoSpaceDN w:val="0"/>
              <w:bidi w:val="0"/>
              <w:adjustRightInd w:val="0"/>
              <w:snapToGrid w:val="0"/>
              <w:spacing w:line="500" w:lineRule="exact"/>
              <w:ind w:firstLine="422"/>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 xml:space="preserve">11 </w:t>
            </w:r>
            <w:r>
              <w:rPr>
                <w:rFonts w:hint="default" w:ascii="Times New Roman" w:hAnsi="Times New Roman" w:eastAsia="宋体" w:cs="Times New Roman"/>
                <w:b/>
                <w:bCs/>
                <w:color w:val="auto"/>
                <w:sz w:val="21"/>
                <w:szCs w:val="21"/>
              </w:rPr>
              <w:t>废水类别、污染物及污染治理设施信息表</w:t>
            </w:r>
          </w:p>
          <w:tbl>
            <w:tblPr>
              <w:tblStyle w:val="2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51"/>
              <w:gridCol w:w="972"/>
              <w:gridCol w:w="822"/>
              <w:gridCol w:w="745"/>
              <w:gridCol w:w="745"/>
              <w:gridCol w:w="746"/>
              <w:gridCol w:w="747"/>
              <w:gridCol w:w="659"/>
              <w:gridCol w:w="755"/>
              <w:gridCol w:w="894"/>
            </w:tblGrid>
            <w:tr w14:paraId="12DB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43" w:type="dxa"/>
                  <w:vMerge w:val="restart"/>
                  <w:noWrap w:val="0"/>
                  <w:vAlign w:val="center"/>
                </w:tcPr>
                <w:p w14:paraId="6676C903">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51" w:type="dxa"/>
                  <w:vMerge w:val="restart"/>
                  <w:noWrap w:val="0"/>
                  <w:vAlign w:val="center"/>
                </w:tcPr>
                <w:p w14:paraId="1CE0CC71">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废水类别</w:t>
                  </w:r>
                </w:p>
              </w:tc>
              <w:tc>
                <w:tcPr>
                  <w:tcW w:w="972" w:type="dxa"/>
                  <w:vMerge w:val="restart"/>
                  <w:noWrap w:val="0"/>
                  <w:vAlign w:val="center"/>
                </w:tcPr>
                <w:p w14:paraId="5E6FA585">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822" w:type="dxa"/>
                  <w:vMerge w:val="restart"/>
                  <w:noWrap w:val="0"/>
                  <w:vAlign w:val="center"/>
                </w:tcPr>
                <w:p w14:paraId="584F5F41">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c>
                <w:tcPr>
                  <w:tcW w:w="745" w:type="dxa"/>
                  <w:vMerge w:val="restart"/>
                  <w:noWrap w:val="0"/>
                  <w:vAlign w:val="center"/>
                </w:tcPr>
                <w:p w14:paraId="5DCF52D5">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排放规律</w:t>
                  </w:r>
                </w:p>
              </w:tc>
              <w:tc>
                <w:tcPr>
                  <w:tcW w:w="2238" w:type="dxa"/>
                  <w:gridSpan w:val="3"/>
                  <w:noWrap w:val="0"/>
                  <w:vAlign w:val="center"/>
                </w:tcPr>
                <w:p w14:paraId="5B37A5AD">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w:t>
                  </w:r>
                </w:p>
              </w:tc>
              <w:tc>
                <w:tcPr>
                  <w:tcW w:w="659" w:type="dxa"/>
                  <w:vMerge w:val="restart"/>
                  <w:noWrap w:val="0"/>
                  <w:vAlign w:val="center"/>
                </w:tcPr>
                <w:p w14:paraId="79285275">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755" w:type="dxa"/>
                  <w:vMerge w:val="restart"/>
                  <w:noWrap w:val="0"/>
                  <w:vAlign w:val="center"/>
                </w:tcPr>
                <w:p w14:paraId="0A4533C8">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排放口设置是否符合要求</w:t>
                  </w:r>
                </w:p>
              </w:tc>
              <w:tc>
                <w:tcPr>
                  <w:tcW w:w="894" w:type="dxa"/>
                  <w:vMerge w:val="restart"/>
                  <w:noWrap w:val="0"/>
                  <w:vAlign w:val="center"/>
                </w:tcPr>
                <w:p w14:paraId="71EA97EF">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r>
            <w:tr w14:paraId="3D2D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443" w:type="dxa"/>
                  <w:vMerge w:val="continue"/>
                  <w:noWrap w:val="0"/>
                  <w:vAlign w:val="center"/>
                </w:tcPr>
                <w:p w14:paraId="14365281">
                  <w:pPr>
                    <w:spacing w:line="240" w:lineRule="exact"/>
                    <w:ind w:firstLine="0" w:firstLineChars="0"/>
                    <w:jc w:val="center"/>
                    <w:rPr>
                      <w:rFonts w:hint="default" w:ascii="Times New Roman" w:hAnsi="Times New Roman" w:eastAsia="宋体" w:cs="Times New Roman"/>
                      <w:b w:val="0"/>
                      <w:bCs w:val="0"/>
                      <w:color w:val="auto"/>
                      <w:sz w:val="21"/>
                      <w:szCs w:val="21"/>
                    </w:rPr>
                  </w:pPr>
                </w:p>
              </w:tc>
              <w:tc>
                <w:tcPr>
                  <w:tcW w:w="451" w:type="dxa"/>
                  <w:vMerge w:val="continue"/>
                  <w:noWrap w:val="0"/>
                  <w:vAlign w:val="center"/>
                </w:tcPr>
                <w:p w14:paraId="5CF54B99">
                  <w:pPr>
                    <w:spacing w:line="240" w:lineRule="exact"/>
                    <w:ind w:firstLine="0" w:firstLineChars="0"/>
                    <w:jc w:val="center"/>
                    <w:rPr>
                      <w:rFonts w:hint="default" w:ascii="Times New Roman" w:hAnsi="Times New Roman" w:eastAsia="宋体" w:cs="Times New Roman"/>
                      <w:b w:val="0"/>
                      <w:bCs w:val="0"/>
                      <w:color w:val="auto"/>
                      <w:sz w:val="21"/>
                      <w:szCs w:val="21"/>
                    </w:rPr>
                  </w:pPr>
                </w:p>
              </w:tc>
              <w:tc>
                <w:tcPr>
                  <w:tcW w:w="972" w:type="dxa"/>
                  <w:vMerge w:val="continue"/>
                  <w:noWrap w:val="0"/>
                  <w:vAlign w:val="center"/>
                </w:tcPr>
                <w:p w14:paraId="3874E8D9">
                  <w:pPr>
                    <w:spacing w:line="240" w:lineRule="exact"/>
                    <w:ind w:firstLine="0" w:firstLineChars="0"/>
                    <w:jc w:val="center"/>
                    <w:rPr>
                      <w:rFonts w:hint="default" w:ascii="Times New Roman" w:hAnsi="Times New Roman" w:eastAsia="宋体" w:cs="Times New Roman"/>
                      <w:b w:val="0"/>
                      <w:bCs w:val="0"/>
                      <w:color w:val="auto"/>
                      <w:sz w:val="21"/>
                      <w:szCs w:val="21"/>
                    </w:rPr>
                  </w:pPr>
                </w:p>
              </w:tc>
              <w:tc>
                <w:tcPr>
                  <w:tcW w:w="822" w:type="dxa"/>
                  <w:vMerge w:val="continue"/>
                  <w:noWrap w:val="0"/>
                  <w:vAlign w:val="center"/>
                </w:tcPr>
                <w:p w14:paraId="37D648B8">
                  <w:pPr>
                    <w:spacing w:line="240" w:lineRule="exact"/>
                    <w:ind w:firstLine="0" w:firstLineChars="0"/>
                    <w:jc w:val="center"/>
                    <w:rPr>
                      <w:rFonts w:hint="default" w:ascii="Times New Roman" w:hAnsi="Times New Roman" w:eastAsia="宋体" w:cs="Times New Roman"/>
                      <w:b w:val="0"/>
                      <w:bCs w:val="0"/>
                      <w:color w:val="auto"/>
                      <w:sz w:val="21"/>
                      <w:szCs w:val="21"/>
                    </w:rPr>
                  </w:pPr>
                </w:p>
              </w:tc>
              <w:tc>
                <w:tcPr>
                  <w:tcW w:w="745" w:type="dxa"/>
                  <w:vMerge w:val="continue"/>
                  <w:noWrap w:val="0"/>
                  <w:vAlign w:val="center"/>
                </w:tcPr>
                <w:p w14:paraId="46774995">
                  <w:pPr>
                    <w:spacing w:line="240" w:lineRule="exact"/>
                    <w:ind w:firstLine="0" w:firstLineChars="0"/>
                    <w:jc w:val="center"/>
                    <w:rPr>
                      <w:rFonts w:hint="default" w:ascii="Times New Roman" w:hAnsi="Times New Roman" w:eastAsia="宋体" w:cs="Times New Roman"/>
                      <w:b w:val="0"/>
                      <w:bCs w:val="0"/>
                      <w:color w:val="auto"/>
                      <w:sz w:val="21"/>
                      <w:szCs w:val="21"/>
                    </w:rPr>
                  </w:pPr>
                </w:p>
              </w:tc>
              <w:tc>
                <w:tcPr>
                  <w:tcW w:w="745" w:type="dxa"/>
                  <w:noWrap w:val="0"/>
                  <w:vAlign w:val="center"/>
                </w:tcPr>
                <w:p w14:paraId="5939E306">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污染治理设施编号</w:t>
                  </w:r>
                </w:p>
              </w:tc>
              <w:tc>
                <w:tcPr>
                  <w:tcW w:w="746" w:type="dxa"/>
                  <w:noWrap w:val="0"/>
                  <w:vAlign w:val="center"/>
                </w:tcPr>
                <w:p w14:paraId="4DB44649">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污染治理设施名称</w:t>
                  </w:r>
                </w:p>
              </w:tc>
              <w:tc>
                <w:tcPr>
                  <w:tcW w:w="747" w:type="dxa"/>
                  <w:noWrap w:val="0"/>
                  <w:vAlign w:val="center"/>
                </w:tcPr>
                <w:p w14:paraId="0E77C47F">
                  <w:pPr>
                    <w:spacing w:line="24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污染治理设施工艺</w:t>
                  </w:r>
                </w:p>
              </w:tc>
              <w:tc>
                <w:tcPr>
                  <w:tcW w:w="659" w:type="dxa"/>
                  <w:vMerge w:val="continue"/>
                  <w:noWrap w:val="0"/>
                  <w:vAlign w:val="center"/>
                </w:tcPr>
                <w:p w14:paraId="01D11FD8">
                  <w:pPr>
                    <w:spacing w:line="240" w:lineRule="exact"/>
                    <w:ind w:firstLine="0" w:firstLineChars="0"/>
                    <w:jc w:val="center"/>
                    <w:rPr>
                      <w:rFonts w:hint="default" w:ascii="Times New Roman" w:hAnsi="Times New Roman" w:eastAsia="宋体" w:cs="Times New Roman"/>
                      <w:b w:val="0"/>
                      <w:bCs w:val="0"/>
                      <w:color w:val="auto"/>
                      <w:sz w:val="21"/>
                      <w:szCs w:val="21"/>
                    </w:rPr>
                  </w:pPr>
                </w:p>
              </w:tc>
              <w:tc>
                <w:tcPr>
                  <w:tcW w:w="755" w:type="dxa"/>
                  <w:vMerge w:val="continue"/>
                  <w:noWrap w:val="0"/>
                  <w:vAlign w:val="center"/>
                </w:tcPr>
                <w:p w14:paraId="52B2729E">
                  <w:pPr>
                    <w:spacing w:line="240" w:lineRule="exact"/>
                    <w:ind w:firstLine="0" w:firstLineChars="0"/>
                    <w:jc w:val="center"/>
                    <w:rPr>
                      <w:rFonts w:hint="default" w:ascii="Times New Roman" w:hAnsi="Times New Roman" w:eastAsia="宋体" w:cs="Times New Roman"/>
                      <w:b w:val="0"/>
                      <w:bCs w:val="0"/>
                      <w:color w:val="auto"/>
                      <w:sz w:val="21"/>
                      <w:szCs w:val="21"/>
                    </w:rPr>
                  </w:pPr>
                </w:p>
              </w:tc>
              <w:tc>
                <w:tcPr>
                  <w:tcW w:w="894" w:type="dxa"/>
                  <w:vMerge w:val="continue"/>
                  <w:noWrap w:val="0"/>
                  <w:vAlign w:val="center"/>
                </w:tcPr>
                <w:p w14:paraId="0983F890">
                  <w:pPr>
                    <w:spacing w:line="240" w:lineRule="exact"/>
                    <w:ind w:firstLine="0" w:firstLineChars="0"/>
                    <w:jc w:val="center"/>
                    <w:rPr>
                      <w:rFonts w:hint="default" w:ascii="Times New Roman" w:hAnsi="Times New Roman" w:eastAsia="宋体" w:cs="Times New Roman"/>
                      <w:b w:val="0"/>
                      <w:bCs w:val="0"/>
                      <w:color w:val="auto"/>
                      <w:sz w:val="21"/>
                      <w:szCs w:val="21"/>
                    </w:rPr>
                  </w:pPr>
                </w:p>
              </w:tc>
            </w:tr>
            <w:tr w14:paraId="1F8B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43" w:type="dxa"/>
                  <w:noWrap w:val="0"/>
                  <w:vAlign w:val="center"/>
                </w:tcPr>
                <w:p w14:paraId="14A71C2B">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451" w:type="dxa"/>
                  <w:noWrap w:val="0"/>
                  <w:vAlign w:val="center"/>
                </w:tcPr>
                <w:p w14:paraId="6AED2E04">
                  <w:pPr>
                    <w:spacing w:line="240" w:lineRule="exact"/>
                    <w:ind w:left="0" w:leftChars="0" w:right="0" w:rightChars="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lang w:val="en-US" w:eastAsia="zh-CN"/>
                    </w:rPr>
                    <w:t>生产废水</w:t>
                  </w:r>
                </w:p>
              </w:tc>
              <w:tc>
                <w:tcPr>
                  <w:tcW w:w="972" w:type="dxa"/>
                  <w:noWrap w:val="0"/>
                  <w:vAlign w:val="center"/>
                </w:tcPr>
                <w:p w14:paraId="123DA0B7">
                  <w:pPr>
                    <w:adjustRightInd w:val="0"/>
                    <w:snapToGrid w:val="0"/>
                    <w:spacing w:line="240" w:lineRule="exact"/>
                    <w:ind w:left="0" w:leftChars="0" w:right="0" w:right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24"/>
                      <w:sz w:val="21"/>
                      <w:szCs w:val="21"/>
                      <w:highlight w:val="none"/>
                      <w:lang w:val="en-US" w:eastAsia="zh-CN"/>
                    </w:rPr>
                    <w:t>SS</w:t>
                  </w:r>
                </w:p>
              </w:tc>
              <w:tc>
                <w:tcPr>
                  <w:tcW w:w="822" w:type="dxa"/>
                  <w:noWrap w:val="0"/>
                  <w:vAlign w:val="center"/>
                </w:tcPr>
                <w:p w14:paraId="5A85F6BA">
                  <w:pPr>
                    <w:spacing w:line="24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回用于生产</w:t>
                  </w:r>
                </w:p>
              </w:tc>
              <w:tc>
                <w:tcPr>
                  <w:tcW w:w="745" w:type="dxa"/>
                  <w:vMerge w:val="restart"/>
                  <w:noWrap w:val="0"/>
                  <w:vAlign w:val="center"/>
                </w:tcPr>
                <w:p w14:paraId="7A6D4434">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间断排放，排放期间流量不稳定且无规律，但不属于冲击型排放</w:t>
                  </w:r>
                </w:p>
                <w:p w14:paraId="49BEFDE3">
                  <w:pPr>
                    <w:spacing w:line="240" w:lineRule="exact"/>
                    <w:ind w:firstLine="0" w:firstLineChars="0"/>
                    <w:jc w:val="center"/>
                    <w:rPr>
                      <w:rFonts w:hint="eastAsia" w:ascii="Times New Roman" w:hAnsi="Times New Roman" w:eastAsia="宋体" w:cs="Times New Roman"/>
                      <w:b w:val="0"/>
                      <w:bCs w:val="0"/>
                      <w:color w:val="auto"/>
                      <w:sz w:val="21"/>
                      <w:szCs w:val="21"/>
                      <w:lang w:val="en-US" w:eastAsia="zh-CN"/>
                    </w:rPr>
                  </w:pPr>
                </w:p>
              </w:tc>
              <w:tc>
                <w:tcPr>
                  <w:tcW w:w="745" w:type="dxa"/>
                  <w:noWrap w:val="0"/>
                  <w:vAlign w:val="center"/>
                </w:tcPr>
                <w:p w14:paraId="4BA75AEA">
                  <w:pPr>
                    <w:spacing w:line="240" w:lineRule="exact"/>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TW001</w:t>
                  </w:r>
                </w:p>
              </w:tc>
              <w:tc>
                <w:tcPr>
                  <w:tcW w:w="746" w:type="dxa"/>
                  <w:noWrap w:val="0"/>
                  <w:vAlign w:val="center"/>
                </w:tcPr>
                <w:p w14:paraId="4E657180">
                  <w:pPr>
                    <w:spacing w:line="240" w:lineRule="exact"/>
                    <w:ind w:left="0" w:leftChars="0" w:right="0" w:rightChars="0"/>
                    <w:rPr>
                      <w:rFonts w:hint="default" w:ascii="Times New Roman" w:hAnsi="Times New Roman" w:eastAsia="宋体" w:cs="Times New Roman"/>
                      <w:b w:val="0"/>
                      <w:bCs w:val="0"/>
                      <w:color w:val="auto"/>
                      <w:sz w:val="21"/>
                      <w:szCs w:val="21"/>
                    </w:rPr>
                  </w:pPr>
                  <w:r>
                    <w:rPr>
                      <w:rFonts w:hint="eastAsia" w:cs="Times New Roman"/>
                      <w:color w:val="auto"/>
                      <w:sz w:val="21"/>
                      <w:szCs w:val="21"/>
                      <w:highlight w:val="none"/>
                      <w:lang w:val="en-US" w:eastAsia="zh-CN"/>
                    </w:rPr>
                    <w:t>沉淀池</w:t>
                  </w:r>
                </w:p>
              </w:tc>
              <w:tc>
                <w:tcPr>
                  <w:tcW w:w="747" w:type="dxa"/>
                  <w:noWrap w:val="0"/>
                  <w:vAlign w:val="center"/>
                </w:tcPr>
                <w:p w14:paraId="16006BB8">
                  <w:pPr>
                    <w:spacing w:line="240" w:lineRule="exact"/>
                    <w:ind w:left="0" w:leftChars="0" w:right="0" w:rightChars="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highlight w:val="none"/>
                      <w:lang w:eastAsia="zh-CN"/>
                    </w:rPr>
                    <w:t>沉淀</w:t>
                  </w:r>
                </w:p>
              </w:tc>
              <w:tc>
                <w:tcPr>
                  <w:tcW w:w="659" w:type="dxa"/>
                  <w:noWrap w:val="0"/>
                  <w:vAlign w:val="center"/>
                </w:tcPr>
                <w:p w14:paraId="071366AE">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755" w:type="dxa"/>
                  <w:vMerge w:val="restart"/>
                  <w:noWrap w:val="0"/>
                  <w:vAlign w:val="center"/>
                </w:tcPr>
                <w:p w14:paraId="208402A5">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是</w:t>
                  </w:r>
                </w:p>
                <w:p w14:paraId="71F8BC58">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否</w:t>
                  </w:r>
                </w:p>
              </w:tc>
              <w:tc>
                <w:tcPr>
                  <w:tcW w:w="894" w:type="dxa"/>
                  <w:vMerge w:val="restart"/>
                  <w:noWrap w:val="0"/>
                  <w:vAlign w:val="center"/>
                </w:tcPr>
                <w:p w14:paraId="082F024F">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企业总排</w:t>
                  </w:r>
                </w:p>
                <w:p w14:paraId="2CCE6122">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雨水排放</w:t>
                  </w:r>
                </w:p>
                <w:p w14:paraId="2B93FCBD">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清净下水排放</w:t>
                  </w:r>
                </w:p>
                <w:p w14:paraId="5C364150">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温排水排放</w:t>
                  </w:r>
                </w:p>
                <w:p w14:paraId="1637CF03">
                  <w:pPr>
                    <w:spacing w:line="240" w:lineRule="exact"/>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sym w:font="Wingdings 2" w:char="00A3"/>
                  </w:r>
                  <w:r>
                    <w:rPr>
                      <w:rFonts w:hint="default" w:ascii="Times New Roman" w:hAnsi="Times New Roman" w:eastAsia="宋体" w:cs="Times New Roman"/>
                      <w:b w:val="0"/>
                      <w:bCs w:val="0"/>
                      <w:color w:val="auto"/>
                      <w:sz w:val="21"/>
                      <w:szCs w:val="21"/>
                    </w:rPr>
                    <w:t>车间或车间处理设施排放口</w:t>
                  </w:r>
                </w:p>
                <w:p w14:paraId="75417ADE">
                  <w:pPr>
                    <w:spacing w:line="240" w:lineRule="exact"/>
                    <w:ind w:firstLine="0" w:firstLineChars="0"/>
                    <w:jc w:val="center"/>
                    <w:rPr>
                      <w:rFonts w:hint="eastAsia" w:ascii="Times New Roman" w:hAnsi="Times New Roman" w:eastAsia="宋体" w:cs="Times New Roman"/>
                      <w:b w:val="0"/>
                      <w:bCs w:val="0"/>
                      <w:color w:val="auto"/>
                      <w:sz w:val="21"/>
                      <w:szCs w:val="21"/>
                      <w:lang w:val="en-US" w:eastAsia="zh-CN"/>
                    </w:rPr>
                  </w:pPr>
                </w:p>
              </w:tc>
            </w:tr>
            <w:tr w14:paraId="7E62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43" w:type="dxa"/>
                  <w:noWrap w:val="0"/>
                  <w:vAlign w:val="center"/>
                </w:tcPr>
                <w:p w14:paraId="3C27EC43">
                  <w:pPr>
                    <w:spacing w:line="240" w:lineRule="exact"/>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451" w:type="dxa"/>
                  <w:noWrap w:val="0"/>
                  <w:vAlign w:val="center"/>
                </w:tcPr>
                <w:p w14:paraId="7D724F5C">
                  <w:pPr>
                    <w:spacing w:line="240" w:lineRule="exact"/>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972" w:type="dxa"/>
                  <w:noWrap w:val="0"/>
                  <w:vAlign w:val="center"/>
                </w:tcPr>
                <w:p w14:paraId="1A42B23D">
                  <w:pPr>
                    <w:adjustRightInd w:val="0"/>
                    <w:snapToGrid w:val="0"/>
                    <w:spacing w:line="240" w:lineRule="exact"/>
                    <w:ind w:left="0" w:leftChars="0" w:right="0" w:rightChars="0"/>
                    <w:rPr>
                      <w:rFonts w:hint="eastAsia" w:cs="Times New Roman"/>
                      <w:b w:val="0"/>
                      <w:bCs w:val="0"/>
                      <w:color w:val="auto"/>
                      <w:sz w:val="21"/>
                      <w:szCs w:val="21"/>
                      <w:lang w:val="en-US" w:eastAsia="zh-CN"/>
                    </w:rPr>
                  </w:pPr>
                  <w:r>
                    <w:rPr>
                      <w:rFonts w:hint="default" w:ascii="Times New Roman" w:hAnsi="Times New Roman" w:eastAsia="宋体" w:cs="Times New Roman"/>
                      <w:color w:val="auto"/>
                      <w:kern w:val="24"/>
                      <w:sz w:val="21"/>
                      <w:szCs w:val="21"/>
                      <w:highlight w:val="none"/>
                      <w:lang w:val="en-US" w:eastAsia="zh-CN"/>
                    </w:rPr>
                    <w:t>pH、COD、BOD</w:t>
                  </w:r>
                  <w:r>
                    <w:rPr>
                      <w:rFonts w:hint="default" w:ascii="Times New Roman" w:hAnsi="Times New Roman" w:eastAsia="宋体" w:cs="Times New Roman"/>
                      <w:color w:val="auto"/>
                      <w:kern w:val="24"/>
                      <w:sz w:val="21"/>
                      <w:szCs w:val="21"/>
                      <w:highlight w:val="none"/>
                      <w:vertAlign w:val="subscript"/>
                      <w:lang w:val="en-US" w:eastAsia="zh-CN"/>
                    </w:rPr>
                    <w:t>5</w:t>
                  </w:r>
                  <w:r>
                    <w:rPr>
                      <w:rFonts w:hint="default" w:ascii="Times New Roman" w:hAnsi="Times New Roman" w:eastAsia="宋体" w:cs="Times New Roman"/>
                      <w:color w:val="auto"/>
                      <w:kern w:val="24"/>
                      <w:sz w:val="21"/>
                      <w:szCs w:val="21"/>
                      <w:highlight w:val="none"/>
                      <w:lang w:val="en-US" w:eastAsia="zh-CN"/>
                    </w:rPr>
                    <w:t>、SS、NH</w:t>
                  </w:r>
                  <w:r>
                    <w:rPr>
                      <w:rFonts w:hint="default" w:ascii="Times New Roman" w:hAnsi="Times New Roman" w:eastAsia="宋体" w:cs="Times New Roman"/>
                      <w:color w:val="auto"/>
                      <w:kern w:val="24"/>
                      <w:sz w:val="21"/>
                      <w:szCs w:val="21"/>
                      <w:highlight w:val="none"/>
                      <w:vertAlign w:val="subscript"/>
                      <w:lang w:val="en-US" w:eastAsia="zh-CN"/>
                    </w:rPr>
                    <w:t>3</w:t>
                  </w:r>
                  <w:r>
                    <w:rPr>
                      <w:rFonts w:hint="default" w:ascii="Times New Roman" w:hAnsi="Times New Roman" w:eastAsia="宋体" w:cs="Times New Roman"/>
                      <w:color w:val="auto"/>
                      <w:kern w:val="24"/>
                      <w:sz w:val="21"/>
                      <w:szCs w:val="21"/>
                      <w:highlight w:val="none"/>
                      <w:lang w:val="en-US" w:eastAsia="zh-CN"/>
                    </w:rPr>
                    <w:t>-N、总磷</w:t>
                  </w:r>
                </w:p>
              </w:tc>
              <w:tc>
                <w:tcPr>
                  <w:tcW w:w="822" w:type="dxa"/>
                  <w:noWrap w:val="0"/>
                  <w:vAlign w:val="center"/>
                </w:tcPr>
                <w:p w14:paraId="0B649561">
                  <w:pPr>
                    <w:spacing w:line="240" w:lineRule="exact"/>
                    <w:ind w:firstLine="0" w:firstLineChars="0"/>
                    <w:jc w:val="center"/>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排入化粪池，定期清掏</w:t>
                  </w:r>
                </w:p>
              </w:tc>
              <w:tc>
                <w:tcPr>
                  <w:tcW w:w="745" w:type="dxa"/>
                  <w:vMerge w:val="continue"/>
                  <w:noWrap w:val="0"/>
                  <w:vAlign w:val="center"/>
                </w:tcPr>
                <w:p w14:paraId="2C035A61">
                  <w:pPr>
                    <w:spacing w:line="240" w:lineRule="exact"/>
                    <w:ind w:firstLine="0" w:firstLineChars="0"/>
                    <w:jc w:val="center"/>
                    <w:rPr>
                      <w:rFonts w:hint="eastAsia" w:ascii="Times New Roman" w:hAnsi="Times New Roman" w:eastAsia="宋体" w:cs="Times New Roman"/>
                      <w:b w:val="0"/>
                      <w:bCs w:val="0"/>
                      <w:color w:val="auto"/>
                      <w:sz w:val="21"/>
                      <w:szCs w:val="21"/>
                      <w:lang w:val="en-US" w:eastAsia="zh-CN"/>
                    </w:rPr>
                  </w:pPr>
                </w:p>
              </w:tc>
              <w:tc>
                <w:tcPr>
                  <w:tcW w:w="745" w:type="dxa"/>
                  <w:noWrap w:val="0"/>
                  <w:vAlign w:val="center"/>
                </w:tcPr>
                <w:p w14:paraId="164718D0">
                  <w:pPr>
                    <w:spacing w:line="240" w:lineRule="exact"/>
                    <w:ind w:firstLine="0" w:firstLineChars="0"/>
                    <w:jc w:val="center"/>
                    <w:rPr>
                      <w:rFonts w:hint="default"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w:t>
                  </w:r>
                </w:p>
              </w:tc>
              <w:tc>
                <w:tcPr>
                  <w:tcW w:w="746" w:type="dxa"/>
                  <w:noWrap w:val="0"/>
                  <w:vAlign w:val="center"/>
                </w:tcPr>
                <w:p w14:paraId="77B6915A">
                  <w:pPr>
                    <w:spacing w:line="240" w:lineRule="exact"/>
                    <w:ind w:left="0" w:leftChars="0" w:right="0" w:rightChars="0"/>
                    <w:rPr>
                      <w:rFonts w:hint="default"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rPr>
                    <w:t>——</w:t>
                  </w:r>
                </w:p>
              </w:tc>
              <w:tc>
                <w:tcPr>
                  <w:tcW w:w="747" w:type="dxa"/>
                  <w:noWrap w:val="0"/>
                  <w:vAlign w:val="center"/>
                </w:tcPr>
                <w:p w14:paraId="7F62C205">
                  <w:pPr>
                    <w:spacing w:line="240" w:lineRule="exact"/>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rPr>
                    <w:t>——</w:t>
                  </w:r>
                </w:p>
              </w:tc>
              <w:tc>
                <w:tcPr>
                  <w:tcW w:w="659" w:type="dxa"/>
                  <w:noWrap w:val="0"/>
                  <w:vAlign w:val="center"/>
                </w:tcPr>
                <w:p w14:paraId="5820B3E6">
                  <w:pPr>
                    <w:spacing w:line="240" w:lineRule="exact"/>
                    <w:ind w:firstLine="0" w:firstLineChars="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w:t>
                  </w:r>
                </w:p>
              </w:tc>
              <w:tc>
                <w:tcPr>
                  <w:tcW w:w="755" w:type="dxa"/>
                  <w:vMerge w:val="continue"/>
                  <w:noWrap w:val="0"/>
                  <w:vAlign w:val="center"/>
                </w:tcPr>
                <w:p w14:paraId="45CC27B7">
                  <w:pPr>
                    <w:spacing w:line="240" w:lineRule="exact"/>
                    <w:ind w:firstLine="0" w:firstLineChars="0"/>
                    <w:jc w:val="center"/>
                    <w:rPr>
                      <w:rFonts w:hint="eastAsia" w:ascii="Times New Roman" w:hAnsi="Times New Roman" w:eastAsia="宋体" w:cs="Times New Roman"/>
                      <w:b w:val="0"/>
                      <w:bCs w:val="0"/>
                      <w:color w:val="auto"/>
                      <w:sz w:val="21"/>
                      <w:szCs w:val="21"/>
                      <w:lang w:val="en-US" w:eastAsia="zh-CN"/>
                    </w:rPr>
                  </w:pPr>
                </w:p>
              </w:tc>
              <w:tc>
                <w:tcPr>
                  <w:tcW w:w="894" w:type="dxa"/>
                  <w:vMerge w:val="continue"/>
                  <w:noWrap w:val="0"/>
                  <w:vAlign w:val="center"/>
                </w:tcPr>
                <w:p w14:paraId="4CCB1368">
                  <w:pPr>
                    <w:spacing w:line="240" w:lineRule="exact"/>
                    <w:ind w:firstLine="0" w:firstLineChars="0"/>
                    <w:jc w:val="center"/>
                    <w:rPr>
                      <w:rFonts w:hint="eastAsia" w:ascii="Times New Roman" w:hAnsi="Times New Roman" w:eastAsia="宋体" w:cs="Times New Roman"/>
                      <w:b w:val="0"/>
                      <w:bCs w:val="0"/>
                      <w:color w:val="auto"/>
                      <w:sz w:val="21"/>
                      <w:szCs w:val="21"/>
                      <w:lang w:val="en-US" w:eastAsia="zh-CN"/>
                    </w:rPr>
                  </w:pPr>
                </w:p>
              </w:tc>
            </w:tr>
          </w:tbl>
          <w:p w14:paraId="509F7483">
            <w:pPr>
              <w:keepNext w:val="0"/>
              <w:keepLines w:val="0"/>
              <w:pageBreakBefore w:val="0"/>
              <w:widowControl w:val="0"/>
              <w:kinsoku/>
              <w:wordWrap/>
              <w:overflowPunct/>
              <w:topLinePunct w:val="0"/>
              <w:autoSpaceDE w:val="0"/>
              <w:autoSpaceDN w:val="0"/>
              <w:bidi w:val="0"/>
              <w:adjustRightInd w:val="0"/>
              <w:snapToGrid w:val="0"/>
              <w:spacing w:line="500" w:lineRule="exact"/>
              <w:ind w:leftChars="0"/>
              <w:jc w:val="left"/>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、声环境</w:t>
            </w:r>
          </w:p>
          <w:p w14:paraId="474118CE">
            <w:pPr>
              <w:pStyle w:val="7"/>
              <w:keepNext w:val="0"/>
              <w:keepLines w:val="0"/>
              <w:pageBreakBefore w:val="0"/>
              <w:widowControl w:val="0"/>
              <w:kinsoku/>
              <w:wordWrap/>
              <w:overflowPunct/>
              <w:topLinePunct w:val="0"/>
              <w:bidi w:val="0"/>
              <w:adjustRightInd w:val="0"/>
              <w:snapToGrid w:val="0"/>
              <w:spacing w:line="500" w:lineRule="exact"/>
              <w:ind w:leftChars="0"/>
              <w:jc w:val="left"/>
              <w:textAlignment w:val="auto"/>
              <w:rPr>
                <w:rFonts w:hint="default" w:ascii="Times New Roman" w:hAnsi="Times New Roman" w:eastAsia="宋体" w:cs="Times New Roman"/>
                <w:b/>
                <w:bCs/>
                <w:color w:val="auto"/>
                <w:lang w:val="en-US" w:eastAsia="zh-CN"/>
              </w:rPr>
            </w:pPr>
            <w:r>
              <w:rPr>
                <w:rFonts w:hint="eastAsia" w:eastAsia="宋体" w:cs="Times New Roman"/>
                <w:b/>
                <w:bCs/>
                <w:color w:val="auto"/>
                <w:lang w:val="en-US" w:eastAsia="zh-CN"/>
              </w:rPr>
              <w:t>3</w:t>
            </w:r>
            <w:r>
              <w:rPr>
                <w:rFonts w:hint="default" w:ascii="Times New Roman" w:hAnsi="Times New Roman" w:eastAsia="宋体" w:cs="Times New Roman"/>
                <w:b/>
                <w:bCs/>
                <w:color w:val="auto"/>
                <w:lang w:val="en-US" w:eastAsia="zh-CN"/>
              </w:rPr>
              <w:t>.1噪声源强及降噪措施</w:t>
            </w:r>
          </w:p>
          <w:p w14:paraId="08E5EA2A">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）噪声源强</w:t>
            </w:r>
          </w:p>
          <w:p w14:paraId="2F84CCC5">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lang w:eastAsia="zh-CN"/>
              </w:rPr>
              <w:t>本项目主要噪声源为</w:t>
            </w:r>
            <w:r>
              <w:rPr>
                <w:rFonts w:hint="eastAsia" w:cs="Times New Roman"/>
                <w:color w:val="auto"/>
                <w:highlight w:val="none"/>
                <w:lang w:eastAsia="zh-CN"/>
              </w:rPr>
              <w:t>振动筛</w:t>
            </w:r>
            <w:r>
              <w:rPr>
                <w:rFonts w:hint="default" w:ascii="Times New Roman" w:hAnsi="Times New Roman" w:eastAsia="宋体" w:cs="Times New Roman"/>
                <w:color w:val="auto"/>
                <w:highlight w:val="none"/>
                <w:lang w:eastAsia="zh-CN"/>
              </w:rPr>
              <w:t>、</w:t>
            </w:r>
            <w:r>
              <w:rPr>
                <w:rFonts w:hint="eastAsia" w:cs="Times New Roman"/>
                <w:color w:val="auto"/>
                <w:sz w:val="24"/>
                <w:highlight w:val="none"/>
                <w:lang w:eastAsia="zh-CN"/>
              </w:rPr>
              <w:t>高频筛</w:t>
            </w:r>
            <w:r>
              <w:rPr>
                <w:rFonts w:hint="default" w:ascii="Times New Roman" w:hAnsi="Times New Roman" w:eastAsia="宋体" w:cs="Times New Roman"/>
                <w:color w:val="auto"/>
                <w:lang w:eastAsia="zh-CN"/>
              </w:rPr>
              <w:t>、</w:t>
            </w:r>
            <w:r>
              <w:rPr>
                <w:rFonts w:hint="eastAsia" w:cs="Times New Roman"/>
                <w:color w:val="auto"/>
                <w:lang w:eastAsia="zh-CN"/>
              </w:rPr>
              <w:t>滚筒筛</w:t>
            </w:r>
            <w:r>
              <w:rPr>
                <w:rFonts w:hint="default" w:ascii="Times New Roman" w:hAnsi="Times New Roman" w:eastAsia="宋体" w:cs="Times New Roman"/>
                <w:color w:val="auto"/>
                <w:lang w:eastAsia="zh-CN"/>
              </w:rPr>
              <w:t>、皮带输送机、</w:t>
            </w:r>
            <w:r>
              <w:rPr>
                <w:rFonts w:hint="eastAsia" w:cs="Times New Roman"/>
                <w:color w:val="auto"/>
                <w:lang w:eastAsia="zh-CN"/>
              </w:rPr>
              <w:t>磁滑轮</w:t>
            </w:r>
            <w:r>
              <w:rPr>
                <w:rFonts w:hint="default" w:ascii="Times New Roman" w:hAnsi="Times New Roman" w:eastAsia="宋体" w:cs="Times New Roman"/>
                <w:color w:val="auto"/>
                <w:lang w:eastAsia="zh-CN"/>
              </w:rPr>
              <w:t>、</w:t>
            </w:r>
            <w:r>
              <w:rPr>
                <w:rFonts w:hint="eastAsia" w:cs="Times New Roman"/>
                <w:color w:val="auto"/>
                <w:lang w:eastAsia="zh-CN"/>
              </w:rPr>
              <w:t>球磨机</w:t>
            </w:r>
            <w:r>
              <w:rPr>
                <w:rFonts w:hint="default" w:ascii="Times New Roman" w:hAnsi="Times New Roman" w:eastAsia="宋体" w:cs="Times New Roman"/>
                <w:color w:val="auto"/>
                <w:spacing w:val="0"/>
                <w:sz w:val="24"/>
                <w:szCs w:val="32"/>
              </w:rPr>
              <w:t>等设备</w:t>
            </w:r>
            <w:r>
              <w:rPr>
                <w:rFonts w:hint="default" w:ascii="Times New Roman" w:hAnsi="Times New Roman" w:eastAsia="宋体" w:cs="Times New Roman"/>
                <w:color w:val="auto"/>
                <w:spacing w:val="0"/>
                <w:sz w:val="24"/>
                <w:szCs w:val="32"/>
                <w:lang w:eastAsia="zh-CN"/>
              </w:rPr>
              <w:t>，</w:t>
            </w:r>
            <w:r>
              <w:rPr>
                <w:rFonts w:hint="default" w:ascii="Times New Roman" w:hAnsi="Times New Roman" w:eastAsia="宋体" w:cs="Times New Roman"/>
                <w:color w:val="auto"/>
                <w:spacing w:val="0"/>
                <w:kern w:val="24"/>
                <w:sz w:val="24"/>
              </w:rPr>
              <w:t>噪声源强为</w:t>
            </w:r>
            <w:r>
              <w:rPr>
                <w:rFonts w:hint="default" w:ascii="Times New Roman" w:hAnsi="Times New Roman" w:eastAsia="宋体" w:cs="Times New Roman"/>
                <w:color w:val="auto"/>
                <w:spacing w:val="0"/>
                <w:kern w:val="24"/>
                <w:sz w:val="24"/>
                <w:lang w:val="en-US" w:eastAsia="zh-CN"/>
              </w:rPr>
              <w:t>7</w:t>
            </w:r>
            <w:r>
              <w:rPr>
                <w:rFonts w:hint="eastAsia" w:cs="Times New Roman"/>
                <w:color w:val="auto"/>
                <w:spacing w:val="0"/>
                <w:kern w:val="24"/>
                <w:sz w:val="24"/>
                <w:lang w:val="en-US" w:eastAsia="zh-CN"/>
              </w:rPr>
              <w:t>0</w:t>
            </w:r>
            <w:r>
              <w:rPr>
                <w:rFonts w:hint="default" w:ascii="Times New Roman" w:hAnsi="Times New Roman" w:eastAsia="宋体" w:cs="Times New Roman"/>
                <w:color w:val="auto"/>
                <w:spacing w:val="0"/>
                <w:kern w:val="24"/>
                <w:sz w:val="24"/>
                <w:lang w:val="en-US" w:eastAsia="zh-CN"/>
              </w:rPr>
              <w:t>~95</w:t>
            </w:r>
            <w:r>
              <w:rPr>
                <w:rFonts w:hint="default" w:ascii="Times New Roman" w:hAnsi="Times New Roman" w:eastAsia="宋体" w:cs="Times New Roman"/>
                <w:color w:val="auto"/>
                <w:spacing w:val="0"/>
                <w:kern w:val="24"/>
                <w:sz w:val="24"/>
              </w:rPr>
              <w:t>dB（A）</w:t>
            </w:r>
            <w:r>
              <w:rPr>
                <w:rFonts w:hint="default" w:ascii="Times New Roman" w:hAnsi="Times New Roman" w:eastAsia="宋体" w:cs="Times New Roman"/>
                <w:color w:val="auto"/>
                <w:spacing w:val="0"/>
                <w:sz w:val="24"/>
                <w:szCs w:val="32"/>
                <w:lang w:eastAsia="zh-CN"/>
              </w:rPr>
              <w:t>。</w:t>
            </w:r>
            <w:r>
              <w:rPr>
                <w:rFonts w:hint="default" w:ascii="Times New Roman" w:hAnsi="Times New Roman" w:eastAsia="宋体" w:cs="Times New Roman"/>
                <w:color w:val="auto"/>
                <w:lang w:eastAsia="zh-CN"/>
              </w:rPr>
              <w:t>运输噪声源于车辆噪声</w:t>
            </w:r>
            <w:r>
              <w:rPr>
                <w:rFonts w:hint="default" w:ascii="Times New Roman" w:hAnsi="Times New Roman" w:eastAsia="宋体" w:cs="Times New Roman"/>
                <w:color w:val="auto"/>
              </w:rPr>
              <w:t>，噪声源强</w:t>
            </w:r>
            <w:r>
              <w:rPr>
                <w:rFonts w:hint="default" w:ascii="Times New Roman" w:hAnsi="Times New Roman" w:eastAsia="宋体" w:cs="Times New Roman"/>
                <w:color w:val="auto"/>
                <w:lang w:eastAsia="zh-CN"/>
              </w:rPr>
              <w:t>一般</w:t>
            </w:r>
            <w:r>
              <w:rPr>
                <w:rFonts w:hint="default" w:ascii="Times New Roman" w:hAnsi="Times New Roman" w:eastAsia="宋体" w:cs="Times New Roman"/>
                <w:color w:val="auto"/>
              </w:rPr>
              <w:t>为</w:t>
            </w:r>
            <w:r>
              <w:rPr>
                <w:rFonts w:hint="default" w:ascii="Times New Roman" w:hAnsi="Times New Roman" w:eastAsia="宋体" w:cs="Times New Roman"/>
                <w:color w:val="auto"/>
                <w:lang w:val="en-US" w:eastAsia="zh-CN"/>
              </w:rPr>
              <w:t>6</w:t>
            </w:r>
            <w:r>
              <w:rPr>
                <w:rFonts w:hint="eastAsia" w:cs="Times New Roman"/>
                <w:color w:val="auto"/>
                <w:lang w:val="en-US" w:eastAsia="zh-CN"/>
              </w:rPr>
              <w:t>0</w:t>
            </w:r>
            <w:r>
              <w:rPr>
                <w:rFonts w:hint="default" w:ascii="Times New Roman" w:hAnsi="Times New Roman" w:eastAsia="宋体" w:cs="Times New Roman"/>
                <w:color w:val="auto"/>
                <w:lang w:val="en-US" w:eastAsia="zh-CN"/>
              </w:rPr>
              <w:t>~85</w:t>
            </w:r>
            <w:r>
              <w:rPr>
                <w:rFonts w:hint="default" w:ascii="Times New Roman" w:hAnsi="Times New Roman" w:eastAsia="宋体" w:cs="Times New Roman"/>
                <w:color w:val="auto"/>
              </w:rPr>
              <w:t>dB（A）。</w:t>
            </w:r>
            <w:r>
              <w:rPr>
                <w:rFonts w:hint="default" w:ascii="Times New Roman" w:hAnsi="Times New Roman" w:eastAsia="宋体" w:cs="Times New Roman"/>
                <w:color w:val="auto"/>
                <w:szCs w:val="24"/>
              </w:rPr>
              <w:t>建设单位拟采取的治理措施如下：</w:t>
            </w:r>
          </w:p>
          <w:p w14:paraId="7316D5DC">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520" w:firstLineChars="200"/>
              <w:jc w:val="left"/>
              <w:textAlignment w:val="auto"/>
              <w:outlineLvl w:val="9"/>
              <w:rPr>
                <w:rFonts w:hint="default" w:ascii="Times New Roman" w:hAnsi="Times New Roman" w:eastAsia="宋体" w:cs="Times New Roman"/>
                <w:color w:val="auto"/>
                <w:spacing w:val="10"/>
                <w:sz w:val="24"/>
              </w:rPr>
            </w:pPr>
            <w:r>
              <w:rPr>
                <w:rFonts w:hint="default" w:ascii="Times New Roman" w:hAnsi="Times New Roman" w:eastAsia="宋体" w:cs="Times New Roman"/>
                <w:color w:val="auto"/>
                <w:spacing w:val="10"/>
                <w:sz w:val="24"/>
                <w:lang w:eastAsia="zh-CN"/>
              </w:rPr>
              <w:t>①</w:t>
            </w:r>
            <w:r>
              <w:rPr>
                <w:rFonts w:hint="default" w:ascii="Times New Roman" w:hAnsi="Times New Roman" w:eastAsia="宋体" w:cs="Times New Roman"/>
                <w:color w:val="auto"/>
                <w:spacing w:val="10"/>
                <w:sz w:val="24"/>
              </w:rPr>
              <w:t>设备选型时，选用低噪声设备；</w:t>
            </w:r>
          </w:p>
          <w:p w14:paraId="10A3DF79">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520" w:firstLineChars="200"/>
              <w:jc w:val="left"/>
              <w:textAlignment w:val="auto"/>
              <w:outlineLvl w:val="9"/>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pacing w:val="10"/>
                <w:sz w:val="24"/>
                <w:lang w:eastAsia="zh-CN"/>
              </w:rPr>
              <w:t>②</w:t>
            </w:r>
            <w:r>
              <w:rPr>
                <w:rFonts w:hint="default" w:ascii="Times New Roman" w:hAnsi="Times New Roman" w:eastAsia="宋体" w:cs="Times New Roman"/>
                <w:color w:val="auto"/>
                <w:spacing w:val="10"/>
                <w:sz w:val="24"/>
              </w:rPr>
              <w:t>增加基础</w:t>
            </w:r>
            <w:r>
              <w:rPr>
                <w:rFonts w:hint="default" w:ascii="Times New Roman" w:hAnsi="Times New Roman" w:eastAsia="宋体" w:cs="Times New Roman"/>
                <w:color w:val="auto"/>
                <w:spacing w:val="10"/>
                <w:sz w:val="24"/>
                <w:lang w:eastAsia="zh-CN"/>
              </w:rPr>
              <w:t>减振</w:t>
            </w:r>
            <w:r>
              <w:rPr>
                <w:rFonts w:hint="default" w:ascii="Times New Roman" w:hAnsi="Times New Roman" w:eastAsia="宋体" w:cs="Times New Roman"/>
                <w:color w:val="auto"/>
                <w:spacing w:val="10"/>
                <w:sz w:val="24"/>
              </w:rPr>
              <w:t>垫：</w:t>
            </w:r>
            <w:r>
              <w:rPr>
                <w:rFonts w:hint="eastAsia" w:cs="Times New Roman"/>
                <w:color w:val="auto"/>
                <w:highlight w:val="none"/>
                <w:lang w:eastAsia="zh-CN"/>
              </w:rPr>
              <w:t>振动筛</w:t>
            </w:r>
            <w:r>
              <w:rPr>
                <w:rFonts w:hint="default" w:ascii="Times New Roman" w:hAnsi="Times New Roman" w:eastAsia="宋体" w:cs="Times New Roman"/>
                <w:color w:val="auto"/>
                <w:highlight w:val="none"/>
                <w:lang w:eastAsia="zh-CN"/>
              </w:rPr>
              <w:t>、</w:t>
            </w:r>
            <w:r>
              <w:rPr>
                <w:rFonts w:hint="eastAsia" w:cs="Times New Roman"/>
                <w:color w:val="auto"/>
                <w:sz w:val="24"/>
                <w:highlight w:val="none"/>
                <w:lang w:eastAsia="zh-CN"/>
              </w:rPr>
              <w:t>高频筛</w:t>
            </w:r>
            <w:r>
              <w:rPr>
                <w:rFonts w:hint="default" w:ascii="Times New Roman" w:hAnsi="Times New Roman" w:eastAsia="宋体" w:cs="Times New Roman"/>
                <w:color w:val="auto"/>
                <w:lang w:eastAsia="zh-CN"/>
              </w:rPr>
              <w:t>、</w:t>
            </w:r>
            <w:r>
              <w:rPr>
                <w:rFonts w:hint="eastAsia" w:cs="Times New Roman"/>
                <w:color w:val="auto"/>
                <w:lang w:eastAsia="zh-CN"/>
              </w:rPr>
              <w:t>滚筒</w:t>
            </w:r>
            <w:r>
              <w:rPr>
                <w:rFonts w:hint="default" w:ascii="Times New Roman" w:hAnsi="Times New Roman" w:eastAsia="宋体" w:cs="Times New Roman"/>
                <w:color w:val="auto"/>
                <w:lang w:eastAsia="zh-CN"/>
              </w:rPr>
              <w:t>、皮带输送机、</w:t>
            </w:r>
            <w:r>
              <w:rPr>
                <w:rFonts w:hint="eastAsia" w:cs="Times New Roman"/>
                <w:color w:val="auto"/>
                <w:lang w:eastAsia="zh-CN"/>
              </w:rPr>
              <w:t>磁滑轮</w:t>
            </w:r>
            <w:r>
              <w:rPr>
                <w:rFonts w:hint="default" w:ascii="Times New Roman" w:hAnsi="Times New Roman" w:eastAsia="宋体" w:cs="Times New Roman"/>
                <w:color w:val="auto"/>
                <w:lang w:eastAsia="zh-CN"/>
              </w:rPr>
              <w:t>、</w:t>
            </w:r>
            <w:r>
              <w:rPr>
                <w:rFonts w:hint="eastAsia" w:cs="Times New Roman"/>
                <w:color w:val="auto"/>
                <w:lang w:eastAsia="zh-CN"/>
              </w:rPr>
              <w:t>球磨机</w:t>
            </w:r>
            <w:r>
              <w:rPr>
                <w:rFonts w:hint="default" w:ascii="Times New Roman" w:hAnsi="Times New Roman" w:eastAsia="宋体" w:cs="Times New Roman"/>
                <w:color w:val="auto"/>
                <w:kern w:val="0"/>
                <w:sz w:val="24"/>
              </w:rPr>
              <w:t>等</w:t>
            </w:r>
            <w:r>
              <w:rPr>
                <w:rFonts w:hint="default" w:ascii="Times New Roman" w:hAnsi="Times New Roman" w:eastAsia="宋体" w:cs="Times New Roman"/>
                <w:color w:val="auto"/>
                <w:kern w:val="0"/>
                <w:sz w:val="24"/>
                <w:lang w:eastAsia="zh-CN"/>
              </w:rPr>
              <w:t>生产</w:t>
            </w:r>
            <w:r>
              <w:rPr>
                <w:rFonts w:hint="default" w:ascii="Times New Roman" w:hAnsi="Times New Roman" w:eastAsia="宋体" w:cs="Times New Roman"/>
                <w:color w:val="auto"/>
                <w:kern w:val="0"/>
                <w:sz w:val="24"/>
              </w:rPr>
              <w:t>设备增加基础</w:t>
            </w:r>
            <w:r>
              <w:rPr>
                <w:rFonts w:hint="default" w:ascii="Times New Roman" w:hAnsi="Times New Roman" w:eastAsia="宋体" w:cs="Times New Roman"/>
                <w:color w:val="auto"/>
                <w:kern w:val="0"/>
                <w:sz w:val="24"/>
                <w:lang w:eastAsia="zh-CN"/>
              </w:rPr>
              <w:t>减振</w:t>
            </w:r>
            <w:r>
              <w:rPr>
                <w:rFonts w:hint="default" w:ascii="Times New Roman" w:hAnsi="Times New Roman" w:eastAsia="宋体" w:cs="Times New Roman"/>
                <w:color w:val="auto"/>
                <w:kern w:val="0"/>
                <w:sz w:val="24"/>
              </w:rPr>
              <w:t>垫；</w:t>
            </w:r>
          </w:p>
          <w:p w14:paraId="5878A041">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4"/>
                <w:lang w:eastAsia="zh-CN"/>
              </w:rPr>
              <w:t>③加强管理，</w:t>
            </w:r>
            <w:r>
              <w:rPr>
                <w:rFonts w:hint="default" w:ascii="Times New Roman" w:hAnsi="Times New Roman" w:eastAsia="宋体" w:cs="Times New Roman"/>
                <w:color w:val="auto"/>
                <w:lang w:eastAsia="zh-CN"/>
              </w:rPr>
              <w:t>定期检修老化机器设备。</w:t>
            </w:r>
          </w:p>
          <w:p w14:paraId="15BCBDA4">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520" w:firstLineChars="200"/>
              <w:jc w:val="left"/>
              <w:textAlignment w:val="auto"/>
              <w:outlineLvl w:val="9"/>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pacing w:val="10"/>
                <w:sz w:val="24"/>
              </w:rPr>
              <w:t>采取上述措施后，可综合降噪</w:t>
            </w:r>
            <w:r>
              <w:rPr>
                <w:rFonts w:hint="default" w:ascii="Times New Roman" w:hAnsi="Times New Roman" w:eastAsia="宋体" w:cs="Times New Roman"/>
                <w:color w:val="auto"/>
                <w:spacing w:val="10"/>
                <w:sz w:val="24"/>
                <w:lang w:val="en-US" w:eastAsia="zh-CN"/>
              </w:rPr>
              <w:t>10</w:t>
            </w:r>
            <w:r>
              <w:rPr>
                <w:rFonts w:hint="default" w:ascii="Times New Roman" w:hAnsi="Times New Roman" w:eastAsia="宋体" w:cs="Times New Roman"/>
                <w:color w:val="auto"/>
                <w:kern w:val="24"/>
                <w:sz w:val="24"/>
              </w:rPr>
              <w:t>dB（A）</w:t>
            </w:r>
            <w:r>
              <w:rPr>
                <w:rFonts w:hint="default" w:ascii="Times New Roman" w:hAnsi="Times New Roman" w:eastAsia="宋体" w:cs="Times New Roman"/>
                <w:color w:val="auto"/>
                <w:kern w:val="24"/>
                <w:sz w:val="24"/>
                <w:lang w:eastAsia="zh-CN"/>
              </w:rPr>
              <w:t>以上</w:t>
            </w:r>
            <w:r>
              <w:rPr>
                <w:rFonts w:hint="default" w:ascii="Times New Roman" w:hAnsi="Times New Roman" w:eastAsia="宋体" w:cs="Times New Roman"/>
                <w:color w:val="auto"/>
                <w:kern w:val="0"/>
                <w:sz w:val="24"/>
              </w:rPr>
              <w:t>。</w:t>
            </w:r>
          </w:p>
          <w:p w14:paraId="499ADDE1">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4-1</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噪声污染源强及治理</w:t>
            </w:r>
            <w:r>
              <w:rPr>
                <w:rFonts w:hint="default" w:ascii="Times New Roman" w:hAnsi="Times New Roman" w:eastAsia="宋体" w:cs="Times New Roman"/>
                <w:b/>
                <w:bCs/>
                <w:color w:val="auto"/>
                <w:sz w:val="21"/>
                <w:szCs w:val="21"/>
                <w:highlight w:val="none"/>
                <w:lang w:eastAsia="zh-CN"/>
              </w:rPr>
              <w:t>后声级</w:t>
            </w:r>
            <w:r>
              <w:rPr>
                <w:rFonts w:hint="default" w:ascii="Times New Roman" w:hAnsi="Times New Roman" w:eastAsia="宋体" w:cs="Times New Roman"/>
                <w:b/>
                <w:bCs/>
                <w:color w:val="auto"/>
                <w:sz w:val="21"/>
                <w:szCs w:val="21"/>
                <w:highlight w:val="none"/>
              </w:rPr>
              <w:t>表</w:t>
            </w:r>
          </w:p>
          <w:tbl>
            <w:tblPr>
              <w:tblStyle w:val="21"/>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594"/>
              <w:gridCol w:w="1045"/>
              <w:gridCol w:w="1191"/>
              <w:gridCol w:w="1978"/>
              <w:gridCol w:w="1219"/>
              <w:gridCol w:w="849"/>
            </w:tblGrid>
            <w:tr w14:paraId="31F6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pct"/>
                  <w:noWrap w:val="0"/>
                  <w:vAlign w:val="center"/>
                </w:tcPr>
                <w:p w14:paraId="356290D0">
                  <w:pPr>
                    <w:pStyle w:val="43"/>
                    <w:spacing w:beforeLines="0" w:afterLines="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372" w:type="pct"/>
                  <w:noWrap w:val="0"/>
                  <w:vAlign w:val="center"/>
                </w:tcPr>
                <w:p w14:paraId="4016C0B4">
                  <w:pPr>
                    <w:pStyle w:val="43"/>
                    <w:spacing w:beforeLines="0" w:afterLines="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654" w:type="pct"/>
                  <w:noWrap w:val="0"/>
                  <w:vAlign w:val="center"/>
                </w:tcPr>
                <w:p w14:paraId="67614695">
                  <w:pPr>
                    <w:pStyle w:val="43"/>
                    <w:spacing w:beforeLines="0" w:afterLines="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噪声源强dB(A)</w:t>
                  </w:r>
                </w:p>
              </w:tc>
              <w:tc>
                <w:tcPr>
                  <w:tcW w:w="746" w:type="pct"/>
                  <w:noWrap w:val="0"/>
                  <w:vAlign w:val="center"/>
                </w:tcPr>
                <w:p w14:paraId="496150B3">
                  <w:pPr>
                    <w:pStyle w:val="43"/>
                    <w:spacing w:beforeLines="0" w:afterLines="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声源位置</w:t>
                  </w:r>
                </w:p>
              </w:tc>
              <w:tc>
                <w:tcPr>
                  <w:tcW w:w="1239" w:type="pct"/>
                  <w:noWrap w:val="0"/>
                  <w:vAlign w:val="center"/>
                </w:tcPr>
                <w:p w14:paraId="3949BB9A">
                  <w:pPr>
                    <w:pStyle w:val="43"/>
                    <w:spacing w:beforeLines="0" w:afterLines="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降噪措施</w:t>
                  </w:r>
                </w:p>
              </w:tc>
              <w:tc>
                <w:tcPr>
                  <w:tcW w:w="763" w:type="pct"/>
                  <w:noWrap w:val="0"/>
                  <w:vAlign w:val="center"/>
                </w:tcPr>
                <w:p w14:paraId="159024B2">
                  <w:pPr>
                    <w:pStyle w:val="43"/>
                    <w:spacing w:beforeLines="0" w:afterLines="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排放强度dB(A)</w:t>
                  </w:r>
                </w:p>
              </w:tc>
              <w:tc>
                <w:tcPr>
                  <w:tcW w:w="532" w:type="pct"/>
                  <w:noWrap w:val="0"/>
                  <w:vAlign w:val="center"/>
                </w:tcPr>
                <w:p w14:paraId="2F7DA26E">
                  <w:pPr>
                    <w:pStyle w:val="43"/>
                    <w:spacing w:beforeLines="0" w:afterLines="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持续时间</w:t>
                  </w:r>
                </w:p>
              </w:tc>
            </w:tr>
            <w:tr w14:paraId="3A9D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5157B5B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bidi="zh-CN"/>
                    </w:rPr>
                    <w:t>振动筛</w:t>
                  </w:r>
                </w:p>
              </w:tc>
              <w:tc>
                <w:tcPr>
                  <w:tcW w:w="372" w:type="pct"/>
                  <w:noWrap w:val="0"/>
                  <w:vAlign w:val="center"/>
                </w:tcPr>
                <w:p w14:paraId="37261F30">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654" w:type="pct"/>
                  <w:noWrap w:val="0"/>
                  <w:vAlign w:val="center"/>
                </w:tcPr>
                <w:p w14:paraId="05ECFF55">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746" w:type="pct"/>
                  <w:vMerge w:val="restart"/>
                  <w:noWrap w:val="0"/>
                  <w:vAlign w:val="center"/>
                </w:tcPr>
                <w:p w14:paraId="47334B4A">
                  <w:pPr>
                    <w:pStyle w:val="43"/>
                    <w:spacing w:beforeLines="0" w:afterLines="0"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位于封闭式生产车间内部</w:t>
                  </w:r>
                </w:p>
              </w:tc>
              <w:tc>
                <w:tcPr>
                  <w:tcW w:w="1239" w:type="pct"/>
                  <w:vMerge w:val="restart"/>
                  <w:noWrap w:val="0"/>
                  <w:vAlign w:val="center"/>
                </w:tcPr>
                <w:p w14:paraId="6B47D6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lang w:eastAsia="zh-CN"/>
                    </w:rPr>
                    <w:t>①</w:t>
                  </w:r>
                  <w:r>
                    <w:rPr>
                      <w:rFonts w:hint="default" w:ascii="Times New Roman" w:hAnsi="Times New Roman" w:eastAsia="宋体" w:cs="Times New Roman"/>
                      <w:color w:val="auto"/>
                      <w:spacing w:val="10"/>
                      <w:sz w:val="21"/>
                      <w:szCs w:val="21"/>
                    </w:rPr>
                    <w:t>设备选型时，选用低噪声设备；</w:t>
                  </w:r>
                </w:p>
                <w:p w14:paraId="7E59F7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10"/>
                      <w:sz w:val="21"/>
                      <w:szCs w:val="21"/>
                      <w:lang w:eastAsia="zh-CN"/>
                    </w:rPr>
                    <w:t>②</w:t>
                  </w:r>
                  <w:r>
                    <w:rPr>
                      <w:rFonts w:hint="default" w:ascii="Times New Roman" w:hAnsi="Times New Roman" w:eastAsia="宋体" w:cs="Times New Roman"/>
                      <w:color w:val="auto"/>
                      <w:spacing w:val="10"/>
                      <w:sz w:val="21"/>
                      <w:szCs w:val="21"/>
                    </w:rPr>
                    <w:t>增加基础</w:t>
                  </w:r>
                  <w:r>
                    <w:rPr>
                      <w:rFonts w:hint="default" w:ascii="Times New Roman" w:hAnsi="Times New Roman" w:eastAsia="宋体" w:cs="Times New Roman"/>
                      <w:color w:val="auto"/>
                      <w:spacing w:val="10"/>
                      <w:sz w:val="21"/>
                      <w:szCs w:val="21"/>
                      <w:lang w:eastAsia="zh-CN"/>
                    </w:rPr>
                    <w:t>减振</w:t>
                  </w:r>
                  <w:r>
                    <w:rPr>
                      <w:rFonts w:hint="default" w:ascii="Times New Roman" w:hAnsi="Times New Roman" w:eastAsia="宋体" w:cs="Times New Roman"/>
                      <w:color w:val="auto"/>
                      <w:spacing w:val="10"/>
                      <w:sz w:val="21"/>
                      <w:szCs w:val="21"/>
                    </w:rPr>
                    <w:t>垫：</w:t>
                  </w:r>
                  <w:r>
                    <w:rPr>
                      <w:rFonts w:hint="eastAsia" w:cs="Times New Roman"/>
                      <w:color w:val="auto"/>
                      <w:sz w:val="21"/>
                      <w:szCs w:val="21"/>
                      <w:highlight w:val="none"/>
                      <w:lang w:eastAsia="zh-CN"/>
                    </w:rPr>
                    <w:t>振动筛</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高频筛</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滚筒</w:t>
                  </w:r>
                  <w:r>
                    <w:rPr>
                      <w:rFonts w:hint="default" w:ascii="Times New Roman" w:hAnsi="Times New Roman" w:eastAsia="宋体" w:cs="Times New Roman"/>
                      <w:color w:val="auto"/>
                      <w:sz w:val="21"/>
                      <w:szCs w:val="21"/>
                      <w:lang w:eastAsia="zh-CN"/>
                    </w:rPr>
                    <w:t>、皮带输送机、</w:t>
                  </w:r>
                  <w:r>
                    <w:rPr>
                      <w:rFonts w:hint="eastAsia" w:cs="Times New Roman"/>
                      <w:color w:val="auto"/>
                      <w:sz w:val="21"/>
                      <w:szCs w:val="21"/>
                      <w:lang w:eastAsia="zh-CN"/>
                    </w:rPr>
                    <w:t>磁滑轮</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球磨机</w:t>
                  </w:r>
                  <w:r>
                    <w:rPr>
                      <w:rFonts w:hint="default" w:ascii="Times New Roman" w:hAnsi="Times New Roman" w:eastAsia="宋体" w:cs="Times New Roman"/>
                      <w:color w:val="auto"/>
                      <w:kern w:val="0"/>
                      <w:sz w:val="21"/>
                      <w:szCs w:val="21"/>
                    </w:rPr>
                    <w:t>等</w:t>
                  </w:r>
                  <w:r>
                    <w:rPr>
                      <w:rFonts w:hint="default" w:ascii="Times New Roman" w:hAnsi="Times New Roman" w:eastAsia="宋体" w:cs="Times New Roman"/>
                      <w:color w:val="auto"/>
                      <w:kern w:val="0"/>
                      <w:sz w:val="21"/>
                      <w:szCs w:val="21"/>
                      <w:lang w:eastAsia="zh-CN"/>
                    </w:rPr>
                    <w:t>生产</w:t>
                  </w:r>
                  <w:r>
                    <w:rPr>
                      <w:rFonts w:hint="default" w:ascii="Times New Roman" w:hAnsi="Times New Roman" w:eastAsia="宋体" w:cs="Times New Roman"/>
                      <w:color w:val="auto"/>
                      <w:kern w:val="0"/>
                      <w:sz w:val="21"/>
                      <w:szCs w:val="21"/>
                    </w:rPr>
                    <w:t>设备增加基础</w:t>
                  </w:r>
                  <w:r>
                    <w:rPr>
                      <w:rFonts w:hint="default" w:ascii="Times New Roman" w:hAnsi="Times New Roman" w:eastAsia="宋体" w:cs="Times New Roman"/>
                      <w:color w:val="auto"/>
                      <w:kern w:val="0"/>
                      <w:sz w:val="21"/>
                      <w:szCs w:val="21"/>
                      <w:lang w:eastAsia="zh-CN"/>
                    </w:rPr>
                    <w:t>减振</w:t>
                  </w:r>
                  <w:r>
                    <w:rPr>
                      <w:rFonts w:hint="default" w:ascii="Times New Roman" w:hAnsi="Times New Roman" w:eastAsia="宋体" w:cs="Times New Roman"/>
                      <w:color w:val="auto"/>
                      <w:kern w:val="0"/>
                      <w:sz w:val="21"/>
                      <w:szCs w:val="21"/>
                    </w:rPr>
                    <w:t>垫；</w:t>
                  </w:r>
                </w:p>
                <w:p w14:paraId="30D29946">
                  <w:pPr>
                    <w:pStyle w:val="43"/>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cs="Times New Roman"/>
                      <w:color w:val="auto"/>
                      <w:sz w:val="21"/>
                      <w:szCs w:val="21"/>
                      <w:lang w:eastAsia="zh-CN"/>
                    </w:rPr>
                  </w:pPr>
                  <w:r>
                    <w:rPr>
                      <w:rFonts w:hint="default" w:ascii="Times New Roman" w:hAnsi="Times New Roman" w:eastAsia="宋体" w:cs="Times New Roman"/>
                      <w:color w:val="auto"/>
                      <w:sz w:val="21"/>
                      <w:szCs w:val="21"/>
                      <w:lang w:eastAsia="zh-CN"/>
                    </w:rPr>
                    <w:t>③加强管理，定期检修老化机器设备</w:t>
                  </w:r>
                </w:p>
              </w:tc>
              <w:tc>
                <w:tcPr>
                  <w:tcW w:w="763" w:type="pct"/>
                  <w:noWrap w:val="0"/>
                  <w:vAlign w:val="center"/>
                </w:tcPr>
                <w:p w14:paraId="6D351ABB">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532" w:type="pct"/>
                  <w:vMerge w:val="restart"/>
                  <w:noWrap w:val="0"/>
                  <w:vAlign w:val="center"/>
                </w:tcPr>
                <w:p w14:paraId="068B3F10">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4800h</w:t>
                  </w:r>
                </w:p>
              </w:tc>
            </w:tr>
            <w:tr w14:paraId="7F38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728FDF5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bidi="zh-CN"/>
                    </w:rPr>
                    <w:t>高频筛</w:t>
                  </w:r>
                </w:p>
              </w:tc>
              <w:tc>
                <w:tcPr>
                  <w:tcW w:w="372" w:type="pct"/>
                  <w:noWrap w:val="0"/>
                  <w:vAlign w:val="center"/>
                </w:tcPr>
                <w:p w14:paraId="35A097A5">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2台</w:t>
                  </w:r>
                </w:p>
              </w:tc>
              <w:tc>
                <w:tcPr>
                  <w:tcW w:w="654" w:type="pct"/>
                  <w:noWrap w:val="0"/>
                  <w:vAlign w:val="center"/>
                </w:tcPr>
                <w:p w14:paraId="0183078B">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746" w:type="pct"/>
                  <w:vMerge w:val="continue"/>
                  <w:noWrap w:val="0"/>
                  <w:vAlign w:val="center"/>
                </w:tcPr>
                <w:p w14:paraId="05287C3E">
                  <w:pPr>
                    <w:pStyle w:val="43"/>
                    <w:spacing w:beforeLines="0" w:afterLines="0" w:line="240" w:lineRule="auto"/>
                    <w:jc w:val="center"/>
                    <w:rPr>
                      <w:rFonts w:hint="default" w:ascii="Times New Roman" w:hAnsi="Times New Roman" w:eastAsia="宋体" w:cs="Times New Roman"/>
                      <w:color w:val="auto"/>
                      <w:sz w:val="21"/>
                      <w:szCs w:val="21"/>
                    </w:rPr>
                  </w:pPr>
                </w:p>
              </w:tc>
              <w:tc>
                <w:tcPr>
                  <w:tcW w:w="1239" w:type="pct"/>
                  <w:vMerge w:val="continue"/>
                  <w:noWrap w:val="0"/>
                  <w:vAlign w:val="center"/>
                </w:tcPr>
                <w:p w14:paraId="40603604">
                  <w:pPr>
                    <w:pStyle w:val="43"/>
                    <w:spacing w:beforeLines="0" w:afterLines="0" w:line="240" w:lineRule="auto"/>
                    <w:jc w:val="center"/>
                    <w:rPr>
                      <w:rFonts w:hint="eastAsia" w:cs="Times New Roman"/>
                      <w:color w:val="auto"/>
                      <w:sz w:val="21"/>
                      <w:szCs w:val="21"/>
                      <w:lang w:eastAsia="zh-CN"/>
                    </w:rPr>
                  </w:pPr>
                </w:p>
              </w:tc>
              <w:tc>
                <w:tcPr>
                  <w:tcW w:w="763" w:type="pct"/>
                  <w:noWrap w:val="0"/>
                  <w:vAlign w:val="center"/>
                </w:tcPr>
                <w:p w14:paraId="35E09236">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532" w:type="pct"/>
                  <w:vMerge w:val="continue"/>
                  <w:noWrap w:val="0"/>
                  <w:vAlign w:val="center"/>
                </w:tcPr>
                <w:p w14:paraId="7AD94185">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p>
              </w:tc>
            </w:tr>
            <w:tr w14:paraId="1FFB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3DBDA60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bidi="zh-CN"/>
                    </w:rPr>
                    <w:t>滚筒筛</w:t>
                  </w:r>
                </w:p>
              </w:tc>
              <w:tc>
                <w:tcPr>
                  <w:tcW w:w="372" w:type="pct"/>
                  <w:noWrap w:val="0"/>
                  <w:vAlign w:val="center"/>
                </w:tcPr>
                <w:p w14:paraId="0C4CD96A">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654" w:type="pct"/>
                  <w:noWrap w:val="0"/>
                  <w:vAlign w:val="center"/>
                </w:tcPr>
                <w:p w14:paraId="05484A38">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746" w:type="pct"/>
                  <w:vMerge w:val="continue"/>
                  <w:noWrap w:val="0"/>
                  <w:vAlign w:val="center"/>
                </w:tcPr>
                <w:p w14:paraId="0F5EE1A4">
                  <w:pPr>
                    <w:pStyle w:val="43"/>
                    <w:spacing w:beforeLines="0" w:afterLines="0" w:line="240" w:lineRule="auto"/>
                    <w:jc w:val="center"/>
                    <w:rPr>
                      <w:rFonts w:hint="default" w:ascii="Times New Roman" w:hAnsi="Times New Roman" w:eastAsia="宋体" w:cs="Times New Roman"/>
                      <w:color w:val="auto"/>
                      <w:sz w:val="21"/>
                      <w:szCs w:val="21"/>
                    </w:rPr>
                  </w:pPr>
                </w:p>
              </w:tc>
              <w:tc>
                <w:tcPr>
                  <w:tcW w:w="1239" w:type="pct"/>
                  <w:vMerge w:val="continue"/>
                  <w:noWrap w:val="0"/>
                  <w:vAlign w:val="center"/>
                </w:tcPr>
                <w:p w14:paraId="2A250118">
                  <w:pPr>
                    <w:pStyle w:val="43"/>
                    <w:spacing w:beforeLines="0" w:afterLines="0" w:line="240" w:lineRule="auto"/>
                    <w:jc w:val="center"/>
                    <w:rPr>
                      <w:rFonts w:hint="eastAsia" w:cs="Times New Roman"/>
                      <w:color w:val="auto"/>
                      <w:sz w:val="21"/>
                      <w:szCs w:val="21"/>
                      <w:lang w:eastAsia="zh-CN"/>
                    </w:rPr>
                  </w:pPr>
                </w:p>
              </w:tc>
              <w:tc>
                <w:tcPr>
                  <w:tcW w:w="763" w:type="pct"/>
                  <w:noWrap w:val="0"/>
                  <w:vAlign w:val="center"/>
                </w:tcPr>
                <w:p w14:paraId="7E88CE9B">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532" w:type="pct"/>
                  <w:vMerge w:val="continue"/>
                  <w:noWrap w:val="0"/>
                  <w:vAlign w:val="center"/>
                </w:tcPr>
                <w:p w14:paraId="116E1E9D">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p>
              </w:tc>
            </w:tr>
            <w:tr w14:paraId="5111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6630ED6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bidi="zh-CN"/>
                    </w:rPr>
                    <w:t>磁滑轮</w:t>
                  </w:r>
                </w:p>
              </w:tc>
              <w:tc>
                <w:tcPr>
                  <w:tcW w:w="372" w:type="pct"/>
                  <w:noWrap w:val="0"/>
                  <w:vAlign w:val="center"/>
                </w:tcPr>
                <w:p w14:paraId="392DE296">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3台</w:t>
                  </w:r>
                </w:p>
              </w:tc>
              <w:tc>
                <w:tcPr>
                  <w:tcW w:w="654" w:type="pct"/>
                  <w:noWrap w:val="0"/>
                  <w:vAlign w:val="center"/>
                </w:tcPr>
                <w:p w14:paraId="5645C778">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746" w:type="pct"/>
                  <w:vMerge w:val="continue"/>
                  <w:noWrap w:val="0"/>
                  <w:vAlign w:val="center"/>
                </w:tcPr>
                <w:p w14:paraId="7CD419CD">
                  <w:pPr>
                    <w:pStyle w:val="43"/>
                    <w:spacing w:beforeLines="0" w:afterLines="0" w:line="240" w:lineRule="auto"/>
                    <w:jc w:val="center"/>
                    <w:rPr>
                      <w:rFonts w:hint="default" w:ascii="Times New Roman" w:hAnsi="Times New Roman" w:eastAsia="宋体" w:cs="Times New Roman"/>
                      <w:color w:val="auto"/>
                      <w:sz w:val="21"/>
                      <w:szCs w:val="21"/>
                    </w:rPr>
                  </w:pPr>
                </w:p>
              </w:tc>
              <w:tc>
                <w:tcPr>
                  <w:tcW w:w="1239" w:type="pct"/>
                  <w:vMerge w:val="continue"/>
                  <w:noWrap w:val="0"/>
                  <w:vAlign w:val="center"/>
                </w:tcPr>
                <w:p w14:paraId="4AECFC8D">
                  <w:pPr>
                    <w:pStyle w:val="43"/>
                    <w:spacing w:beforeLines="0" w:afterLines="0" w:line="240" w:lineRule="auto"/>
                    <w:jc w:val="center"/>
                    <w:rPr>
                      <w:rFonts w:hint="eastAsia" w:cs="Times New Roman"/>
                      <w:color w:val="auto"/>
                      <w:sz w:val="21"/>
                      <w:szCs w:val="21"/>
                      <w:lang w:eastAsia="zh-CN"/>
                    </w:rPr>
                  </w:pPr>
                </w:p>
              </w:tc>
              <w:tc>
                <w:tcPr>
                  <w:tcW w:w="763" w:type="pct"/>
                  <w:noWrap w:val="0"/>
                  <w:vAlign w:val="center"/>
                </w:tcPr>
                <w:p w14:paraId="4E1201B0">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532" w:type="pct"/>
                  <w:vMerge w:val="continue"/>
                  <w:noWrap w:val="0"/>
                  <w:vAlign w:val="center"/>
                </w:tcPr>
                <w:p w14:paraId="6F5AB849">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p>
              </w:tc>
            </w:tr>
            <w:tr w14:paraId="3F7D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645EC09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bidi="zh-CN"/>
                    </w:rPr>
                    <w:t>湿式磁选机</w:t>
                  </w:r>
                </w:p>
              </w:tc>
              <w:tc>
                <w:tcPr>
                  <w:tcW w:w="372" w:type="pct"/>
                  <w:noWrap w:val="0"/>
                  <w:vAlign w:val="center"/>
                </w:tcPr>
                <w:p w14:paraId="00ED5331">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3台</w:t>
                  </w:r>
                </w:p>
              </w:tc>
              <w:tc>
                <w:tcPr>
                  <w:tcW w:w="654" w:type="pct"/>
                  <w:noWrap w:val="0"/>
                  <w:vAlign w:val="center"/>
                </w:tcPr>
                <w:p w14:paraId="33FF511C">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746" w:type="pct"/>
                  <w:vMerge w:val="continue"/>
                  <w:noWrap w:val="0"/>
                  <w:vAlign w:val="center"/>
                </w:tcPr>
                <w:p w14:paraId="02DD8282">
                  <w:pPr>
                    <w:pStyle w:val="43"/>
                    <w:spacing w:beforeLines="0" w:afterLines="0" w:line="240" w:lineRule="auto"/>
                    <w:jc w:val="center"/>
                    <w:rPr>
                      <w:rFonts w:hint="default" w:ascii="Times New Roman" w:hAnsi="Times New Roman" w:eastAsia="宋体" w:cs="Times New Roman"/>
                      <w:color w:val="auto"/>
                      <w:sz w:val="21"/>
                      <w:szCs w:val="21"/>
                    </w:rPr>
                  </w:pPr>
                </w:p>
              </w:tc>
              <w:tc>
                <w:tcPr>
                  <w:tcW w:w="1239" w:type="pct"/>
                  <w:vMerge w:val="continue"/>
                  <w:noWrap w:val="0"/>
                  <w:vAlign w:val="center"/>
                </w:tcPr>
                <w:p w14:paraId="77F04045">
                  <w:pPr>
                    <w:pStyle w:val="43"/>
                    <w:spacing w:beforeLines="0" w:afterLines="0" w:line="240" w:lineRule="auto"/>
                    <w:jc w:val="center"/>
                    <w:rPr>
                      <w:rFonts w:hint="eastAsia" w:cs="Times New Roman"/>
                      <w:color w:val="auto"/>
                      <w:sz w:val="21"/>
                      <w:szCs w:val="21"/>
                      <w:lang w:eastAsia="zh-CN"/>
                    </w:rPr>
                  </w:pPr>
                </w:p>
              </w:tc>
              <w:tc>
                <w:tcPr>
                  <w:tcW w:w="763" w:type="pct"/>
                  <w:noWrap w:val="0"/>
                  <w:vAlign w:val="center"/>
                </w:tcPr>
                <w:p w14:paraId="4D0DAC22">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532" w:type="pct"/>
                  <w:vMerge w:val="continue"/>
                  <w:noWrap w:val="0"/>
                  <w:vAlign w:val="center"/>
                </w:tcPr>
                <w:p w14:paraId="791218FE">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p>
              </w:tc>
            </w:tr>
            <w:tr w14:paraId="5C58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433D9FC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rPr>
                    <w:t>球磨机</w:t>
                  </w:r>
                </w:p>
              </w:tc>
              <w:tc>
                <w:tcPr>
                  <w:tcW w:w="372" w:type="pct"/>
                  <w:noWrap w:val="0"/>
                  <w:vAlign w:val="center"/>
                </w:tcPr>
                <w:p w14:paraId="422824D6">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654" w:type="pct"/>
                  <w:noWrap w:val="0"/>
                  <w:vAlign w:val="center"/>
                </w:tcPr>
                <w:p w14:paraId="0B66D8BC">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w:t>
                  </w:r>
                </w:p>
              </w:tc>
              <w:tc>
                <w:tcPr>
                  <w:tcW w:w="746" w:type="pct"/>
                  <w:vMerge w:val="continue"/>
                  <w:noWrap w:val="0"/>
                  <w:vAlign w:val="center"/>
                </w:tcPr>
                <w:p w14:paraId="3E7B4975">
                  <w:pPr>
                    <w:pStyle w:val="43"/>
                    <w:spacing w:beforeLines="0" w:afterLines="0" w:line="240" w:lineRule="auto"/>
                    <w:jc w:val="center"/>
                    <w:rPr>
                      <w:rFonts w:hint="default" w:ascii="Times New Roman" w:hAnsi="Times New Roman" w:eastAsia="宋体" w:cs="Times New Roman"/>
                      <w:color w:val="auto"/>
                      <w:sz w:val="21"/>
                      <w:szCs w:val="21"/>
                    </w:rPr>
                  </w:pPr>
                </w:p>
              </w:tc>
              <w:tc>
                <w:tcPr>
                  <w:tcW w:w="1239" w:type="pct"/>
                  <w:vMerge w:val="continue"/>
                  <w:noWrap w:val="0"/>
                  <w:vAlign w:val="center"/>
                </w:tcPr>
                <w:p w14:paraId="74CB8B78">
                  <w:pPr>
                    <w:pStyle w:val="43"/>
                    <w:spacing w:beforeLines="0" w:afterLines="0" w:line="240" w:lineRule="auto"/>
                    <w:jc w:val="center"/>
                    <w:rPr>
                      <w:rFonts w:hint="eastAsia" w:cs="Times New Roman"/>
                      <w:color w:val="auto"/>
                      <w:sz w:val="21"/>
                      <w:szCs w:val="21"/>
                      <w:lang w:eastAsia="zh-CN"/>
                    </w:rPr>
                  </w:pPr>
                </w:p>
              </w:tc>
              <w:tc>
                <w:tcPr>
                  <w:tcW w:w="763" w:type="pct"/>
                  <w:noWrap w:val="0"/>
                  <w:vAlign w:val="center"/>
                </w:tcPr>
                <w:p w14:paraId="24454C20">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532" w:type="pct"/>
                  <w:vMerge w:val="continue"/>
                  <w:noWrap w:val="0"/>
                  <w:vAlign w:val="center"/>
                </w:tcPr>
                <w:p w14:paraId="3F571AAD">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p>
              </w:tc>
            </w:tr>
            <w:tr w14:paraId="1F2E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2F01579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rPr>
                    <w:t>盘式过滤机</w:t>
                  </w:r>
                </w:p>
              </w:tc>
              <w:tc>
                <w:tcPr>
                  <w:tcW w:w="372" w:type="pct"/>
                  <w:noWrap w:val="0"/>
                  <w:vAlign w:val="center"/>
                </w:tcPr>
                <w:p w14:paraId="0CF92221">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2台</w:t>
                  </w:r>
                </w:p>
              </w:tc>
              <w:tc>
                <w:tcPr>
                  <w:tcW w:w="654" w:type="pct"/>
                  <w:noWrap w:val="0"/>
                  <w:vAlign w:val="center"/>
                </w:tcPr>
                <w:p w14:paraId="2B23440D">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746" w:type="pct"/>
                  <w:vMerge w:val="continue"/>
                  <w:noWrap w:val="0"/>
                  <w:vAlign w:val="center"/>
                </w:tcPr>
                <w:p w14:paraId="4E820CA0">
                  <w:pPr>
                    <w:pStyle w:val="43"/>
                    <w:spacing w:beforeLines="0" w:afterLines="0" w:line="240" w:lineRule="auto"/>
                    <w:jc w:val="center"/>
                    <w:rPr>
                      <w:rFonts w:hint="default" w:ascii="Times New Roman" w:hAnsi="Times New Roman" w:eastAsia="宋体" w:cs="Times New Roman"/>
                      <w:color w:val="auto"/>
                      <w:sz w:val="21"/>
                      <w:szCs w:val="21"/>
                    </w:rPr>
                  </w:pPr>
                </w:p>
              </w:tc>
              <w:tc>
                <w:tcPr>
                  <w:tcW w:w="1239" w:type="pct"/>
                  <w:vMerge w:val="continue"/>
                  <w:noWrap w:val="0"/>
                  <w:vAlign w:val="center"/>
                </w:tcPr>
                <w:p w14:paraId="44202996">
                  <w:pPr>
                    <w:pStyle w:val="43"/>
                    <w:spacing w:beforeLines="0" w:afterLines="0" w:line="240" w:lineRule="auto"/>
                    <w:jc w:val="center"/>
                    <w:rPr>
                      <w:rFonts w:hint="eastAsia" w:cs="Times New Roman"/>
                      <w:color w:val="auto"/>
                      <w:sz w:val="21"/>
                      <w:szCs w:val="21"/>
                      <w:lang w:eastAsia="zh-CN"/>
                    </w:rPr>
                  </w:pPr>
                </w:p>
              </w:tc>
              <w:tc>
                <w:tcPr>
                  <w:tcW w:w="763" w:type="pct"/>
                  <w:noWrap w:val="0"/>
                  <w:vAlign w:val="center"/>
                </w:tcPr>
                <w:p w14:paraId="67449805">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532" w:type="pct"/>
                  <w:vMerge w:val="continue"/>
                  <w:noWrap w:val="0"/>
                  <w:vAlign w:val="center"/>
                </w:tcPr>
                <w:p w14:paraId="43D74C86">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p>
              </w:tc>
            </w:tr>
            <w:tr w14:paraId="2F8D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756680F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bidi="zh-CN"/>
                    </w:rPr>
                    <w:t>皮带输送机</w:t>
                  </w:r>
                </w:p>
              </w:tc>
              <w:tc>
                <w:tcPr>
                  <w:tcW w:w="372" w:type="pct"/>
                  <w:noWrap w:val="0"/>
                  <w:vAlign w:val="center"/>
                </w:tcPr>
                <w:p w14:paraId="3D555A28">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6条</w:t>
                  </w:r>
                </w:p>
              </w:tc>
              <w:tc>
                <w:tcPr>
                  <w:tcW w:w="654" w:type="pct"/>
                  <w:noWrap w:val="0"/>
                  <w:vAlign w:val="center"/>
                </w:tcPr>
                <w:p w14:paraId="4FD305F7">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746" w:type="pct"/>
                  <w:vMerge w:val="continue"/>
                  <w:noWrap w:val="0"/>
                  <w:vAlign w:val="center"/>
                </w:tcPr>
                <w:p w14:paraId="503DCD85">
                  <w:pPr>
                    <w:pStyle w:val="43"/>
                    <w:spacing w:beforeLines="0" w:afterLines="0" w:line="240" w:lineRule="auto"/>
                    <w:jc w:val="center"/>
                    <w:rPr>
                      <w:rFonts w:hint="default" w:ascii="Times New Roman" w:hAnsi="Times New Roman" w:eastAsia="宋体" w:cs="Times New Roman"/>
                      <w:color w:val="auto"/>
                      <w:sz w:val="21"/>
                      <w:szCs w:val="21"/>
                    </w:rPr>
                  </w:pPr>
                </w:p>
              </w:tc>
              <w:tc>
                <w:tcPr>
                  <w:tcW w:w="1239" w:type="pct"/>
                  <w:vMerge w:val="continue"/>
                  <w:noWrap w:val="0"/>
                  <w:vAlign w:val="center"/>
                </w:tcPr>
                <w:p w14:paraId="6858E151">
                  <w:pPr>
                    <w:pStyle w:val="43"/>
                    <w:spacing w:beforeLines="0" w:afterLines="0" w:line="240" w:lineRule="auto"/>
                    <w:jc w:val="center"/>
                    <w:rPr>
                      <w:rFonts w:hint="eastAsia" w:cs="Times New Roman"/>
                      <w:color w:val="auto"/>
                      <w:sz w:val="21"/>
                      <w:szCs w:val="21"/>
                      <w:lang w:eastAsia="zh-CN"/>
                    </w:rPr>
                  </w:pPr>
                </w:p>
              </w:tc>
              <w:tc>
                <w:tcPr>
                  <w:tcW w:w="763" w:type="pct"/>
                  <w:noWrap w:val="0"/>
                  <w:vAlign w:val="center"/>
                </w:tcPr>
                <w:p w14:paraId="63232781">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532" w:type="pct"/>
                  <w:vMerge w:val="continue"/>
                  <w:noWrap w:val="0"/>
                  <w:vAlign w:val="center"/>
                </w:tcPr>
                <w:p w14:paraId="55B96BBB">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p>
              </w:tc>
            </w:tr>
            <w:tr w14:paraId="3535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39993F8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bidi="zh-CN"/>
                    </w:rPr>
                    <w:t>水泵</w:t>
                  </w:r>
                </w:p>
              </w:tc>
              <w:tc>
                <w:tcPr>
                  <w:tcW w:w="372" w:type="pct"/>
                  <w:noWrap w:val="0"/>
                  <w:vAlign w:val="center"/>
                </w:tcPr>
                <w:p w14:paraId="1F876370">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654" w:type="pct"/>
                  <w:noWrap w:val="0"/>
                  <w:vAlign w:val="center"/>
                </w:tcPr>
                <w:p w14:paraId="65AE882B">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746" w:type="pct"/>
                  <w:vMerge w:val="continue"/>
                  <w:noWrap w:val="0"/>
                  <w:vAlign w:val="center"/>
                </w:tcPr>
                <w:p w14:paraId="0E97E214">
                  <w:pPr>
                    <w:pStyle w:val="43"/>
                    <w:spacing w:beforeLines="0" w:afterLines="0" w:line="240" w:lineRule="auto"/>
                    <w:jc w:val="center"/>
                    <w:rPr>
                      <w:rFonts w:hint="default" w:ascii="Times New Roman" w:hAnsi="Times New Roman" w:eastAsia="宋体" w:cs="Times New Roman"/>
                      <w:color w:val="auto"/>
                      <w:sz w:val="21"/>
                      <w:szCs w:val="21"/>
                    </w:rPr>
                  </w:pPr>
                </w:p>
              </w:tc>
              <w:tc>
                <w:tcPr>
                  <w:tcW w:w="1239" w:type="pct"/>
                  <w:vMerge w:val="continue"/>
                  <w:noWrap w:val="0"/>
                  <w:vAlign w:val="center"/>
                </w:tcPr>
                <w:p w14:paraId="396342A2">
                  <w:pPr>
                    <w:pStyle w:val="43"/>
                    <w:spacing w:beforeLines="0" w:afterLines="0" w:line="240" w:lineRule="auto"/>
                    <w:jc w:val="center"/>
                    <w:rPr>
                      <w:rFonts w:hint="eastAsia" w:cs="Times New Roman"/>
                      <w:color w:val="auto"/>
                      <w:sz w:val="21"/>
                      <w:szCs w:val="21"/>
                      <w:lang w:eastAsia="zh-CN"/>
                    </w:rPr>
                  </w:pPr>
                </w:p>
              </w:tc>
              <w:tc>
                <w:tcPr>
                  <w:tcW w:w="763" w:type="pct"/>
                  <w:noWrap w:val="0"/>
                  <w:vAlign w:val="center"/>
                </w:tcPr>
                <w:p w14:paraId="7F7EFAA8">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532" w:type="pct"/>
                  <w:vMerge w:val="continue"/>
                  <w:noWrap w:val="0"/>
                  <w:vAlign w:val="center"/>
                </w:tcPr>
                <w:p w14:paraId="0BECAB72">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p>
              </w:tc>
            </w:tr>
            <w:tr w14:paraId="51BF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691" w:type="pct"/>
                  <w:noWrap w:val="0"/>
                  <w:vAlign w:val="center"/>
                </w:tcPr>
                <w:p w14:paraId="7313C98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cs="Times New Roman"/>
                      <w:color w:val="auto"/>
                      <w:sz w:val="21"/>
                      <w:szCs w:val="21"/>
                      <w:lang w:val="en-US" w:eastAsia="zh-CN"/>
                    </w:rPr>
                  </w:pPr>
                  <w:r>
                    <w:rPr>
                      <w:rFonts w:hint="eastAsia" w:cs="Times New Roman"/>
                      <w:color w:val="auto"/>
                      <w:sz w:val="21"/>
                      <w:szCs w:val="21"/>
                      <w:lang w:val="en-US" w:eastAsia="zh-CN"/>
                    </w:rPr>
                    <w:t>布袋除尘器风机</w:t>
                  </w:r>
                </w:p>
              </w:tc>
              <w:tc>
                <w:tcPr>
                  <w:tcW w:w="372" w:type="pct"/>
                  <w:noWrap w:val="0"/>
                  <w:vAlign w:val="center"/>
                </w:tcPr>
                <w:p w14:paraId="408D2537">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1台</w:t>
                  </w:r>
                </w:p>
              </w:tc>
              <w:tc>
                <w:tcPr>
                  <w:tcW w:w="654" w:type="pct"/>
                  <w:noWrap w:val="0"/>
                  <w:vAlign w:val="center"/>
                </w:tcPr>
                <w:p w14:paraId="406DF809">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746" w:type="pct"/>
                  <w:vMerge w:val="continue"/>
                  <w:noWrap w:val="0"/>
                  <w:vAlign w:val="center"/>
                </w:tcPr>
                <w:p w14:paraId="2760B174">
                  <w:pPr>
                    <w:pStyle w:val="43"/>
                    <w:spacing w:beforeLines="0" w:afterLines="0" w:line="240" w:lineRule="auto"/>
                    <w:jc w:val="center"/>
                    <w:rPr>
                      <w:rFonts w:hint="default" w:ascii="Times New Roman" w:hAnsi="Times New Roman" w:eastAsia="宋体" w:cs="Times New Roman"/>
                      <w:color w:val="auto"/>
                      <w:sz w:val="21"/>
                      <w:szCs w:val="21"/>
                    </w:rPr>
                  </w:pPr>
                </w:p>
              </w:tc>
              <w:tc>
                <w:tcPr>
                  <w:tcW w:w="1239" w:type="pct"/>
                  <w:vMerge w:val="continue"/>
                  <w:noWrap w:val="0"/>
                  <w:vAlign w:val="center"/>
                </w:tcPr>
                <w:p w14:paraId="6B09C4FF">
                  <w:pPr>
                    <w:pStyle w:val="43"/>
                    <w:spacing w:beforeLines="0" w:afterLines="0" w:line="240" w:lineRule="auto"/>
                    <w:jc w:val="center"/>
                    <w:rPr>
                      <w:rFonts w:hint="eastAsia" w:cs="Times New Roman"/>
                      <w:color w:val="auto"/>
                      <w:sz w:val="21"/>
                      <w:szCs w:val="21"/>
                      <w:lang w:eastAsia="zh-CN"/>
                    </w:rPr>
                  </w:pPr>
                </w:p>
              </w:tc>
              <w:tc>
                <w:tcPr>
                  <w:tcW w:w="763" w:type="pct"/>
                  <w:noWrap w:val="0"/>
                  <w:vAlign w:val="center"/>
                </w:tcPr>
                <w:p w14:paraId="7D3F29CD">
                  <w:pPr>
                    <w:pStyle w:val="43"/>
                    <w:spacing w:beforeLines="0" w:afterLines="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532" w:type="pct"/>
                  <w:vMerge w:val="continue"/>
                  <w:noWrap w:val="0"/>
                  <w:vAlign w:val="center"/>
                </w:tcPr>
                <w:p w14:paraId="67478FB7">
                  <w:pPr>
                    <w:pStyle w:val="43"/>
                    <w:spacing w:beforeLines="0" w:afterLines="0" w:line="240" w:lineRule="auto"/>
                    <w:jc w:val="center"/>
                    <w:rPr>
                      <w:rFonts w:hint="eastAsia" w:ascii="Times New Roman" w:hAnsi="Times New Roman" w:eastAsia="宋体" w:cs="Times New Roman"/>
                      <w:color w:val="auto"/>
                      <w:sz w:val="21"/>
                      <w:szCs w:val="21"/>
                      <w:lang w:val="en-US" w:eastAsia="zh-CN"/>
                    </w:rPr>
                  </w:pPr>
                </w:p>
              </w:tc>
            </w:tr>
          </w:tbl>
          <w:p w14:paraId="4BDBC10D">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评价选用</w:t>
            </w:r>
            <w:r>
              <w:rPr>
                <w:rFonts w:cs="Times New Roman"/>
                <w:color w:val="auto"/>
              </w:rPr>
              <w:t>《环境影响评价技术导则声环境》（HJ/T2.4-20</w:t>
            </w:r>
            <w:r>
              <w:rPr>
                <w:rFonts w:hint="eastAsia" w:cs="Times New Roman"/>
                <w:color w:val="auto"/>
                <w:lang w:val="en-US"/>
              </w:rPr>
              <w:t>21</w:t>
            </w:r>
            <w:r>
              <w:rPr>
                <w:rFonts w:cs="Times New Roman"/>
                <w:color w:val="auto"/>
              </w:rPr>
              <w:t>）</w:t>
            </w:r>
            <w:r>
              <w:rPr>
                <w:rFonts w:hint="default" w:ascii="Times New Roman" w:hAnsi="Times New Roman" w:eastAsia="宋体" w:cs="Times New Roman"/>
                <w:color w:val="auto"/>
              </w:rPr>
              <w:t>中推荐的预测模式预测项目噪声对厂界声环境及对周边保护目标的影响。</w:t>
            </w:r>
          </w:p>
          <w:p w14:paraId="4C1AD60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预测软件：评价使用石家庄环安科技有限公司的噪声环境影响评价系统（NoiseSystem）进行噪声预测。预测过程中，各噪声设备在一定的距离处可以被视作点源，设备所处位置、与墙壁的</w:t>
            </w:r>
            <w:r>
              <w:rPr>
                <w:rFonts w:hint="eastAsia" w:cs="Times New Roman"/>
                <w:color w:val="auto"/>
                <w:lang w:eastAsia="zh-CN"/>
              </w:rPr>
              <w:t>距离</w:t>
            </w:r>
            <w:r>
              <w:rPr>
                <w:rFonts w:hint="default" w:ascii="Times New Roman" w:hAnsi="Times New Roman" w:eastAsia="宋体" w:cs="Times New Roman"/>
                <w:color w:val="auto"/>
              </w:rPr>
              <w:t>、与预测点的距离、隔墙厚度等均按实际布设确定，</w:t>
            </w:r>
            <w:r>
              <w:rPr>
                <w:rFonts w:hint="default" w:ascii="Times New Roman" w:hAnsi="Times New Roman" w:eastAsia="宋体" w:cs="Times New Roman"/>
                <w:color w:val="auto"/>
                <w:lang w:eastAsia="zh-CN"/>
              </w:rPr>
              <w:t>未</w:t>
            </w:r>
            <w:r>
              <w:rPr>
                <w:rFonts w:hint="default" w:ascii="Times New Roman" w:hAnsi="Times New Roman" w:eastAsia="宋体" w:cs="Times New Roman"/>
                <w:color w:val="auto"/>
              </w:rPr>
              <w:t>考虑地形因素的影响。</w:t>
            </w:r>
            <w:r>
              <w:rPr>
                <w:rFonts w:hint="default" w:ascii="Times New Roman" w:hAnsi="Times New Roman" w:eastAsia="宋体" w:cs="Times New Roman"/>
                <w:color w:val="auto"/>
                <w:lang w:eastAsia="zh-CN"/>
              </w:rPr>
              <w:t>预测过程中增加建筑物降噪措施及声屏障降噪措施。</w:t>
            </w:r>
          </w:p>
          <w:p w14:paraId="186E421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预测结果图如下，</w:t>
            </w:r>
            <w:r>
              <w:rPr>
                <w:rFonts w:hint="default" w:ascii="Times New Roman" w:hAnsi="Times New Roman" w:eastAsia="宋体" w:cs="Times New Roman"/>
                <w:color w:val="auto"/>
              </w:rPr>
              <w:t>预测结果如下表所列：</w:t>
            </w:r>
          </w:p>
          <w:p w14:paraId="220981AB">
            <w:pPr>
              <w:pStyle w:val="2"/>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 xml:space="preserve">13 </w:t>
            </w:r>
            <w:r>
              <w:rPr>
                <w:rFonts w:hint="default" w:ascii="Times New Roman" w:hAnsi="Times New Roman" w:eastAsia="宋体" w:cs="Times New Roman"/>
                <w:b/>
                <w:color w:val="auto"/>
                <w:sz w:val="21"/>
                <w:highlight w:val="none"/>
                <w:lang w:val="en-US" w:eastAsia="zh-CN"/>
              </w:rPr>
              <w:t>噪声预测结果</w:t>
            </w:r>
            <w:r>
              <w:rPr>
                <w:rFonts w:hint="default" w:ascii="Times New Roman" w:hAnsi="Times New Roman" w:eastAsia="宋体" w:cs="Times New Roman"/>
                <w:b/>
                <w:color w:val="auto"/>
                <w:sz w:val="21"/>
                <w:highlight w:val="none"/>
                <w:lang w:eastAsia="zh-CN"/>
              </w:rPr>
              <w:t>及达标分析</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3"/>
              <w:gridCol w:w="1816"/>
              <w:gridCol w:w="1103"/>
              <w:gridCol w:w="1031"/>
              <w:gridCol w:w="1386"/>
              <w:gridCol w:w="1460"/>
            </w:tblGrid>
            <w:tr w14:paraId="32783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3" w:type="dxa"/>
                  <w:vMerge w:val="restart"/>
                  <w:tcBorders>
                    <w:tl2br w:val="nil"/>
                    <w:tr2bl w:val="nil"/>
                  </w:tcBorders>
                  <w:noWrap w:val="0"/>
                  <w:vAlign w:val="center"/>
                </w:tcPr>
                <w:p w14:paraId="739592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1816" w:type="dxa"/>
                  <w:vMerge w:val="restart"/>
                  <w:tcBorders>
                    <w:tl2br w:val="nil"/>
                    <w:tr2bl w:val="nil"/>
                  </w:tcBorders>
                  <w:noWrap w:val="0"/>
                  <w:vAlign w:val="center"/>
                </w:tcPr>
                <w:p w14:paraId="499675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噪声贡献值dB（A）</w:t>
                  </w:r>
                </w:p>
              </w:tc>
              <w:tc>
                <w:tcPr>
                  <w:tcW w:w="2134" w:type="dxa"/>
                  <w:gridSpan w:val="2"/>
                  <w:tcBorders>
                    <w:tl2br w:val="nil"/>
                    <w:tr2bl w:val="nil"/>
                  </w:tcBorders>
                  <w:noWrap w:val="0"/>
                  <w:vAlign w:val="center"/>
                </w:tcPr>
                <w:p w14:paraId="39F5E2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标准值dB(A)</w:t>
                  </w:r>
                </w:p>
              </w:tc>
              <w:tc>
                <w:tcPr>
                  <w:tcW w:w="2846" w:type="dxa"/>
                  <w:gridSpan w:val="2"/>
                  <w:tcBorders>
                    <w:tl2br w:val="nil"/>
                    <w:tr2bl w:val="nil"/>
                  </w:tcBorders>
                  <w:noWrap w:val="0"/>
                  <w:vAlign w:val="center"/>
                </w:tcPr>
                <w:p w14:paraId="5021F0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达标分析</w:t>
                  </w:r>
                </w:p>
              </w:tc>
            </w:tr>
            <w:tr w14:paraId="0996A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3" w:type="dxa"/>
                  <w:vMerge w:val="continue"/>
                  <w:tcBorders>
                    <w:tl2br w:val="nil"/>
                    <w:tr2bl w:val="nil"/>
                  </w:tcBorders>
                  <w:noWrap w:val="0"/>
                  <w:vAlign w:val="center"/>
                </w:tcPr>
                <w:p w14:paraId="0C42F5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816" w:type="dxa"/>
                  <w:vMerge w:val="continue"/>
                  <w:tcBorders>
                    <w:tl2br w:val="nil"/>
                    <w:tr2bl w:val="nil"/>
                  </w:tcBorders>
                  <w:noWrap w:val="0"/>
                  <w:vAlign w:val="center"/>
                </w:tcPr>
                <w:p w14:paraId="7DF346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03" w:type="dxa"/>
                  <w:tcBorders>
                    <w:tl2br w:val="nil"/>
                    <w:tr2bl w:val="nil"/>
                  </w:tcBorders>
                  <w:noWrap w:val="0"/>
                  <w:vAlign w:val="center"/>
                </w:tcPr>
                <w:p w14:paraId="0E33D2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031" w:type="dxa"/>
                  <w:tcBorders>
                    <w:tl2br w:val="nil"/>
                    <w:tr2bl w:val="nil"/>
                  </w:tcBorders>
                  <w:noWrap w:val="0"/>
                  <w:vAlign w:val="center"/>
                </w:tcPr>
                <w:p w14:paraId="7FD2F9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1386" w:type="dxa"/>
                  <w:tcBorders>
                    <w:tl2br w:val="nil"/>
                    <w:tr2bl w:val="nil"/>
                  </w:tcBorders>
                  <w:noWrap w:val="0"/>
                  <w:vAlign w:val="center"/>
                </w:tcPr>
                <w:p w14:paraId="0BD67C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60" w:type="dxa"/>
                  <w:tcBorders>
                    <w:tl2br w:val="nil"/>
                    <w:tr2bl w:val="nil"/>
                  </w:tcBorders>
                  <w:noWrap w:val="0"/>
                  <w:vAlign w:val="center"/>
                </w:tcPr>
                <w:p w14:paraId="6DD0F5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0C249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3" w:type="dxa"/>
                  <w:tcBorders>
                    <w:tl2br w:val="nil"/>
                    <w:tr2bl w:val="nil"/>
                  </w:tcBorders>
                  <w:noWrap w:val="0"/>
                  <w:vAlign w:val="center"/>
                </w:tcPr>
                <w:p w14:paraId="0F1D80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东厂界</w:t>
                  </w:r>
                </w:p>
              </w:tc>
              <w:tc>
                <w:tcPr>
                  <w:tcW w:w="1816" w:type="dxa"/>
                  <w:tcBorders>
                    <w:tl2br w:val="nil"/>
                    <w:tr2bl w:val="nil"/>
                  </w:tcBorders>
                  <w:noWrap w:val="0"/>
                  <w:vAlign w:val="center"/>
                </w:tcPr>
                <w:p w14:paraId="5BFEA8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37.56</w:t>
                  </w:r>
                </w:p>
              </w:tc>
              <w:tc>
                <w:tcPr>
                  <w:tcW w:w="1103" w:type="dxa"/>
                  <w:tcBorders>
                    <w:tl2br w:val="nil"/>
                    <w:tr2bl w:val="nil"/>
                  </w:tcBorders>
                  <w:noWrap w:val="0"/>
                  <w:vAlign w:val="center"/>
                </w:tcPr>
                <w:p w14:paraId="71464B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1031" w:type="dxa"/>
                  <w:tcBorders>
                    <w:tl2br w:val="nil"/>
                    <w:tr2bl w:val="nil"/>
                  </w:tcBorders>
                  <w:noWrap w:val="0"/>
                  <w:vAlign w:val="center"/>
                </w:tcPr>
                <w:p w14:paraId="5165CD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1386" w:type="dxa"/>
                  <w:tcBorders>
                    <w:tl2br w:val="nil"/>
                    <w:tr2bl w:val="nil"/>
                  </w:tcBorders>
                  <w:noWrap w:val="0"/>
                  <w:vAlign w:val="center"/>
                </w:tcPr>
                <w:p w14:paraId="488248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1460" w:type="dxa"/>
                  <w:tcBorders>
                    <w:tl2br w:val="nil"/>
                    <w:tr2bl w:val="nil"/>
                  </w:tcBorders>
                  <w:noWrap w:val="0"/>
                  <w:vAlign w:val="center"/>
                </w:tcPr>
                <w:p w14:paraId="0E1E43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达标</w:t>
                  </w:r>
                </w:p>
              </w:tc>
            </w:tr>
            <w:tr w14:paraId="369A4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3" w:type="dxa"/>
                  <w:tcBorders>
                    <w:tl2br w:val="nil"/>
                    <w:tr2bl w:val="nil"/>
                  </w:tcBorders>
                  <w:noWrap w:val="0"/>
                  <w:vAlign w:val="center"/>
                </w:tcPr>
                <w:p w14:paraId="4447A9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西厂界</w:t>
                  </w:r>
                </w:p>
              </w:tc>
              <w:tc>
                <w:tcPr>
                  <w:tcW w:w="1816" w:type="dxa"/>
                  <w:tcBorders>
                    <w:tl2br w:val="nil"/>
                    <w:tr2bl w:val="nil"/>
                  </w:tcBorders>
                  <w:noWrap w:val="0"/>
                  <w:vAlign w:val="center"/>
                </w:tcPr>
                <w:p w14:paraId="7CCE93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42.05</w:t>
                  </w:r>
                </w:p>
              </w:tc>
              <w:tc>
                <w:tcPr>
                  <w:tcW w:w="1103" w:type="dxa"/>
                  <w:tcBorders>
                    <w:tl2br w:val="nil"/>
                    <w:tr2bl w:val="nil"/>
                  </w:tcBorders>
                  <w:noWrap w:val="0"/>
                  <w:vAlign w:val="center"/>
                </w:tcPr>
                <w:p w14:paraId="4BDA48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65</w:t>
                  </w:r>
                </w:p>
              </w:tc>
              <w:tc>
                <w:tcPr>
                  <w:tcW w:w="1031" w:type="dxa"/>
                  <w:tcBorders>
                    <w:tl2br w:val="nil"/>
                    <w:tr2bl w:val="nil"/>
                  </w:tcBorders>
                  <w:noWrap w:val="0"/>
                  <w:vAlign w:val="center"/>
                </w:tcPr>
                <w:p w14:paraId="39FBBA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55</w:t>
                  </w:r>
                </w:p>
              </w:tc>
              <w:tc>
                <w:tcPr>
                  <w:tcW w:w="1386" w:type="dxa"/>
                  <w:tcBorders>
                    <w:tl2br w:val="nil"/>
                    <w:tr2bl w:val="nil"/>
                  </w:tcBorders>
                  <w:noWrap w:val="0"/>
                  <w:vAlign w:val="center"/>
                </w:tcPr>
                <w:p w14:paraId="194763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1460" w:type="dxa"/>
                  <w:tcBorders>
                    <w:tl2br w:val="nil"/>
                    <w:tr2bl w:val="nil"/>
                  </w:tcBorders>
                  <w:noWrap w:val="0"/>
                  <w:vAlign w:val="center"/>
                </w:tcPr>
                <w:p w14:paraId="222A4F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B66B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3" w:type="dxa"/>
                  <w:tcBorders>
                    <w:tl2br w:val="nil"/>
                    <w:tr2bl w:val="nil"/>
                  </w:tcBorders>
                  <w:noWrap w:val="0"/>
                  <w:vAlign w:val="center"/>
                </w:tcPr>
                <w:p w14:paraId="535EE2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南厂界</w:t>
                  </w:r>
                </w:p>
              </w:tc>
              <w:tc>
                <w:tcPr>
                  <w:tcW w:w="1816" w:type="dxa"/>
                  <w:tcBorders>
                    <w:tl2br w:val="nil"/>
                    <w:tr2bl w:val="nil"/>
                  </w:tcBorders>
                  <w:noWrap w:val="0"/>
                  <w:vAlign w:val="center"/>
                </w:tcPr>
                <w:p w14:paraId="6F3CCC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49.70</w:t>
                  </w:r>
                </w:p>
              </w:tc>
              <w:tc>
                <w:tcPr>
                  <w:tcW w:w="1103" w:type="dxa"/>
                  <w:tcBorders>
                    <w:tl2br w:val="nil"/>
                    <w:tr2bl w:val="nil"/>
                  </w:tcBorders>
                  <w:noWrap w:val="0"/>
                  <w:vAlign w:val="center"/>
                </w:tcPr>
                <w:p w14:paraId="4B6BF9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65</w:t>
                  </w:r>
                </w:p>
              </w:tc>
              <w:tc>
                <w:tcPr>
                  <w:tcW w:w="1031" w:type="dxa"/>
                  <w:tcBorders>
                    <w:tl2br w:val="nil"/>
                    <w:tr2bl w:val="nil"/>
                  </w:tcBorders>
                  <w:noWrap w:val="0"/>
                  <w:vAlign w:val="center"/>
                </w:tcPr>
                <w:p w14:paraId="038F99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55</w:t>
                  </w:r>
                </w:p>
              </w:tc>
              <w:tc>
                <w:tcPr>
                  <w:tcW w:w="1386" w:type="dxa"/>
                  <w:tcBorders>
                    <w:tl2br w:val="nil"/>
                    <w:tr2bl w:val="nil"/>
                  </w:tcBorders>
                  <w:noWrap w:val="0"/>
                  <w:vAlign w:val="center"/>
                </w:tcPr>
                <w:p w14:paraId="1B9F7B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1460" w:type="dxa"/>
                  <w:tcBorders>
                    <w:tl2br w:val="nil"/>
                    <w:tr2bl w:val="nil"/>
                  </w:tcBorders>
                  <w:noWrap w:val="0"/>
                  <w:vAlign w:val="center"/>
                </w:tcPr>
                <w:p w14:paraId="5A9129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B53C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3" w:type="dxa"/>
                  <w:tcBorders>
                    <w:tl2br w:val="nil"/>
                    <w:tr2bl w:val="nil"/>
                  </w:tcBorders>
                  <w:noWrap w:val="0"/>
                  <w:vAlign w:val="center"/>
                </w:tcPr>
                <w:p w14:paraId="665A5E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北厂界</w:t>
                  </w:r>
                </w:p>
              </w:tc>
              <w:tc>
                <w:tcPr>
                  <w:tcW w:w="1816" w:type="dxa"/>
                  <w:tcBorders>
                    <w:tl2br w:val="nil"/>
                    <w:tr2bl w:val="nil"/>
                  </w:tcBorders>
                  <w:noWrap w:val="0"/>
                  <w:vAlign w:val="center"/>
                </w:tcPr>
                <w:p w14:paraId="475CD0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31.45</w:t>
                  </w:r>
                </w:p>
              </w:tc>
              <w:tc>
                <w:tcPr>
                  <w:tcW w:w="1103" w:type="dxa"/>
                  <w:tcBorders>
                    <w:tl2br w:val="nil"/>
                    <w:tr2bl w:val="nil"/>
                  </w:tcBorders>
                  <w:noWrap w:val="0"/>
                  <w:vAlign w:val="center"/>
                </w:tcPr>
                <w:p w14:paraId="6195F1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65</w:t>
                  </w:r>
                </w:p>
              </w:tc>
              <w:tc>
                <w:tcPr>
                  <w:tcW w:w="1031" w:type="dxa"/>
                  <w:tcBorders>
                    <w:tl2br w:val="nil"/>
                    <w:tr2bl w:val="nil"/>
                  </w:tcBorders>
                  <w:noWrap w:val="0"/>
                  <w:vAlign w:val="center"/>
                </w:tcPr>
                <w:p w14:paraId="2AEC42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eastAsia" w:cs="Times New Roman"/>
                      <w:color w:val="auto"/>
                      <w:sz w:val="21"/>
                      <w:szCs w:val="21"/>
                      <w:highlight w:val="none"/>
                      <w:lang w:val="en-US" w:eastAsia="zh-CN"/>
                    </w:rPr>
                    <w:t>55</w:t>
                  </w:r>
                </w:p>
              </w:tc>
              <w:tc>
                <w:tcPr>
                  <w:tcW w:w="1386" w:type="dxa"/>
                  <w:tcBorders>
                    <w:tl2br w:val="nil"/>
                    <w:tr2bl w:val="nil"/>
                  </w:tcBorders>
                  <w:noWrap w:val="0"/>
                  <w:vAlign w:val="center"/>
                </w:tcPr>
                <w:p w14:paraId="7F7DB3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1460" w:type="dxa"/>
                  <w:tcBorders>
                    <w:tl2br w:val="nil"/>
                    <w:tr2bl w:val="nil"/>
                  </w:tcBorders>
                  <w:noWrap w:val="0"/>
                  <w:vAlign w:val="center"/>
                </w:tcPr>
                <w:p w14:paraId="71505A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达标</w:t>
                  </w:r>
                </w:p>
              </w:tc>
            </w:tr>
          </w:tbl>
          <w:p w14:paraId="2FD8288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drawing>
                <wp:anchor distT="0" distB="0" distL="114300" distR="114300" simplePos="0" relativeHeight="251673600" behindDoc="0" locked="0" layoutInCell="1" allowOverlap="1">
                  <wp:simplePos x="0" y="0"/>
                  <wp:positionH relativeFrom="column">
                    <wp:posOffset>313690</wp:posOffset>
                  </wp:positionH>
                  <wp:positionV relativeFrom="paragraph">
                    <wp:posOffset>74930</wp:posOffset>
                  </wp:positionV>
                  <wp:extent cx="4657090" cy="3404235"/>
                  <wp:effectExtent l="0" t="0" r="10160" b="5715"/>
                  <wp:wrapNone/>
                  <wp:docPr id="4" name="图片 4" descr="171558824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5588240277"/>
                          <pic:cNvPicPr>
                            <a:picLocks noChangeAspect="1"/>
                          </pic:cNvPicPr>
                        </pic:nvPicPr>
                        <pic:blipFill>
                          <a:blip r:embed="rId22"/>
                          <a:stretch>
                            <a:fillRect/>
                          </a:stretch>
                        </pic:blipFill>
                        <pic:spPr>
                          <a:xfrm>
                            <a:off x="0" y="0"/>
                            <a:ext cx="4657090" cy="3404235"/>
                          </a:xfrm>
                          <a:prstGeom prst="rect">
                            <a:avLst/>
                          </a:prstGeom>
                        </pic:spPr>
                      </pic:pic>
                    </a:graphicData>
                  </a:graphic>
                </wp:anchor>
              </w:drawing>
            </w:r>
          </w:p>
          <w:p w14:paraId="7A172ED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Cs w:val="24"/>
              </w:rPr>
            </w:pPr>
          </w:p>
          <w:p w14:paraId="448E83B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Cs w:val="24"/>
              </w:rPr>
            </w:pPr>
          </w:p>
          <w:p w14:paraId="4A3AC24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Cs w:val="24"/>
              </w:rPr>
            </w:pPr>
          </w:p>
          <w:p w14:paraId="0E46C72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Cs w:val="24"/>
              </w:rPr>
            </w:pPr>
          </w:p>
          <w:p w14:paraId="390B8AD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Cs w:val="24"/>
              </w:rPr>
            </w:pPr>
          </w:p>
          <w:p w14:paraId="5BFBB08F">
            <w:pPr>
              <w:pStyle w:val="20"/>
              <w:rPr>
                <w:rFonts w:hint="default" w:ascii="Times New Roman" w:hAnsi="Times New Roman" w:eastAsia="宋体" w:cs="Times New Roman"/>
                <w:color w:val="auto"/>
                <w:szCs w:val="24"/>
              </w:rPr>
            </w:pPr>
          </w:p>
          <w:p w14:paraId="371F2970">
            <w:pPr>
              <w:rPr>
                <w:rFonts w:hint="default" w:ascii="Times New Roman" w:hAnsi="Times New Roman" w:eastAsia="宋体" w:cs="Times New Roman"/>
                <w:color w:val="auto"/>
                <w:szCs w:val="24"/>
              </w:rPr>
            </w:pPr>
          </w:p>
          <w:p w14:paraId="0579577A">
            <w:pPr>
              <w:pStyle w:val="20"/>
              <w:rPr>
                <w:rFonts w:hint="default"/>
                <w:color w:val="auto"/>
              </w:rPr>
            </w:pPr>
          </w:p>
          <w:p w14:paraId="1767F9A6">
            <w:pPr>
              <w:pStyle w:val="10"/>
              <w:rPr>
                <w:rFonts w:hint="default" w:ascii="Times New Roman" w:hAnsi="Times New Roman" w:eastAsia="宋体" w:cs="Times New Roman"/>
                <w:color w:val="auto"/>
                <w:szCs w:val="24"/>
              </w:rPr>
            </w:pPr>
          </w:p>
          <w:p w14:paraId="247453F9">
            <w:pPr>
              <w:rPr>
                <w:rFonts w:hint="default" w:ascii="Times New Roman" w:hAnsi="Times New Roman" w:eastAsia="宋体" w:cs="Times New Roman"/>
                <w:color w:val="auto"/>
                <w:szCs w:val="24"/>
              </w:rPr>
            </w:pPr>
          </w:p>
          <w:p w14:paraId="4E322BB5">
            <w:pPr>
              <w:pStyle w:val="10"/>
              <w:rPr>
                <w:rFonts w:hint="default" w:ascii="Times New Roman" w:hAnsi="Times New Roman" w:eastAsia="宋体" w:cs="Times New Roman"/>
                <w:color w:val="auto"/>
                <w:szCs w:val="24"/>
              </w:rPr>
            </w:pPr>
            <w:r>
              <w:rPr>
                <w:rFonts w:hint="default" w:ascii="Times New Roman" w:hAnsi="Times New Roman" w:eastAsia="宋体" w:cs="Times New Roman"/>
                <w:color w:val="auto"/>
                <w:sz w:val="24"/>
              </w:rPr>
              <mc:AlternateContent>
                <mc:Choice Requires="wps">
                  <w:drawing>
                    <wp:anchor distT="0" distB="0" distL="114300" distR="114300" simplePos="0" relativeHeight="251670528" behindDoc="0" locked="0" layoutInCell="1" allowOverlap="1">
                      <wp:simplePos x="0" y="0"/>
                      <wp:positionH relativeFrom="column">
                        <wp:posOffset>1592580</wp:posOffset>
                      </wp:positionH>
                      <wp:positionV relativeFrom="paragraph">
                        <wp:posOffset>205105</wp:posOffset>
                      </wp:positionV>
                      <wp:extent cx="1708785" cy="279400"/>
                      <wp:effectExtent l="0" t="0" r="0" b="0"/>
                      <wp:wrapSquare wrapText="bothSides"/>
                      <wp:docPr id="14" name="文本框 14"/>
                      <wp:cNvGraphicFramePr/>
                      <a:graphic xmlns:a="http://schemas.openxmlformats.org/drawingml/2006/main">
                        <a:graphicData uri="http://schemas.microsoft.com/office/word/2010/wordprocessingShape">
                          <wps:wsp>
                            <wps:cNvSpPr txBox="1"/>
                            <wps:spPr>
                              <a:xfrm>
                                <a:off x="0" y="0"/>
                                <a:ext cx="1708785" cy="279400"/>
                              </a:xfrm>
                              <a:prstGeom prst="rect">
                                <a:avLst/>
                              </a:prstGeom>
                              <a:noFill/>
                              <a:ln w="12700">
                                <a:noFill/>
                              </a:ln>
                            </wps:spPr>
                            <wps:txbx>
                              <w:txbxContent>
                                <w:p w14:paraId="651A3CB5">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w:t>
                                  </w:r>
                                  <w:r>
                                    <w:rPr>
                                      <w:rFonts w:hint="eastAsia" w:cs="Times New Roman"/>
                                      <w:b/>
                                      <w:bCs/>
                                      <w:sz w:val="21"/>
                                      <w:szCs w:val="21"/>
                                      <w:lang w:val="en-US" w:eastAsia="zh-CN"/>
                                    </w:rPr>
                                    <w:t>6预测结果图</w:t>
                                  </w:r>
                                </w:p>
                              </w:txbxContent>
                            </wps:txbx>
                            <wps:bodyPr upright="1">
                              <a:noAutofit/>
                            </wps:bodyPr>
                          </wps:wsp>
                        </a:graphicData>
                      </a:graphic>
                    </wp:anchor>
                  </w:drawing>
                </mc:Choice>
                <mc:Fallback>
                  <w:pict>
                    <v:shape id="_x0000_s1026" o:spid="_x0000_s1026" o:spt="202" type="#_x0000_t202" style="position:absolute;left:0pt;margin-left:125.4pt;margin-top:16.15pt;height:22pt;width:134.55pt;mso-wrap-distance-bottom:0pt;mso-wrap-distance-left:9pt;mso-wrap-distance-right:9pt;mso-wrap-distance-top:0pt;z-index:251670528;mso-width-relative:page;mso-height-relative:page;" filled="f" stroked="f" coordsize="21600,21600" o:gfxdata="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PZpNcAAAAJAQAADwAAAAAAAAABACAAAAAiAAAAZHJzL2Rvd25yZXYueG1s&#10;UEsBAhQAFAAAAAgAh07iQAf4wOnAAQAAdAMAAA4AAAAAAAAAAQAgAAAAJgEAAGRycy9lMm9Eb2Mu&#10;eG1sUEsFBgAAAAAGAAYAWQEAAFgFAAAAAA==&#10;">
                      <v:fill on="f" focussize="0,0"/>
                      <v:stroke on="f" weight="1pt"/>
                      <v:imagedata o:title=""/>
                      <o:lock v:ext="edit" aspectratio="f"/>
                      <v:textbox>
                        <w:txbxContent>
                          <w:p w14:paraId="651A3CB5">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w:t>
                            </w:r>
                            <w:r>
                              <w:rPr>
                                <w:rFonts w:hint="eastAsia" w:cs="Times New Roman"/>
                                <w:b/>
                                <w:bCs/>
                                <w:sz w:val="21"/>
                                <w:szCs w:val="21"/>
                                <w:lang w:val="en-US" w:eastAsia="zh-CN"/>
                              </w:rPr>
                              <w:t>6预测结果图</w:t>
                            </w:r>
                          </w:p>
                        </w:txbxContent>
                      </v:textbox>
                      <w10:wrap type="square"/>
                    </v:shape>
                  </w:pict>
                </mc:Fallback>
              </mc:AlternateContent>
            </w:r>
          </w:p>
          <w:p w14:paraId="0F9B57F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Cs w:val="24"/>
              </w:rPr>
            </w:pPr>
          </w:p>
          <w:p w14:paraId="10503FA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zCs w:val="24"/>
              </w:rPr>
              <w:t>根据上述预测结果，</w:t>
            </w:r>
            <w:r>
              <w:rPr>
                <w:rFonts w:hint="default" w:ascii="Times New Roman" w:hAnsi="Times New Roman" w:eastAsia="宋体" w:cs="Times New Roman"/>
                <w:color w:val="auto"/>
                <w:spacing w:val="0"/>
                <w:w w:val="100"/>
                <w:sz w:val="24"/>
                <w:szCs w:val="24"/>
                <w:lang w:eastAsia="zh-CN"/>
              </w:rPr>
              <w:t>厂界</w:t>
            </w:r>
            <w:r>
              <w:rPr>
                <w:rFonts w:hint="default" w:ascii="Times New Roman" w:hAnsi="Times New Roman" w:eastAsia="宋体" w:cs="Times New Roman"/>
                <w:color w:val="auto"/>
                <w:spacing w:val="0"/>
                <w:w w:val="100"/>
                <w:sz w:val="24"/>
                <w:szCs w:val="24"/>
                <w:lang w:val="en-US" w:eastAsia="zh-CN"/>
              </w:rPr>
              <w:t>四周</w:t>
            </w:r>
            <w:r>
              <w:rPr>
                <w:rFonts w:hint="default" w:ascii="Times New Roman" w:hAnsi="Times New Roman" w:eastAsia="宋体" w:cs="Times New Roman"/>
                <w:color w:val="auto"/>
                <w:spacing w:val="0"/>
                <w:w w:val="100"/>
                <w:sz w:val="24"/>
                <w:szCs w:val="24"/>
                <w:lang w:eastAsia="zh-CN"/>
              </w:rPr>
              <w:t>噪声</w:t>
            </w:r>
            <w:r>
              <w:rPr>
                <w:rFonts w:hint="default" w:ascii="Times New Roman" w:hAnsi="Times New Roman" w:eastAsia="宋体" w:cs="Times New Roman"/>
                <w:color w:val="auto"/>
                <w:spacing w:val="0"/>
                <w:w w:val="100"/>
                <w:sz w:val="24"/>
                <w:szCs w:val="24"/>
                <w:lang w:val="en-US" w:eastAsia="zh-CN"/>
              </w:rPr>
              <w:t>均</w:t>
            </w:r>
            <w:r>
              <w:rPr>
                <w:rFonts w:hint="default" w:ascii="Times New Roman" w:hAnsi="Times New Roman" w:eastAsia="宋体" w:cs="Times New Roman"/>
                <w:color w:val="auto"/>
                <w:spacing w:val="0"/>
                <w:w w:val="100"/>
                <w:sz w:val="24"/>
                <w:szCs w:val="24"/>
                <w:lang w:eastAsia="zh-CN"/>
              </w:rPr>
              <w:t>满足</w:t>
            </w:r>
            <w:r>
              <w:rPr>
                <w:rFonts w:hint="default" w:ascii="Times New Roman" w:hAnsi="Times New Roman" w:eastAsia="宋体" w:cs="Times New Roman"/>
                <w:color w:val="auto"/>
                <w:spacing w:val="0"/>
                <w:w w:val="100"/>
                <w:sz w:val="24"/>
                <w:szCs w:val="24"/>
              </w:rPr>
              <w:t>《工业企业厂界环境噪声排放标准》（GB12348-2008）</w:t>
            </w:r>
            <w:r>
              <w:rPr>
                <w:rFonts w:hint="eastAsia" w:cs="Times New Roman"/>
                <w:color w:val="auto"/>
                <w:spacing w:val="0"/>
                <w:w w:val="100"/>
                <w:sz w:val="24"/>
                <w:szCs w:val="24"/>
                <w:lang w:eastAsia="zh-CN"/>
              </w:rPr>
              <w:t>厂界四周</w:t>
            </w:r>
            <w:r>
              <w:rPr>
                <w:rFonts w:hint="default" w:ascii="Times New Roman" w:hAnsi="Times New Roman" w:eastAsia="宋体" w:cs="Times New Roman"/>
                <w:color w:val="auto"/>
                <w:spacing w:val="0"/>
                <w:w w:val="100"/>
                <w:sz w:val="24"/>
                <w:szCs w:val="24"/>
              </w:rPr>
              <w:t>执行</w:t>
            </w:r>
            <w:r>
              <w:rPr>
                <w:rFonts w:hint="eastAsia" w:cs="Times New Roman"/>
                <w:color w:val="auto"/>
                <w:spacing w:val="0"/>
                <w:w w:val="100"/>
                <w:sz w:val="24"/>
                <w:szCs w:val="24"/>
                <w:lang w:val="en-US" w:eastAsia="zh-CN"/>
              </w:rPr>
              <w:t>3</w:t>
            </w:r>
            <w:r>
              <w:rPr>
                <w:rFonts w:hint="default" w:ascii="Times New Roman" w:hAnsi="Times New Roman" w:eastAsia="宋体" w:cs="Times New Roman"/>
                <w:color w:val="auto"/>
                <w:spacing w:val="0"/>
                <w:w w:val="100"/>
                <w:sz w:val="24"/>
                <w:szCs w:val="24"/>
              </w:rPr>
              <w:t>类标准：昼间</w:t>
            </w:r>
            <w:r>
              <w:rPr>
                <w:rFonts w:hint="eastAsia" w:cs="Times New Roman"/>
                <w:color w:val="auto"/>
                <w:spacing w:val="0"/>
                <w:w w:val="100"/>
                <w:sz w:val="24"/>
                <w:szCs w:val="24"/>
                <w:lang w:val="en-US" w:eastAsia="zh-CN"/>
              </w:rPr>
              <w:t>65</w:t>
            </w:r>
            <w:r>
              <w:rPr>
                <w:rFonts w:hint="default" w:ascii="Times New Roman" w:hAnsi="Times New Roman" w:eastAsia="宋体" w:cs="Times New Roman"/>
                <w:color w:val="auto"/>
                <w:spacing w:val="0"/>
                <w:w w:val="100"/>
                <w:sz w:val="24"/>
                <w:szCs w:val="24"/>
              </w:rPr>
              <w:t>dB（A）、夜间5</w:t>
            </w:r>
            <w:r>
              <w:rPr>
                <w:rFonts w:hint="eastAsia" w:cs="Times New Roman"/>
                <w:color w:val="auto"/>
                <w:spacing w:val="0"/>
                <w:w w:val="100"/>
                <w:sz w:val="24"/>
                <w:szCs w:val="24"/>
                <w:lang w:val="en-US" w:eastAsia="zh-CN"/>
              </w:rPr>
              <w:t>5</w:t>
            </w:r>
            <w:r>
              <w:rPr>
                <w:rFonts w:hint="default" w:ascii="Times New Roman" w:hAnsi="Times New Roman" w:eastAsia="宋体" w:cs="Times New Roman"/>
                <w:color w:val="auto"/>
                <w:spacing w:val="0"/>
                <w:w w:val="100"/>
                <w:sz w:val="24"/>
                <w:szCs w:val="24"/>
              </w:rPr>
              <w:t>dB（A）</w:t>
            </w:r>
            <w:r>
              <w:rPr>
                <w:rFonts w:hint="default" w:ascii="Times New Roman" w:hAnsi="Times New Roman" w:eastAsia="宋体" w:cs="Times New Roman"/>
                <w:color w:val="auto"/>
                <w:spacing w:val="0"/>
                <w:w w:val="100"/>
                <w:sz w:val="24"/>
                <w:szCs w:val="24"/>
                <w:lang w:eastAsia="zh-CN"/>
              </w:rPr>
              <w:t>。</w:t>
            </w:r>
          </w:p>
          <w:p w14:paraId="131F77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原料及成品运输使得公路车流量增加，将会</w:t>
            </w:r>
            <w:r>
              <w:rPr>
                <w:rFonts w:hint="default" w:ascii="Times New Roman" w:hAnsi="Times New Roman" w:eastAsia="宋体" w:cs="Times New Roman"/>
                <w:color w:val="auto"/>
                <w:spacing w:val="0"/>
                <w:w w:val="100"/>
                <w:sz w:val="24"/>
                <w:szCs w:val="24"/>
                <w:lang w:val="en-US" w:eastAsia="zh-CN"/>
              </w:rPr>
              <w:t>对</w:t>
            </w:r>
            <w:r>
              <w:rPr>
                <w:rFonts w:hint="default" w:ascii="Times New Roman" w:hAnsi="Times New Roman" w:eastAsia="宋体" w:cs="Times New Roman"/>
                <w:color w:val="auto"/>
                <w:spacing w:val="0"/>
                <w:w w:val="100"/>
                <w:sz w:val="24"/>
                <w:szCs w:val="24"/>
              </w:rPr>
              <w:t>沿途的声环境质量产生一定的影响，因此，要求合理安排工作时间，避开敏感时段，运输车辆在途经沿线村庄减速慢行，禁止鸣笛，可有效降低噪声对沿线居民的影响。</w:t>
            </w:r>
          </w:p>
          <w:p w14:paraId="69EA5C9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综上所述，项目产生的噪声得到了合理处置，对周围环境影响较小。</w:t>
            </w:r>
          </w:p>
          <w:p w14:paraId="1AF357A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outlineLvl w:val="9"/>
              <w:rPr>
                <w:rFonts w:hint="default" w:ascii="Times New Roman" w:hAnsi="Times New Roman" w:eastAsia="宋体" w:cs="Times New Roman"/>
                <w:b/>
                <w:bCs/>
                <w:color w:val="auto"/>
                <w:sz w:val="21"/>
                <w:szCs w:val="21"/>
              </w:rPr>
            </w:pPr>
            <w:r>
              <w:rPr>
                <w:rFonts w:hint="eastAsia" w:cs="Times New Roman"/>
                <w:b/>
                <w:bCs/>
                <w:color w:val="auto"/>
                <w:spacing w:val="0"/>
                <w:w w:val="100"/>
                <w:sz w:val="24"/>
                <w:szCs w:val="24"/>
                <w:lang w:val="en-US" w:eastAsia="zh-CN"/>
              </w:rPr>
              <w:t>3</w:t>
            </w:r>
            <w:r>
              <w:rPr>
                <w:rFonts w:hint="default" w:ascii="Times New Roman" w:hAnsi="Times New Roman" w:eastAsia="宋体" w:cs="Times New Roman"/>
                <w:b/>
                <w:bCs/>
                <w:color w:val="auto"/>
                <w:spacing w:val="0"/>
                <w:w w:val="100"/>
                <w:sz w:val="24"/>
                <w:szCs w:val="24"/>
                <w:lang w:val="en-US" w:eastAsia="zh-CN"/>
              </w:rPr>
              <w:t>.</w:t>
            </w:r>
            <w:r>
              <w:rPr>
                <w:rFonts w:hint="eastAsia" w:cs="Times New Roman"/>
                <w:b/>
                <w:bCs/>
                <w:color w:val="auto"/>
                <w:spacing w:val="0"/>
                <w:w w:val="100"/>
                <w:sz w:val="24"/>
                <w:szCs w:val="24"/>
                <w:lang w:val="en-US" w:eastAsia="zh-CN"/>
              </w:rPr>
              <w:t>2</w:t>
            </w:r>
            <w:r>
              <w:rPr>
                <w:rFonts w:hint="default" w:ascii="Times New Roman" w:hAnsi="Times New Roman" w:eastAsia="宋体" w:cs="Times New Roman"/>
                <w:b/>
                <w:bCs/>
                <w:color w:val="auto"/>
                <w:spacing w:val="0"/>
                <w:w w:val="100"/>
                <w:sz w:val="24"/>
                <w:szCs w:val="24"/>
                <w:lang w:val="en-US" w:eastAsia="zh-CN"/>
              </w:rPr>
              <w:t>监测计划</w:t>
            </w:r>
          </w:p>
          <w:p w14:paraId="327625B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eastAsia="zh-CN"/>
              </w:rPr>
              <w:t>运营期噪声监测计划一览表</w:t>
            </w:r>
          </w:p>
          <w:tbl>
            <w:tblPr>
              <w:tblStyle w:val="22"/>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691"/>
              <w:gridCol w:w="1499"/>
              <w:gridCol w:w="2944"/>
            </w:tblGrid>
            <w:tr w14:paraId="42A3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56" w:type="pct"/>
                  <w:vAlign w:val="center"/>
                </w:tcPr>
                <w:p w14:paraId="59505574">
                  <w:pPr>
                    <w:pStyle w:val="2"/>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1059" w:type="pct"/>
                  <w:vAlign w:val="center"/>
                </w:tcPr>
                <w:p w14:paraId="5E6163A3">
                  <w:pPr>
                    <w:pStyle w:val="2"/>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监测指标</w:t>
                  </w:r>
                </w:p>
              </w:tc>
              <w:tc>
                <w:tcPr>
                  <w:tcW w:w="939" w:type="pct"/>
                  <w:vAlign w:val="center"/>
                </w:tcPr>
                <w:p w14:paraId="4D295666">
                  <w:pPr>
                    <w:pStyle w:val="2"/>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c>
                <w:tcPr>
                  <w:tcW w:w="1844" w:type="pct"/>
                  <w:vAlign w:val="center"/>
                </w:tcPr>
                <w:p w14:paraId="6D07D311">
                  <w:pPr>
                    <w:pStyle w:val="2"/>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执行标准</w:t>
                  </w:r>
                </w:p>
              </w:tc>
            </w:tr>
            <w:tr w14:paraId="6507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156" w:type="pct"/>
                  <w:vAlign w:val="center"/>
                </w:tcPr>
                <w:p w14:paraId="574016A2">
                  <w:pPr>
                    <w:pStyle w:val="2"/>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厂界四周</w:t>
                  </w:r>
                  <w:r>
                    <w:rPr>
                      <w:rFonts w:hint="default" w:ascii="Times New Roman" w:hAnsi="Times New Roman" w:eastAsia="宋体" w:cs="Times New Roman"/>
                      <w:b w:val="0"/>
                      <w:bCs w:val="0"/>
                      <w:color w:val="auto"/>
                      <w:sz w:val="21"/>
                      <w:szCs w:val="21"/>
                      <w:vertAlign w:val="baseline"/>
                      <w:lang w:val="en-US" w:eastAsia="zh-CN"/>
                    </w:rPr>
                    <w:t>外1m</w:t>
                  </w:r>
                </w:p>
              </w:tc>
              <w:tc>
                <w:tcPr>
                  <w:tcW w:w="1059" w:type="pct"/>
                  <w:vAlign w:val="center"/>
                </w:tcPr>
                <w:p w14:paraId="24AD9A22">
                  <w:pPr>
                    <w:pStyle w:val="2"/>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连续等效A声级</w:t>
                  </w:r>
                </w:p>
              </w:tc>
              <w:tc>
                <w:tcPr>
                  <w:tcW w:w="939" w:type="pct"/>
                  <w:vAlign w:val="center"/>
                </w:tcPr>
                <w:p w14:paraId="30ECD419">
                  <w:pPr>
                    <w:pStyle w:val="2"/>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1次/季度</w:t>
                  </w:r>
                </w:p>
              </w:tc>
              <w:tc>
                <w:tcPr>
                  <w:tcW w:w="1844" w:type="pct"/>
                  <w:vAlign w:val="center"/>
                </w:tcPr>
                <w:p w14:paraId="44542277">
                  <w:pPr>
                    <w:pStyle w:val="2"/>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pacing w:val="0"/>
                      <w:w w:val="100"/>
                      <w:sz w:val="21"/>
                      <w:szCs w:val="21"/>
                      <w:lang w:val="en-US" w:eastAsia="zh-CN"/>
                    </w:rPr>
                    <w:t>厂界四周</w:t>
                  </w:r>
                  <w:r>
                    <w:rPr>
                      <w:rFonts w:hint="default" w:ascii="Times New Roman" w:hAnsi="Times New Roman" w:eastAsia="宋体" w:cs="Times New Roman"/>
                      <w:color w:val="auto"/>
                      <w:spacing w:val="0"/>
                      <w:w w:val="100"/>
                      <w:sz w:val="21"/>
                      <w:szCs w:val="21"/>
                      <w:lang w:eastAsia="zh-CN"/>
                    </w:rPr>
                    <w:t>噪声满足</w:t>
                  </w:r>
                  <w:r>
                    <w:rPr>
                      <w:rFonts w:hint="default" w:ascii="Times New Roman" w:hAnsi="Times New Roman" w:eastAsia="宋体" w:cs="Times New Roman"/>
                      <w:color w:val="auto"/>
                      <w:spacing w:val="0"/>
                      <w:w w:val="100"/>
                      <w:sz w:val="21"/>
                      <w:szCs w:val="21"/>
                    </w:rPr>
                    <w:t>《工业企业厂界环境噪声排放标准》（GB12348-2008）执行</w:t>
                  </w:r>
                  <w:r>
                    <w:rPr>
                      <w:rFonts w:hint="eastAsia" w:cs="Times New Roman"/>
                      <w:color w:val="auto"/>
                      <w:spacing w:val="0"/>
                      <w:w w:val="100"/>
                      <w:sz w:val="21"/>
                      <w:szCs w:val="21"/>
                      <w:lang w:val="en-US" w:eastAsia="zh-CN"/>
                    </w:rPr>
                    <w:t>3</w:t>
                  </w:r>
                  <w:r>
                    <w:rPr>
                      <w:rFonts w:hint="default" w:ascii="Times New Roman" w:hAnsi="Times New Roman" w:eastAsia="宋体" w:cs="Times New Roman"/>
                      <w:color w:val="auto"/>
                      <w:spacing w:val="0"/>
                      <w:w w:val="100"/>
                      <w:sz w:val="21"/>
                      <w:szCs w:val="21"/>
                    </w:rPr>
                    <w:t>类标准</w:t>
                  </w:r>
                  <w:r>
                    <w:rPr>
                      <w:rFonts w:hint="default" w:ascii="Times New Roman" w:hAnsi="Times New Roman" w:eastAsia="宋体" w:cs="Times New Roman"/>
                      <w:color w:val="auto"/>
                      <w:spacing w:val="0"/>
                      <w:w w:val="100"/>
                      <w:sz w:val="21"/>
                      <w:szCs w:val="21"/>
                      <w:lang w:eastAsia="zh-CN"/>
                    </w:rPr>
                    <w:t>。</w:t>
                  </w:r>
                </w:p>
              </w:tc>
            </w:tr>
          </w:tbl>
          <w:p w14:paraId="1DB7352C">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right="0" w:rightChars="0"/>
              <w:jc w:val="left"/>
              <w:textAlignment w:val="auto"/>
              <w:outlineLvl w:val="9"/>
              <w:rPr>
                <w:rFonts w:hint="default" w:ascii="Times New Roman" w:hAnsi="Times New Roman" w:eastAsia="宋体" w:cs="Times New Roman"/>
                <w:b/>
                <w:bCs/>
                <w:color w:val="auto"/>
                <w:spacing w:val="0"/>
                <w:w w:val="100"/>
                <w:sz w:val="24"/>
                <w:szCs w:val="24"/>
                <w:lang w:val="en-US" w:eastAsia="zh-CN"/>
              </w:rPr>
            </w:pPr>
            <w:r>
              <w:rPr>
                <w:rFonts w:hint="eastAsia" w:cs="Times New Roman"/>
                <w:b/>
                <w:bCs/>
                <w:color w:val="auto"/>
                <w:spacing w:val="0"/>
                <w:w w:val="100"/>
                <w:sz w:val="24"/>
                <w:szCs w:val="24"/>
                <w:lang w:val="en-US" w:eastAsia="zh-CN"/>
              </w:rPr>
              <w:t>4</w:t>
            </w:r>
            <w:r>
              <w:rPr>
                <w:rFonts w:hint="default" w:ascii="Times New Roman" w:hAnsi="Times New Roman" w:eastAsia="宋体" w:cs="Times New Roman"/>
                <w:b/>
                <w:bCs/>
                <w:color w:val="auto"/>
                <w:spacing w:val="0"/>
                <w:w w:val="100"/>
                <w:sz w:val="24"/>
                <w:szCs w:val="24"/>
                <w:lang w:val="en-US" w:eastAsia="zh-CN"/>
              </w:rPr>
              <w:t>、固体废物</w:t>
            </w:r>
          </w:p>
          <w:p w14:paraId="53F97372">
            <w:pPr>
              <w:pStyle w:val="7"/>
              <w:keepNext w:val="0"/>
              <w:keepLines w:val="0"/>
              <w:pageBreakBefore w:val="0"/>
              <w:widowControl w:val="0"/>
              <w:numPr>
                <w:ilvl w:val="0"/>
                <w:numId w:val="0"/>
              </w:numPr>
              <w:kinsoku/>
              <w:wordWrap/>
              <w:overflowPunct/>
              <w:topLinePunct w:val="0"/>
              <w:bidi w:val="0"/>
              <w:spacing w:line="500" w:lineRule="exact"/>
              <w:ind w:leftChars="0" w:right="0" w:rightChars="0" w:firstLine="514" w:firstLineChars="200"/>
              <w:jc w:val="both"/>
              <w:textAlignment w:val="auto"/>
              <w:rPr>
                <w:rFonts w:hint="default" w:ascii="Times New Roman" w:hAnsi="Times New Roman" w:eastAsia="宋体" w:cs="Times New Roman"/>
                <w:b/>
                <w:bCs/>
                <w:color w:val="auto"/>
                <w:lang w:val="en-US" w:eastAsia="zh-CN"/>
              </w:rPr>
            </w:pPr>
            <w:r>
              <w:rPr>
                <w:rFonts w:hint="eastAsia" w:eastAsia="宋体" w:cs="Times New Roman"/>
                <w:b/>
                <w:bCs/>
                <w:color w:val="auto"/>
                <w:lang w:val="en-US" w:eastAsia="zh-CN"/>
              </w:rPr>
              <w:t>4</w:t>
            </w:r>
            <w:r>
              <w:rPr>
                <w:rFonts w:hint="default" w:ascii="Times New Roman" w:hAnsi="Times New Roman" w:eastAsia="宋体" w:cs="Times New Roman"/>
                <w:b/>
                <w:bCs/>
                <w:color w:val="auto"/>
                <w:lang w:val="en-US" w:eastAsia="zh-CN"/>
              </w:rPr>
              <w:t>.1固体废物产生情况及处置</w:t>
            </w:r>
          </w:p>
          <w:p w14:paraId="58F11B32">
            <w:pPr>
              <w:pStyle w:val="30"/>
              <w:keepNext w:val="0"/>
              <w:keepLines w:val="0"/>
              <w:pageBreakBefore w:val="0"/>
              <w:widowControl w:val="0"/>
              <w:kinsoku/>
              <w:wordWrap/>
              <w:overflowPunct/>
              <w:topLinePunct w:val="0"/>
              <w:bidi w:val="0"/>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本项目产生的固体废物包括一般工业固体废物及危险废物。</w:t>
            </w:r>
          </w:p>
          <w:p w14:paraId="13F63A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outlineLvl w:val="9"/>
              <w:rPr>
                <w:rFonts w:hint="default" w:ascii="Times New Roman" w:hAnsi="Times New Roman" w:eastAsia="宋体" w:cs="Times New Roman"/>
                <w:color w:val="auto"/>
                <w:kern w:val="24"/>
                <w:sz w:val="24"/>
                <w:szCs w:val="22"/>
              </w:rPr>
            </w:pPr>
            <w:r>
              <w:rPr>
                <w:rFonts w:hint="default" w:ascii="Times New Roman" w:hAnsi="Times New Roman" w:eastAsia="宋体" w:cs="Times New Roman"/>
                <w:color w:val="auto"/>
                <w:kern w:val="24"/>
                <w:sz w:val="24"/>
                <w:szCs w:val="22"/>
              </w:rPr>
              <w:t>一般固体废物：</w:t>
            </w:r>
          </w:p>
          <w:p w14:paraId="0632D1C5">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outlineLvl w:val="9"/>
              <w:rPr>
                <w:rFonts w:hint="default" w:ascii="Times New Roman" w:hAnsi="Times New Roman" w:eastAsia="宋体" w:cs="Times New Roman"/>
                <w:color w:val="auto"/>
                <w:spacing w:val="0"/>
                <w:sz w:val="24"/>
                <w:szCs w:val="32"/>
                <w:lang w:eastAsia="zh-CN"/>
              </w:rPr>
            </w:pPr>
            <w:r>
              <w:rPr>
                <w:rFonts w:hint="default" w:ascii="Times New Roman" w:hAnsi="Times New Roman" w:eastAsia="宋体" w:cs="Times New Roman"/>
                <w:color w:val="auto"/>
                <w:spacing w:val="0"/>
                <w:sz w:val="24"/>
                <w:szCs w:val="32"/>
                <w:lang w:eastAsia="zh-CN"/>
              </w:rPr>
              <w:t>（1）</w:t>
            </w:r>
            <w:r>
              <w:rPr>
                <w:rFonts w:hint="eastAsia" w:cs="Times New Roman"/>
                <w:color w:val="auto"/>
                <w:spacing w:val="0"/>
                <w:sz w:val="24"/>
                <w:szCs w:val="32"/>
                <w:lang w:eastAsia="zh-CN"/>
              </w:rPr>
              <w:t>沉淀池底砂</w:t>
            </w:r>
            <w:r>
              <w:rPr>
                <w:rFonts w:hint="default" w:ascii="Times New Roman" w:hAnsi="Times New Roman" w:eastAsia="宋体" w:cs="Times New Roman"/>
                <w:color w:val="auto"/>
                <w:spacing w:val="0"/>
                <w:sz w:val="24"/>
                <w:szCs w:val="32"/>
                <w:lang w:eastAsia="zh-CN"/>
              </w:rPr>
              <w:t>产生量</w:t>
            </w:r>
            <w:r>
              <w:rPr>
                <w:rFonts w:hint="eastAsia" w:cs="Times New Roman"/>
                <w:color w:val="auto"/>
                <w:spacing w:val="0"/>
                <w:sz w:val="24"/>
                <w:szCs w:val="32"/>
                <w:lang w:eastAsia="zh-CN"/>
              </w:rPr>
              <w:t>约</w:t>
            </w:r>
            <w:r>
              <w:rPr>
                <w:rFonts w:hint="default" w:ascii="Times New Roman" w:hAnsi="Times New Roman" w:eastAsia="宋体" w:cs="Times New Roman"/>
                <w:color w:val="auto"/>
                <w:spacing w:val="0"/>
                <w:sz w:val="24"/>
                <w:szCs w:val="32"/>
                <w:lang w:eastAsia="zh-CN"/>
              </w:rPr>
              <w:t>为</w:t>
            </w:r>
            <w:r>
              <w:rPr>
                <w:rFonts w:hint="eastAsia" w:cs="Times New Roman"/>
                <w:color w:val="auto"/>
                <w:spacing w:val="0"/>
                <w:sz w:val="24"/>
                <w:szCs w:val="32"/>
                <w:lang w:val="en-US" w:eastAsia="zh-CN"/>
              </w:rPr>
              <w:t>8.564t</w:t>
            </w:r>
            <w:r>
              <w:rPr>
                <w:rFonts w:hint="default" w:ascii="Times New Roman" w:hAnsi="Times New Roman" w:eastAsia="宋体" w:cs="Times New Roman"/>
                <w:color w:val="auto"/>
                <w:spacing w:val="0"/>
                <w:sz w:val="24"/>
                <w:szCs w:val="32"/>
                <w:lang w:eastAsia="zh-CN"/>
              </w:rPr>
              <w:t>/a，一般固体废物分类代码为900-</w:t>
            </w:r>
            <w:r>
              <w:rPr>
                <w:rFonts w:hint="eastAsia" w:cs="Times New Roman"/>
                <w:color w:val="auto"/>
                <w:spacing w:val="0"/>
                <w:sz w:val="24"/>
                <w:szCs w:val="32"/>
                <w:lang w:val="en-US" w:eastAsia="zh-CN"/>
              </w:rPr>
              <w:t>0</w:t>
            </w:r>
            <w:r>
              <w:rPr>
                <w:rFonts w:hint="default" w:ascii="Times New Roman" w:hAnsi="Times New Roman" w:eastAsia="宋体" w:cs="Times New Roman"/>
                <w:color w:val="auto"/>
                <w:spacing w:val="0"/>
                <w:sz w:val="24"/>
                <w:szCs w:val="32"/>
                <w:lang w:eastAsia="zh-CN"/>
              </w:rPr>
              <w:t>99-</w:t>
            </w:r>
            <w:r>
              <w:rPr>
                <w:rFonts w:hint="eastAsia" w:cs="Times New Roman"/>
                <w:color w:val="auto"/>
                <w:spacing w:val="0"/>
                <w:sz w:val="24"/>
                <w:szCs w:val="32"/>
                <w:lang w:val="en-US" w:eastAsia="zh-CN"/>
              </w:rPr>
              <w:t>S5</w:t>
            </w:r>
            <w:r>
              <w:rPr>
                <w:rFonts w:hint="default" w:ascii="Times New Roman" w:hAnsi="Times New Roman" w:eastAsia="宋体" w:cs="Times New Roman"/>
                <w:color w:val="auto"/>
                <w:spacing w:val="0"/>
                <w:sz w:val="24"/>
                <w:szCs w:val="32"/>
                <w:lang w:eastAsia="zh-CN"/>
              </w:rPr>
              <w:t>9</w:t>
            </w:r>
            <w:r>
              <w:rPr>
                <w:rFonts w:hint="eastAsia" w:cs="Times New Roman"/>
                <w:color w:val="auto"/>
                <w:spacing w:val="0"/>
                <w:sz w:val="24"/>
                <w:szCs w:val="32"/>
                <w:lang w:eastAsia="zh-CN"/>
              </w:rPr>
              <w:t>，</w:t>
            </w:r>
            <w:r>
              <w:rPr>
                <w:rFonts w:hint="default" w:ascii="Times New Roman" w:hAnsi="Times New Roman" w:eastAsia="宋体" w:cs="Times New Roman"/>
                <w:color w:val="auto"/>
                <w:spacing w:val="0"/>
                <w:sz w:val="24"/>
                <w:szCs w:val="32"/>
                <w:lang w:eastAsia="zh-CN"/>
              </w:rPr>
              <w:t>除尘灰的产生量</w:t>
            </w:r>
            <w:r>
              <w:rPr>
                <w:rFonts w:hint="eastAsia" w:cs="Times New Roman"/>
                <w:color w:val="auto"/>
                <w:spacing w:val="0"/>
                <w:sz w:val="24"/>
                <w:szCs w:val="32"/>
                <w:lang w:eastAsia="zh-CN"/>
              </w:rPr>
              <w:t>约</w:t>
            </w:r>
            <w:r>
              <w:rPr>
                <w:rFonts w:hint="default" w:ascii="Times New Roman" w:hAnsi="Times New Roman" w:eastAsia="宋体" w:cs="Times New Roman"/>
                <w:color w:val="auto"/>
                <w:spacing w:val="0"/>
                <w:sz w:val="24"/>
                <w:szCs w:val="32"/>
                <w:lang w:eastAsia="zh-CN"/>
              </w:rPr>
              <w:t>为</w:t>
            </w:r>
            <w:r>
              <w:rPr>
                <w:rFonts w:hint="eastAsia" w:cs="Times New Roman"/>
                <w:color w:val="auto"/>
                <w:spacing w:val="0"/>
                <w:sz w:val="24"/>
                <w:szCs w:val="32"/>
                <w:lang w:val="en-US" w:eastAsia="zh-CN"/>
              </w:rPr>
              <w:t>55.539t</w:t>
            </w:r>
            <w:r>
              <w:rPr>
                <w:rFonts w:hint="default" w:ascii="Times New Roman" w:hAnsi="Times New Roman" w:eastAsia="宋体" w:cs="Times New Roman"/>
                <w:color w:val="auto"/>
                <w:spacing w:val="0"/>
                <w:sz w:val="24"/>
                <w:szCs w:val="32"/>
                <w:lang w:eastAsia="zh-CN"/>
              </w:rPr>
              <w:t>/a，一般固体废物分类代码为900-</w:t>
            </w:r>
            <w:r>
              <w:rPr>
                <w:rFonts w:hint="eastAsia" w:cs="Times New Roman"/>
                <w:color w:val="auto"/>
                <w:spacing w:val="0"/>
                <w:sz w:val="24"/>
                <w:szCs w:val="32"/>
                <w:lang w:val="en-US" w:eastAsia="zh-CN"/>
              </w:rPr>
              <w:t>0</w:t>
            </w:r>
            <w:r>
              <w:rPr>
                <w:rFonts w:hint="default" w:ascii="Times New Roman" w:hAnsi="Times New Roman" w:eastAsia="宋体" w:cs="Times New Roman"/>
                <w:color w:val="auto"/>
                <w:spacing w:val="0"/>
                <w:sz w:val="24"/>
                <w:szCs w:val="32"/>
                <w:lang w:eastAsia="zh-CN"/>
              </w:rPr>
              <w:t>99-</w:t>
            </w:r>
            <w:r>
              <w:rPr>
                <w:rFonts w:hint="eastAsia" w:cs="Times New Roman"/>
                <w:color w:val="auto"/>
                <w:spacing w:val="0"/>
                <w:sz w:val="24"/>
                <w:szCs w:val="32"/>
                <w:lang w:val="en-US" w:eastAsia="zh-CN"/>
              </w:rPr>
              <w:t>S5</w:t>
            </w:r>
            <w:r>
              <w:rPr>
                <w:rFonts w:hint="default" w:ascii="Times New Roman" w:hAnsi="Times New Roman" w:eastAsia="宋体" w:cs="Times New Roman"/>
                <w:color w:val="auto"/>
                <w:spacing w:val="0"/>
                <w:sz w:val="24"/>
                <w:szCs w:val="32"/>
                <w:lang w:eastAsia="zh-CN"/>
              </w:rPr>
              <w:t>9，统一收集后</w:t>
            </w:r>
            <w:r>
              <w:rPr>
                <w:rFonts w:hint="eastAsia" w:cs="Times New Roman"/>
                <w:color w:val="auto"/>
                <w:spacing w:val="0"/>
                <w:sz w:val="24"/>
                <w:szCs w:val="32"/>
                <w:lang w:eastAsia="zh-CN"/>
              </w:rPr>
              <w:t>外售</w:t>
            </w:r>
            <w:r>
              <w:rPr>
                <w:rFonts w:hint="eastAsia" w:cs="Times New Roman"/>
                <w:b w:val="0"/>
                <w:bCs/>
                <w:color w:val="auto"/>
                <w:sz w:val="24"/>
                <w:szCs w:val="24"/>
                <w:lang w:val="en-US" w:eastAsia="zh-CN"/>
              </w:rPr>
              <w:t>兴隆县怡洋废料加工处理有限公司做原料</w:t>
            </w:r>
            <w:r>
              <w:rPr>
                <w:rFonts w:hint="default" w:ascii="Times New Roman" w:hAnsi="Times New Roman" w:eastAsia="宋体" w:cs="Times New Roman"/>
                <w:color w:val="auto"/>
                <w:spacing w:val="0"/>
                <w:sz w:val="24"/>
                <w:szCs w:val="32"/>
                <w:lang w:eastAsia="zh-CN"/>
              </w:rPr>
              <w:t>。</w:t>
            </w:r>
          </w:p>
          <w:p w14:paraId="732F8052">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jc w:val="left"/>
              <w:textAlignment w:val="auto"/>
              <w:outlineLvl w:val="9"/>
              <w:rPr>
                <w:rFonts w:hint="eastAsia" w:cs="Times New Roman"/>
                <w:b w:val="0"/>
                <w:bCs/>
                <w:color w:val="auto"/>
                <w:sz w:val="24"/>
                <w:szCs w:val="24"/>
                <w:lang w:val="en-US" w:eastAsia="zh-CN"/>
              </w:rPr>
            </w:pPr>
            <w:r>
              <w:rPr>
                <w:rFonts w:hint="eastAsia" w:cs="Times New Roman"/>
                <w:b w:val="0"/>
                <w:bCs/>
                <w:color w:val="auto"/>
                <w:sz w:val="24"/>
                <w:szCs w:val="24"/>
                <w:lang w:val="en-US" w:eastAsia="zh-CN"/>
              </w:rPr>
              <w:t>兴隆县怡洋废料加工处理有限公司于2018年委托编制《</w:t>
            </w:r>
            <w:r>
              <w:rPr>
                <w:rFonts w:hint="default" w:ascii="Times New Roman" w:hAnsi="Times New Roman" w:eastAsia="宋体" w:cs="Times New Roman"/>
                <w:color w:val="auto"/>
                <w:kern w:val="24"/>
                <w:sz w:val="24"/>
                <w:szCs w:val="24"/>
                <w:u w:val="none" w:color="auto"/>
                <w:lang w:eastAsia="zh-CN"/>
              </w:rPr>
              <w:t>兴隆县怡洋废料加工处理有限公司废料加工建设项目环境影响报告表</w:t>
            </w:r>
            <w:r>
              <w:rPr>
                <w:rFonts w:hint="eastAsia" w:cs="Times New Roman"/>
                <w:b w:val="0"/>
                <w:bCs/>
                <w:color w:val="auto"/>
                <w:sz w:val="24"/>
                <w:szCs w:val="24"/>
                <w:lang w:val="en-US" w:eastAsia="zh-CN"/>
              </w:rPr>
              <w:t>》，2018年10月15日取得承德市环境保护局兴隆县分局的关于该项目的批复（批复文号为兴环评审字[2018]049号）；于2022年6月取得固定污染源排污登记回执（登记编号：91130822MA09Y7JE55001W），同年8月进行环保验收，并取得项目竣工环保验收意见。根据报告表可知，该企业</w:t>
            </w:r>
            <w:r>
              <w:rPr>
                <w:rFonts w:hint="eastAsia" w:ascii="Times New Roman" w:hAnsi="Times New Roman" w:eastAsia="宋体" w:cs="Times New Roman"/>
                <w:color w:val="auto"/>
                <w:kern w:val="24"/>
                <w:sz w:val="24"/>
                <w:highlight w:val="none"/>
                <w:lang w:eastAsia="zh-CN"/>
              </w:rPr>
              <w:t>以</w:t>
            </w:r>
            <w:r>
              <w:rPr>
                <w:rFonts w:hint="default" w:ascii="Times New Roman" w:hAnsi="Times New Roman" w:eastAsia="宋体" w:cs="Times New Roman"/>
                <w:color w:val="auto"/>
                <w:kern w:val="24"/>
                <w:sz w:val="24"/>
                <w:highlight w:val="none"/>
                <w:lang w:eastAsia="zh-CN"/>
              </w:rPr>
              <w:t>钢厂废料</w:t>
            </w:r>
            <w:r>
              <w:rPr>
                <w:rFonts w:hint="eastAsia" w:cs="Times New Roman"/>
                <w:color w:val="auto"/>
                <w:kern w:val="24"/>
                <w:sz w:val="24"/>
                <w:highlight w:val="none"/>
                <w:lang w:eastAsia="zh-CN"/>
              </w:rPr>
              <w:t>（</w:t>
            </w:r>
            <w:r>
              <w:rPr>
                <w:rFonts w:hint="eastAsia" w:cs="Times New Roman"/>
                <w:color w:val="auto"/>
                <w:kern w:val="24"/>
                <w:sz w:val="24"/>
                <w:highlight w:val="none"/>
                <w:lang w:val="en-US" w:eastAsia="zh-CN"/>
              </w:rPr>
              <w:t>20万t/a</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eastAsia="zh-CN"/>
              </w:rPr>
              <w:t>、水泥</w:t>
            </w:r>
            <w:r>
              <w:rPr>
                <w:rFonts w:hint="eastAsia" w:cs="Times New Roman"/>
                <w:color w:val="auto"/>
                <w:kern w:val="24"/>
                <w:sz w:val="24"/>
                <w:highlight w:val="none"/>
                <w:lang w:eastAsia="zh-CN"/>
              </w:rPr>
              <w:t>（</w:t>
            </w:r>
            <w:r>
              <w:rPr>
                <w:rFonts w:hint="eastAsia" w:cs="Times New Roman"/>
                <w:color w:val="auto"/>
                <w:kern w:val="24"/>
                <w:sz w:val="24"/>
                <w:highlight w:val="none"/>
                <w:lang w:val="en-US" w:eastAsia="zh-CN"/>
              </w:rPr>
              <w:t>8万t/a</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eastAsia="zh-CN"/>
              </w:rPr>
              <w:t>、石子</w:t>
            </w:r>
            <w:r>
              <w:rPr>
                <w:rFonts w:hint="eastAsia" w:cs="Times New Roman"/>
                <w:color w:val="auto"/>
                <w:kern w:val="24"/>
                <w:sz w:val="24"/>
                <w:highlight w:val="none"/>
                <w:lang w:eastAsia="zh-CN"/>
              </w:rPr>
              <w:t>（</w:t>
            </w:r>
            <w:r>
              <w:rPr>
                <w:rFonts w:hint="eastAsia" w:cs="Times New Roman"/>
                <w:color w:val="auto"/>
                <w:kern w:val="24"/>
                <w:sz w:val="24"/>
                <w:highlight w:val="none"/>
                <w:lang w:val="en-US" w:eastAsia="zh-CN"/>
              </w:rPr>
              <w:t>8万t/a</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eastAsia="zh-CN"/>
              </w:rPr>
              <w:t>、建筑垃圾</w:t>
            </w:r>
            <w:r>
              <w:rPr>
                <w:rFonts w:hint="eastAsia" w:cs="Times New Roman"/>
                <w:color w:val="auto"/>
                <w:kern w:val="24"/>
                <w:sz w:val="24"/>
                <w:highlight w:val="none"/>
                <w:lang w:eastAsia="zh-CN"/>
              </w:rPr>
              <w:t>（</w:t>
            </w:r>
            <w:r>
              <w:rPr>
                <w:rFonts w:hint="eastAsia" w:cs="Times New Roman"/>
                <w:color w:val="auto"/>
                <w:kern w:val="24"/>
                <w:sz w:val="24"/>
                <w:highlight w:val="none"/>
                <w:lang w:val="en-US" w:eastAsia="zh-CN"/>
              </w:rPr>
              <w:t>5万t/a</w:t>
            </w:r>
            <w:r>
              <w:rPr>
                <w:rFonts w:hint="eastAsia"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lang w:eastAsia="zh-CN"/>
              </w:rPr>
              <w:t>为原料，</w:t>
            </w:r>
            <w:r>
              <w:rPr>
                <w:rFonts w:hint="eastAsia" w:cs="Times New Roman"/>
                <w:color w:val="auto"/>
                <w:kern w:val="24"/>
                <w:sz w:val="24"/>
                <w:highlight w:val="none"/>
                <w:lang w:eastAsia="zh-CN"/>
              </w:rPr>
              <w:t>产出</w:t>
            </w:r>
            <w:r>
              <w:rPr>
                <w:rFonts w:hint="default" w:ascii="Times New Roman" w:hAnsi="Times New Roman" w:eastAsia="宋体" w:cs="Times New Roman"/>
                <w:color w:val="auto"/>
                <w:kern w:val="24"/>
                <w:sz w:val="24"/>
                <w:highlight w:val="none"/>
                <w:lang w:eastAsia="zh-CN"/>
              </w:rPr>
              <w:t>空心砖</w:t>
            </w:r>
            <w:r>
              <w:rPr>
                <w:rFonts w:hint="default" w:ascii="Times New Roman" w:hAnsi="Times New Roman" w:eastAsia="宋体" w:cs="Times New Roman"/>
                <w:color w:val="auto"/>
                <w:kern w:val="24"/>
                <w:sz w:val="24"/>
                <w:highlight w:val="none"/>
                <w:lang w:val="en-US" w:eastAsia="zh-CN"/>
              </w:rPr>
              <w:t>1000万块，多孔砖1500万块，实心砖4000万块</w:t>
            </w:r>
            <w:r>
              <w:rPr>
                <w:rFonts w:hint="eastAsia" w:cs="Times New Roman"/>
                <w:color w:val="auto"/>
                <w:kern w:val="24"/>
                <w:sz w:val="24"/>
                <w:highlight w:val="none"/>
                <w:lang w:val="en-US" w:eastAsia="zh-CN"/>
              </w:rPr>
              <w:t>及</w:t>
            </w:r>
            <w:r>
              <w:rPr>
                <w:rFonts w:hint="default" w:ascii="Times New Roman" w:hAnsi="Times New Roman" w:eastAsia="宋体" w:cs="Times New Roman"/>
                <w:color w:val="auto"/>
                <w:kern w:val="24"/>
                <w:sz w:val="24"/>
                <w:highlight w:val="none"/>
                <w:lang w:val="en-US" w:eastAsia="zh-CN"/>
              </w:rPr>
              <w:t>路面砖2000万块</w:t>
            </w:r>
            <w:r>
              <w:rPr>
                <w:rFonts w:hint="eastAsia" w:cs="Times New Roman"/>
                <w:color w:val="auto"/>
                <w:kern w:val="24"/>
                <w:sz w:val="24"/>
                <w:highlight w:val="none"/>
                <w:lang w:val="en-US" w:eastAsia="zh-CN"/>
              </w:rPr>
              <w:t>。</w:t>
            </w:r>
          </w:p>
          <w:p w14:paraId="2AA87023">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jc w:val="left"/>
              <w:textAlignment w:val="auto"/>
              <w:outlineLvl w:val="9"/>
              <w:rPr>
                <w:rFonts w:hint="eastAsia" w:cs="Times New Roman"/>
                <w:color w:val="auto"/>
                <w:spacing w:val="0"/>
                <w:sz w:val="24"/>
                <w:szCs w:val="32"/>
                <w:lang w:eastAsia="zh-CN"/>
              </w:rPr>
            </w:pPr>
            <w:r>
              <w:rPr>
                <w:rFonts w:hint="eastAsia" w:cs="Times New Roman"/>
                <w:b w:val="0"/>
                <w:bCs/>
                <w:color w:val="auto"/>
                <w:sz w:val="24"/>
                <w:szCs w:val="24"/>
                <w:lang w:val="en-US" w:eastAsia="zh-CN"/>
              </w:rPr>
              <w:t>本项目产生的除尘灰和底砂产量较小，项目原料与怡洋原料成分相同，因此，本项目产生的除尘灰及沉淀池底砂可作为原辅材料进行生产，故本项目除尘灰及沉淀池底砂外售给兴隆县怡洋废料加工处理有限公司措施可行。</w:t>
            </w:r>
          </w:p>
          <w:p w14:paraId="63167578">
            <w:pPr>
              <w:keepNext w:val="0"/>
              <w:keepLines w:val="0"/>
              <w:pageBreakBefore w:val="0"/>
              <w:widowControl w:val="0"/>
              <w:kinsoku/>
              <w:wordWrap/>
              <w:overflowPunct/>
              <w:topLinePunct w:val="0"/>
              <w:autoSpaceDE w:val="0"/>
              <w:autoSpaceDN w:val="0"/>
              <w:bidi w:val="0"/>
              <w:adjustRightInd w:val="0"/>
              <w:spacing w:line="500" w:lineRule="exact"/>
              <w:ind w:firstLine="480" w:firstLineChars="200"/>
              <w:jc w:val="left"/>
              <w:textAlignment w:val="auto"/>
              <w:outlineLvl w:val="9"/>
              <w:rPr>
                <w:rFonts w:hint="default" w:ascii="Times New Roman" w:hAnsi="Times New Roman" w:eastAsia="宋体" w:cs="Times New Roman"/>
                <w:color w:val="auto"/>
                <w:sz w:val="24"/>
                <w:szCs w:val="32"/>
              </w:rPr>
            </w:pPr>
            <w:r>
              <w:rPr>
                <w:rFonts w:hint="eastAsia" w:cs="Times New Roman"/>
                <w:color w:val="auto"/>
                <w:spacing w:val="0"/>
                <w:sz w:val="24"/>
                <w:szCs w:val="32"/>
                <w:lang w:eastAsia="zh-CN"/>
              </w:rPr>
              <w:t>（</w:t>
            </w:r>
            <w:r>
              <w:rPr>
                <w:rFonts w:hint="eastAsia" w:cs="Times New Roman"/>
                <w:color w:val="auto"/>
                <w:spacing w:val="0"/>
                <w:sz w:val="24"/>
                <w:szCs w:val="32"/>
                <w:lang w:val="en-US" w:eastAsia="zh-CN"/>
              </w:rPr>
              <w:t>2</w:t>
            </w:r>
            <w:r>
              <w:rPr>
                <w:rFonts w:hint="eastAsia" w:cs="Times New Roman"/>
                <w:color w:val="auto"/>
                <w:spacing w:val="0"/>
                <w:sz w:val="24"/>
                <w:szCs w:val="32"/>
                <w:lang w:eastAsia="zh-CN"/>
              </w:rPr>
              <w:t>）</w:t>
            </w:r>
            <w:r>
              <w:rPr>
                <w:rFonts w:hint="default" w:ascii="Times New Roman" w:hAnsi="Times New Roman" w:eastAsia="宋体" w:cs="Times New Roman"/>
                <w:color w:val="auto"/>
                <w:spacing w:val="0"/>
                <w:sz w:val="24"/>
                <w:szCs w:val="32"/>
                <w:lang w:eastAsia="zh-CN"/>
              </w:rPr>
              <w:t>生活垃圾，本项目劳动定员</w:t>
            </w:r>
            <w:r>
              <w:rPr>
                <w:rFonts w:hint="eastAsia" w:cs="Times New Roman"/>
                <w:color w:val="auto"/>
                <w:spacing w:val="0"/>
                <w:sz w:val="24"/>
                <w:szCs w:val="32"/>
                <w:lang w:val="en-US" w:eastAsia="zh-CN"/>
              </w:rPr>
              <w:t>1</w:t>
            </w:r>
            <w:r>
              <w:rPr>
                <w:rFonts w:hint="default" w:ascii="Times New Roman" w:hAnsi="Times New Roman" w:eastAsia="宋体" w:cs="Times New Roman"/>
                <w:color w:val="auto"/>
                <w:spacing w:val="0"/>
                <w:sz w:val="24"/>
                <w:szCs w:val="32"/>
                <w:lang w:val="en-US" w:eastAsia="zh-CN"/>
              </w:rPr>
              <w:t>0</w:t>
            </w:r>
            <w:r>
              <w:rPr>
                <w:rFonts w:hint="default" w:ascii="Times New Roman" w:hAnsi="Times New Roman" w:eastAsia="宋体" w:cs="Times New Roman"/>
                <w:color w:val="auto"/>
                <w:spacing w:val="0"/>
                <w:sz w:val="24"/>
                <w:szCs w:val="32"/>
                <w:lang w:eastAsia="zh-CN"/>
              </w:rPr>
              <w:t>人，按0.5kg/d.人，生活垃圾产生量为</w:t>
            </w:r>
            <w:r>
              <w:rPr>
                <w:rFonts w:hint="eastAsia" w:cs="Times New Roman"/>
                <w:color w:val="auto"/>
                <w:spacing w:val="0"/>
                <w:sz w:val="24"/>
                <w:szCs w:val="32"/>
                <w:lang w:val="en-US" w:eastAsia="zh-CN"/>
              </w:rPr>
              <w:t>1.5</w:t>
            </w:r>
            <w:r>
              <w:rPr>
                <w:rFonts w:hint="default" w:ascii="Times New Roman" w:hAnsi="Times New Roman" w:eastAsia="宋体" w:cs="Times New Roman"/>
                <w:color w:val="auto"/>
                <w:spacing w:val="0"/>
                <w:sz w:val="24"/>
                <w:szCs w:val="32"/>
                <w:lang w:eastAsia="zh-CN"/>
              </w:rPr>
              <w:t>t/a，</w:t>
            </w:r>
            <w:r>
              <w:rPr>
                <w:rFonts w:hint="default" w:ascii="Times New Roman" w:hAnsi="Times New Roman" w:eastAsia="宋体" w:cs="Times New Roman"/>
                <w:color w:val="auto"/>
                <w:sz w:val="24"/>
                <w:szCs w:val="32"/>
              </w:rPr>
              <w:t>实行袋装化，集中收集</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pacing w:val="0"/>
                <w:sz w:val="24"/>
                <w:szCs w:val="32"/>
                <w:lang w:eastAsia="zh-CN"/>
              </w:rPr>
              <w:t>定期交由环卫部门统一清运处理。</w:t>
            </w:r>
          </w:p>
          <w:p w14:paraId="159168D5">
            <w:pPr>
              <w:pStyle w:val="2"/>
              <w:keepNext w:val="0"/>
              <w:keepLines w:val="0"/>
              <w:pageBreakBefore w:val="0"/>
              <w:widowControl w:val="0"/>
              <w:kinsoku/>
              <w:wordWrap/>
              <w:overflowPunct/>
              <w:topLinePunct w:val="0"/>
              <w:bidi w:val="0"/>
              <w:spacing w:line="500" w:lineRule="exact"/>
              <w:ind w:firstLine="480" w:firstLineChars="200"/>
              <w:jc w:val="left"/>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p>
          <w:p w14:paraId="298D7F13">
            <w:pPr>
              <w:pStyle w:val="2"/>
              <w:keepNext w:val="0"/>
              <w:keepLines w:val="0"/>
              <w:pageBreakBefore w:val="0"/>
              <w:widowControl w:val="0"/>
              <w:kinsoku/>
              <w:wordWrap/>
              <w:overflowPunct/>
              <w:topLinePunct w:val="0"/>
              <w:bidi w:val="0"/>
              <w:spacing w:line="500" w:lineRule="exact"/>
              <w:ind w:firstLine="480" w:firstLineChars="200"/>
              <w:jc w:val="left"/>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spacing w:val="0"/>
                <w:sz w:val="24"/>
                <w:szCs w:val="32"/>
                <w:lang w:eastAsia="zh-CN"/>
              </w:rPr>
              <w:t>生产设备检修更换的</w:t>
            </w:r>
            <w:r>
              <w:rPr>
                <w:rFonts w:hint="default" w:ascii="Times New Roman" w:hAnsi="Times New Roman" w:eastAsia="宋体" w:cs="Times New Roman"/>
                <w:color w:val="auto"/>
                <w:lang w:eastAsia="zh-CN"/>
              </w:rPr>
              <w:t>废</w:t>
            </w:r>
            <w:r>
              <w:rPr>
                <w:rFonts w:hint="eastAsia" w:cs="Times New Roman"/>
                <w:color w:val="auto"/>
                <w:lang w:eastAsia="zh-CN"/>
              </w:rPr>
              <w:t>润滑油</w:t>
            </w:r>
            <w:r>
              <w:rPr>
                <w:rFonts w:hint="default" w:ascii="Times New Roman" w:hAnsi="Times New Roman" w:eastAsia="宋体" w:cs="Times New Roman"/>
                <w:color w:val="auto"/>
              </w:rPr>
              <w:t>（危废</w:t>
            </w:r>
            <w:r>
              <w:rPr>
                <w:rFonts w:hint="default" w:ascii="Times New Roman" w:hAnsi="Times New Roman" w:eastAsia="宋体" w:cs="Times New Roman"/>
                <w:color w:val="auto"/>
                <w:spacing w:val="0"/>
                <w:sz w:val="24"/>
                <w:szCs w:val="32"/>
                <w:lang w:eastAsia="zh-CN"/>
              </w:rPr>
              <w:t>代码HW08，900-21</w:t>
            </w:r>
            <w:r>
              <w:rPr>
                <w:rFonts w:hint="default" w:ascii="Times New Roman" w:hAnsi="Times New Roman" w:eastAsia="宋体" w:cs="Times New Roman"/>
                <w:color w:val="auto"/>
                <w:spacing w:val="0"/>
                <w:sz w:val="24"/>
                <w:szCs w:val="32"/>
                <w:lang w:val="en-US" w:eastAsia="zh-CN"/>
              </w:rPr>
              <w:t>7</w:t>
            </w:r>
            <w:r>
              <w:rPr>
                <w:rFonts w:hint="default" w:ascii="Times New Roman" w:hAnsi="Times New Roman" w:eastAsia="宋体" w:cs="Times New Roman"/>
                <w:color w:val="auto"/>
                <w:spacing w:val="0"/>
                <w:sz w:val="24"/>
                <w:szCs w:val="32"/>
                <w:lang w:eastAsia="zh-CN"/>
              </w:rPr>
              <w:t>-08），废油桶</w:t>
            </w:r>
            <w:r>
              <w:rPr>
                <w:rFonts w:hint="default" w:ascii="Times New Roman" w:hAnsi="Times New Roman" w:eastAsia="宋体" w:cs="Times New Roman"/>
                <w:color w:val="auto"/>
              </w:rPr>
              <w:t>（危废</w:t>
            </w:r>
            <w:r>
              <w:rPr>
                <w:rFonts w:hint="default" w:ascii="Times New Roman" w:hAnsi="Times New Roman" w:eastAsia="宋体" w:cs="Times New Roman"/>
                <w:color w:val="auto"/>
                <w:spacing w:val="0"/>
                <w:sz w:val="24"/>
                <w:szCs w:val="32"/>
                <w:lang w:eastAsia="zh-CN"/>
              </w:rPr>
              <w:t>代码HW08，900-</w:t>
            </w:r>
            <w:r>
              <w:rPr>
                <w:rFonts w:hint="default" w:ascii="Times New Roman" w:hAnsi="Times New Roman" w:eastAsia="宋体" w:cs="Times New Roman"/>
                <w:color w:val="auto"/>
                <w:spacing w:val="0"/>
                <w:sz w:val="24"/>
                <w:szCs w:val="32"/>
                <w:lang w:val="en-US" w:eastAsia="zh-CN"/>
              </w:rPr>
              <w:t>249</w:t>
            </w:r>
            <w:r>
              <w:rPr>
                <w:rFonts w:hint="default" w:ascii="Times New Roman" w:hAnsi="Times New Roman" w:eastAsia="宋体" w:cs="Times New Roman"/>
                <w:color w:val="auto"/>
                <w:spacing w:val="0"/>
                <w:sz w:val="24"/>
                <w:szCs w:val="32"/>
                <w:lang w:eastAsia="zh-CN"/>
              </w:rPr>
              <w:t>-08）、</w:t>
            </w:r>
            <w:r>
              <w:rPr>
                <w:rFonts w:hint="default" w:ascii="Times New Roman" w:hAnsi="Times New Roman" w:eastAsia="宋体" w:cs="Times New Roman"/>
                <w:b w:val="0"/>
                <w:bCs w:val="0"/>
                <w:color w:val="auto"/>
                <w:sz w:val="24"/>
                <w:szCs w:val="24"/>
                <w:lang w:eastAsia="zh-CN"/>
              </w:rPr>
              <w:t>废旧含油抹布及劳保用品</w:t>
            </w:r>
            <w:r>
              <w:rPr>
                <w:rFonts w:hint="default" w:ascii="Times New Roman" w:hAnsi="Times New Roman" w:eastAsia="宋体" w:cs="Times New Roman"/>
                <w:color w:val="auto"/>
                <w:spacing w:val="0"/>
                <w:sz w:val="24"/>
                <w:szCs w:val="32"/>
                <w:lang w:eastAsia="zh-CN"/>
              </w:rPr>
              <w:t>（危废代码HW49，900-041-49），</w:t>
            </w:r>
            <w:r>
              <w:rPr>
                <w:rFonts w:hint="default" w:ascii="Times New Roman" w:hAnsi="Times New Roman" w:eastAsia="宋体" w:cs="Times New Roman"/>
                <w:color w:val="auto"/>
              </w:rPr>
              <w:t>暂存于</w:t>
            </w:r>
            <w:r>
              <w:rPr>
                <w:rFonts w:hint="default" w:ascii="Times New Roman" w:hAnsi="Times New Roman" w:eastAsia="宋体" w:cs="Times New Roman"/>
                <w:color w:val="auto"/>
                <w:lang w:eastAsia="zh-CN"/>
              </w:rPr>
              <w:t>危险废物贮存间</w:t>
            </w:r>
            <w:r>
              <w:rPr>
                <w:rFonts w:hint="default" w:ascii="Times New Roman" w:hAnsi="Times New Roman" w:eastAsia="宋体" w:cs="Times New Roman"/>
                <w:color w:val="auto"/>
              </w:rPr>
              <w:t>内，委托有资质的专业单位处置。</w:t>
            </w:r>
          </w:p>
          <w:p w14:paraId="1A9840CB">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snapToGrid w:val="0"/>
                <w:color w:val="auto"/>
                <w:sz w:val="24"/>
                <w:szCs w:val="32"/>
              </w:rPr>
              <w:t>根据工程分析</w:t>
            </w:r>
            <w:r>
              <w:rPr>
                <w:rFonts w:hint="default" w:ascii="Times New Roman" w:hAnsi="Times New Roman" w:eastAsia="宋体" w:cs="Times New Roman"/>
                <w:color w:val="auto"/>
                <w:sz w:val="24"/>
                <w:szCs w:val="32"/>
              </w:rPr>
              <w:t>，本项目危险废物产生及处置情况见下表：</w:t>
            </w:r>
          </w:p>
          <w:p w14:paraId="280FCD92">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0" w:firstLineChars="0"/>
              <w:jc w:val="center"/>
              <w:textAlignment w:val="auto"/>
              <w:outlineLvl w:val="9"/>
              <w:rPr>
                <w:rFonts w:hint="default" w:ascii="Times New Roman" w:hAnsi="Times New Roman" w:eastAsia="宋体" w:cs="Times New Roman"/>
                <w:b/>
                <w:bCs/>
                <w:color w:val="auto"/>
                <w:sz w:val="21"/>
                <w:szCs w:val="21"/>
              </w:rPr>
            </w:pPr>
          </w:p>
          <w:p w14:paraId="7E44C0A4">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0" w:firstLineChars="0"/>
              <w:jc w:val="center"/>
              <w:textAlignment w:val="auto"/>
              <w:outlineLvl w:val="9"/>
              <w:rPr>
                <w:rFonts w:hint="default" w:ascii="Times New Roman" w:hAnsi="Times New Roman" w:eastAsia="宋体" w:cs="Times New Roman"/>
                <w:b/>
                <w:bCs/>
                <w:color w:val="auto"/>
                <w:sz w:val="21"/>
                <w:szCs w:val="21"/>
              </w:rPr>
            </w:pPr>
          </w:p>
          <w:p w14:paraId="41B1360B">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4-1</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危险废物产生及处置一览表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3"/>
              <w:gridCol w:w="930"/>
              <w:gridCol w:w="735"/>
              <w:gridCol w:w="675"/>
              <w:gridCol w:w="750"/>
              <w:gridCol w:w="716"/>
              <w:gridCol w:w="417"/>
              <w:gridCol w:w="607"/>
              <w:gridCol w:w="705"/>
              <w:gridCol w:w="630"/>
              <w:gridCol w:w="585"/>
              <w:gridCol w:w="910"/>
            </w:tblGrid>
            <w:tr w14:paraId="1B8A4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393" w:type="dxa"/>
                  <w:noWrap w:val="0"/>
                  <w:vAlign w:val="center"/>
                </w:tcPr>
                <w:p w14:paraId="7522D3D0">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30" w:type="dxa"/>
                  <w:noWrap w:val="0"/>
                  <w:vAlign w:val="center"/>
                </w:tcPr>
                <w:p w14:paraId="3B74F399">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危险废物名称</w:t>
                  </w:r>
                </w:p>
              </w:tc>
              <w:tc>
                <w:tcPr>
                  <w:tcW w:w="735" w:type="dxa"/>
                  <w:noWrap w:val="0"/>
                  <w:vAlign w:val="center"/>
                </w:tcPr>
                <w:p w14:paraId="2712280B">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危险废物类别</w:t>
                  </w:r>
                </w:p>
              </w:tc>
              <w:tc>
                <w:tcPr>
                  <w:tcW w:w="675" w:type="dxa"/>
                  <w:noWrap w:val="0"/>
                  <w:vAlign w:val="center"/>
                </w:tcPr>
                <w:p w14:paraId="41DF3089">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危险废物代码</w:t>
                  </w:r>
                </w:p>
              </w:tc>
              <w:tc>
                <w:tcPr>
                  <w:tcW w:w="750" w:type="dxa"/>
                  <w:noWrap w:val="0"/>
                  <w:vAlign w:val="center"/>
                </w:tcPr>
                <w:p w14:paraId="256DC0C8">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tc>
              <w:tc>
                <w:tcPr>
                  <w:tcW w:w="716" w:type="dxa"/>
                  <w:noWrap w:val="0"/>
                  <w:vAlign w:val="center"/>
                </w:tcPr>
                <w:p w14:paraId="67E1AE4E">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产生工序及装置</w:t>
                  </w:r>
                </w:p>
              </w:tc>
              <w:tc>
                <w:tcPr>
                  <w:tcW w:w="417" w:type="dxa"/>
                  <w:noWrap w:val="0"/>
                  <w:vAlign w:val="center"/>
                </w:tcPr>
                <w:p w14:paraId="3CCB334D">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形态</w:t>
                  </w:r>
                </w:p>
              </w:tc>
              <w:tc>
                <w:tcPr>
                  <w:tcW w:w="607" w:type="dxa"/>
                  <w:noWrap w:val="0"/>
                  <w:vAlign w:val="center"/>
                </w:tcPr>
                <w:p w14:paraId="72B76090">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主要成分</w:t>
                  </w:r>
                </w:p>
              </w:tc>
              <w:tc>
                <w:tcPr>
                  <w:tcW w:w="705" w:type="dxa"/>
                  <w:noWrap w:val="0"/>
                  <w:vAlign w:val="center"/>
                </w:tcPr>
                <w:p w14:paraId="45AE6A68">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有害成分</w:t>
                  </w:r>
                </w:p>
              </w:tc>
              <w:tc>
                <w:tcPr>
                  <w:tcW w:w="630" w:type="dxa"/>
                  <w:noWrap w:val="0"/>
                  <w:vAlign w:val="center"/>
                </w:tcPr>
                <w:p w14:paraId="337C3810">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产废周期</w:t>
                  </w:r>
                </w:p>
              </w:tc>
              <w:tc>
                <w:tcPr>
                  <w:tcW w:w="585" w:type="dxa"/>
                  <w:noWrap w:val="0"/>
                  <w:vAlign w:val="center"/>
                </w:tcPr>
                <w:p w14:paraId="7F4A8115">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危险特性</w:t>
                  </w:r>
                </w:p>
              </w:tc>
              <w:tc>
                <w:tcPr>
                  <w:tcW w:w="910" w:type="dxa"/>
                  <w:noWrap w:val="0"/>
                  <w:vAlign w:val="center"/>
                </w:tcPr>
                <w:p w14:paraId="6354EDE6">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污染防治措施</w:t>
                  </w:r>
                </w:p>
              </w:tc>
            </w:tr>
            <w:tr w14:paraId="02BA6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93" w:type="dxa"/>
                  <w:noWrap w:val="0"/>
                  <w:vAlign w:val="center"/>
                </w:tcPr>
                <w:p w14:paraId="14C07915">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930" w:type="dxa"/>
                  <w:noWrap w:val="0"/>
                  <w:vAlign w:val="center"/>
                </w:tcPr>
                <w:p w14:paraId="6E93A735">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废</w:t>
                  </w:r>
                  <w:r>
                    <w:rPr>
                      <w:rFonts w:hint="eastAsia" w:cs="Times New Roman"/>
                      <w:b w:val="0"/>
                      <w:bCs w:val="0"/>
                      <w:color w:val="auto"/>
                      <w:sz w:val="21"/>
                      <w:szCs w:val="21"/>
                      <w:lang w:eastAsia="zh-CN"/>
                    </w:rPr>
                    <w:t>润滑</w:t>
                  </w:r>
                  <w:r>
                    <w:rPr>
                      <w:rFonts w:hint="default" w:ascii="Times New Roman" w:hAnsi="Times New Roman" w:eastAsia="宋体" w:cs="Times New Roman"/>
                      <w:b w:val="0"/>
                      <w:bCs w:val="0"/>
                      <w:color w:val="auto"/>
                      <w:sz w:val="21"/>
                      <w:szCs w:val="21"/>
                      <w:lang w:eastAsia="zh-CN"/>
                    </w:rPr>
                    <w:t>油</w:t>
                  </w:r>
                </w:p>
              </w:tc>
              <w:tc>
                <w:tcPr>
                  <w:tcW w:w="735" w:type="dxa"/>
                  <w:noWrap w:val="0"/>
                  <w:vAlign w:val="center"/>
                </w:tcPr>
                <w:p w14:paraId="0FC79CC7">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HW08</w:t>
                  </w:r>
                </w:p>
              </w:tc>
              <w:tc>
                <w:tcPr>
                  <w:tcW w:w="675" w:type="dxa"/>
                  <w:noWrap w:val="0"/>
                  <w:vAlign w:val="center"/>
                </w:tcPr>
                <w:p w14:paraId="1AFEDDE3">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900-21</w:t>
                  </w:r>
                  <w:r>
                    <w:rPr>
                      <w:rFonts w:hint="default" w:ascii="Times New Roman" w:hAnsi="Times New Roman" w:eastAsia="宋体" w:cs="Times New Roman"/>
                      <w:b w:val="0"/>
                      <w:bCs w:val="0"/>
                      <w:color w:val="auto"/>
                      <w:sz w:val="21"/>
                      <w:szCs w:val="21"/>
                      <w:lang w:val="en-US" w:eastAsia="zh-CN"/>
                    </w:rPr>
                    <w:t>7</w:t>
                  </w:r>
                  <w:r>
                    <w:rPr>
                      <w:rFonts w:hint="default" w:ascii="Times New Roman" w:hAnsi="Times New Roman" w:eastAsia="宋体" w:cs="Times New Roman"/>
                      <w:b w:val="0"/>
                      <w:bCs w:val="0"/>
                      <w:color w:val="auto"/>
                      <w:sz w:val="21"/>
                      <w:szCs w:val="21"/>
                    </w:rPr>
                    <w:t>-08</w:t>
                  </w:r>
                </w:p>
              </w:tc>
              <w:tc>
                <w:tcPr>
                  <w:tcW w:w="750" w:type="dxa"/>
                  <w:noWrap w:val="0"/>
                  <w:vAlign w:val="center"/>
                </w:tcPr>
                <w:p w14:paraId="3D18F95C">
                  <w:pPr>
                    <w:pStyle w:val="3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rPr>
                    <w:t>0.</w:t>
                  </w:r>
                  <w:r>
                    <w:rPr>
                      <w:rFonts w:hint="default" w:ascii="Times New Roman" w:hAnsi="Times New Roman" w:eastAsia="宋体" w:cs="Times New Roman"/>
                      <w:color w:val="auto"/>
                      <w:lang w:val="en-US" w:eastAsia="zh-CN"/>
                    </w:rPr>
                    <w:t>01t/a</w:t>
                  </w:r>
                </w:p>
              </w:tc>
              <w:tc>
                <w:tcPr>
                  <w:tcW w:w="716" w:type="dxa"/>
                  <w:noWrap w:val="0"/>
                  <w:vAlign w:val="center"/>
                </w:tcPr>
                <w:p w14:paraId="7483A4BC">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机器</w:t>
                  </w:r>
                  <w:r>
                    <w:rPr>
                      <w:rFonts w:hint="default" w:ascii="Times New Roman" w:hAnsi="Times New Roman" w:eastAsia="宋体" w:cs="Times New Roman"/>
                      <w:b w:val="0"/>
                      <w:bCs w:val="0"/>
                      <w:color w:val="auto"/>
                      <w:sz w:val="21"/>
                      <w:szCs w:val="21"/>
                      <w:lang w:eastAsia="zh-CN"/>
                    </w:rPr>
                    <w:t>润滑</w:t>
                  </w:r>
                </w:p>
              </w:tc>
              <w:tc>
                <w:tcPr>
                  <w:tcW w:w="417" w:type="dxa"/>
                  <w:noWrap w:val="0"/>
                  <w:vAlign w:val="center"/>
                </w:tcPr>
                <w:p w14:paraId="26241572">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液态</w:t>
                  </w:r>
                </w:p>
              </w:tc>
              <w:tc>
                <w:tcPr>
                  <w:tcW w:w="607" w:type="dxa"/>
                  <w:noWrap w:val="0"/>
                  <w:vAlign w:val="center"/>
                </w:tcPr>
                <w:p w14:paraId="5A268492">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矿物油</w:t>
                  </w:r>
                </w:p>
              </w:tc>
              <w:tc>
                <w:tcPr>
                  <w:tcW w:w="705" w:type="dxa"/>
                  <w:noWrap w:val="0"/>
                  <w:vAlign w:val="center"/>
                </w:tcPr>
                <w:p w14:paraId="0151377C">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矿物油</w:t>
                  </w:r>
                </w:p>
              </w:tc>
              <w:tc>
                <w:tcPr>
                  <w:tcW w:w="630" w:type="dxa"/>
                  <w:noWrap w:val="0"/>
                  <w:vAlign w:val="center"/>
                </w:tcPr>
                <w:p w14:paraId="0D82C12C">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一年</w:t>
                  </w:r>
                </w:p>
              </w:tc>
              <w:tc>
                <w:tcPr>
                  <w:tcW w:w="585" w:type="dxa"/>
                  <w:noWrap w:val="0"/>
                  <w:vAlign w:val="center"/>
                </w:tcPr>
                <w:p w14:paraId="2246AC27">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T，I</w:t>
                  </w:r>
                </w:p>
              </w:tc>
              <w:tc>
                <w:tcPr>
                  <w:tcW w:w="910" w:type="dxa"/>
                  <w:vMerge w:val="restart"/>
                  <w:noWrap w:val="0"/>
                  <w:vAlign w:val="center"/>
                </w:tcPr>
                <w:p w14:paraId="2849AD5D">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收集后</w:t>
                  </w:r>
                  <w:r>
                    <w:rPr>
                      <w:rFonts w:hint="default" w:ascii="Times New Roman" w:hAnsi="Times New Roman" w:eastAsia="宋体" w:cs="Times New Roman"/>
                      <w:b w:val="0"/>
                      <w:bCs w:val="0"/>
                      <w:color w:val="auto"/>
                      <w:sz w:val="21"/>
                      <w:szCs w:val="21"/>
                      <w:lang w:eastAsia="zh-CN"/>
                    </w:rPr>
                    <w:t>暂</w:t>
                  </w:r>
                  <w:r>
                    <w:rPr>
                      <w:rFonts w:hint="default" w:ascii="Times New Roman" w:hAnsi="Times New Roman" w:eastAsia="宋体" w:cs="Times New Roman"/>
                      <w:b w:val="0"/>
                      <w:bCs w:val="0"/>
                      <w:color w:val="auto"/>
                      <w:sz w:val="21"/>
                      <w:szCs w:val="21"/>
                    </w:rPr>
                    <w:t>存</w:t>
                  </w:r>
                  <w:r>
                    <w:rPr>
                      <w:rFonts w:hint="default" w:ascii="Times New Roman" w:hAnsi="Times New Roman" w:eastAsia="宋体" w:cs="Times New Roman"/>
                      <w:b w:val="0"/>
                      <w:bCs w:val="0"/>
                      <w:color w:val="auto"/>
                      <w:sz w:val="21"/>
                      <w:szCs w:val="21"/>
                      <w:lang w:eastAsia="zh-CN"/>
                    </w:rPr>
                    <w:t>于</w:t>
                  </w:r>
                  <w:r>
                    <w:rPr>
                      <w:rFonts w:hint="default" w:ascii="Times New Roman" w:hAnsi="Times New Roman" w:eastAsia="宋体" w:cs="Times New Roman"/>
                      <w:b w:val="0"/>
                      <w:bCs w:val="0"/>
                      <w:color w:val="auto"/>
                      <w:sz w:val="21"/>
                      <w:szCs w:val="21"/>
                    </w:rPr>
                    <w:t>危废贮存间，定期委托有资质的</w:t>
                  </w:r>
                  <w:r>
                    <w:rPr>
                      <w:rFonts w:hint="default" w:ascii="Times New Roman" w:hAnsi="Times New Roman" w:eastAsia="宋体" w:cs="Times New Roman"/>
                      <w:b w:val="0"/>
                      <w:bCs w:val="0"/>
                      <w:color w:val="auto"/>
                      <w:sz w:val="21"/>
                      <w:szCs w:val="21"/>
                      <w:lang w:eastAsia="zh-CN"/>
                    </w:rPr>
                    <w:t>专业</w:t>
                  </w:r>
                  <w:r>
                    <w:rPr>
                      <w:rFonts w:hint="default" w:ascii="Times New Roman" w:hAnsi="Times New Roman" w:eastAsia="宋体" w:cs="Times New Roman"/>
                      <w:b w:val="0"/>
                      <w:bCs w:val="0"/>
                      <w:color w:val="auto"/>
                      <w:sz w:val="21"/>
                      <w:szCs w:val="21"/>
                    </w:rPr>
                    <w:t>单位处理</w:t>
                  </w:r>
                </w:p>
              </w:tc>
            </w:tr>
            <w:tr w14:paraId="6D45B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393" w:type="dxa"/>
                  <w:noWrap w:val="0"/>
                  <w:vAlign w:val="center"/>
                </w:tcPr>
                <w:p w14:paraId="1755945F">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930" w:type="dxa"/>
                  <w:noWrap w:val="0"/>
                  <w:vAlign w:val="center"/>
                </w:tcPr>
                <w:p w14:paraId="6F0A2259">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废油桶</w:t>
                  </w:r>
                </w:p>
              </w:tc>
              <w:tc>
                <w:tcPr>
                  <w:tcW w:w="735" w:type="dxa"/>
                  <w:noWrap w:val="0"/>
                  <w:vAlign w:val="center"/>
                </w:tcPr>
                <w:p w14:paraId="13D23648">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HW</w:t>
                  </w:r>
                  <w:r>
                    <w:rPr>
                      <w:rFonts w:hint="default" w:ascii="Times New Roman" w:hAnsi="Times New Roman" w:eastAsia="宋体" w:cs="Times New Roman"/>
                      <w:b w:val="0"/>
                      <w:bCs w:val="0"/>
                      <w:color w:val="auto"/>
                      <w:sz w:val="21"/>
                      <w:szCs w:val="21"/>
                      <w:lang w:val="en-US" w:eastAsia="zh-CN"/>
                    </w:rPr>
                    <w:t>08</w:t>
                  </w:r>
                </w:p>
              </w:tc>
              <w:tc>
                <w:tcPr>
                  <w:tcW w:w="675" w:type="dxa"/>
                  <w:noWrap w:val="0"/>
                  <w:vAlign w:val="center"/>
                </w:tcPr>
                <w:p w14:paraId="47127694">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900-</w:t>
                  </w:r>
                  <w:r>
                    <w:rPr>
                      <w:rFonts w:hint="default" w:ascii="Times New Roman" w:hAnsi="Times New Roman" w:eastAsia="宋体" w:cs="Times New Roman"/>
                      <w:b w:val="0"/>
                      <w:bCs w:val="0"/>
                      <w:color w:val="auto"/>
                      <w:sz w:val="21"/>
                      <w:szCs w:val="21"/>
                      <w:lang w:val="en-US" w:eastAsia="zh-CN"/>
                    </w:rPr>
                    <w:t>249</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val="en-US" w:eastAsia="zh-CN"/>
                    </w:rPr>
                    <w:t>08</w:t>
                  </w:r>
                </w:p>
              </w:tc>
              <w:tc>
                <w:tcPr>
                  <w:tcW w:w="750" w:type="dxa"/>
                  <w:noWrap w:val="0"/>
                  <w:vAlign w:val="center"/>
                </w:tcPr>
                <w:p w14:paraId="4F07763F">
                  <w:pPr>
                    <w:pStyle w:val="3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lang w:val="en-US" w:eastAsia="zh-CN"/>
                    </w:rPr>
                    <w:t>2个</w:t>
                  </w:r>
                </w:p>
              </w:tc>
              <w:tc>
                <w:tcPr>
                  <w:tcW w:w="716" w:type="dxa"/>
                  <w:noWrap w:val="0"/>
                  <w:vAlign w:val="center"/>
                </w:tcPr>
                <w:p w14:paraId="6ACB8E03">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机器检修</w:t>
                  </w:r>
                </w:p>
              </w:tc>
              <w:tc>
                <w:tcPr>
                  <w:tcW w:w="417" w:type="dxa"/>
                  <w:noWrap w:val="0"/>
                  <w:vAlign w:val="center"/>
                </w:tcPr>
                <w:p w14:paraId="175DF57B">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固态</w:t>
                  </w:r>
                </w:p>
              </w:tc>
              <w:tc>
                <w:tcPr>
                  <w:tcW w:w="607" w:type="dxa"/>
                  <w:noWrap w:val="0"/>
                  <w:vAlign w:val="center"/>
                </w:tcPr>
                <w:p w14:paraId="6DC25D0F">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沾油铁桶</w:t>
                  </w:r>
                </w:p>
              </w:tc>
              <w:tc>
                <w:tcPr>
                  <w:tcW w:w="705" w:type="dxa"/>
                  <w:noWrap w:val="0"/>
                  <w:vAlign w:val="center"/>
                </w:tcPr>
                <w:p w14:paraId="307D58EF">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矿物油</w:t>
                  </w:r>
                </w:p>
              </w:tc>
              <w:tc>
                <w:tcPr>
                  <w:tcW w:w="630" w:type="dxa"/>
                  <w:noWrap w:val="0"/>
                  <w:vAlign w:val="center"/>
                </w:tcPr>
                <w:p w14:paraId="1B539B9F">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一</w:t>
                  </w:r>
                  <w:r>
                    <w:rPr>
                      <w:rFonts w:hint="default" w:ascii="Times New Roman" w:hAnsi="Times New Roman" w:eastAsia="宋体" w:cs="Times New Roman"/>
                      <w:b w:val="0"/>
                      <w:bCs w:val="0"/>
                      <w:color w:val="auto"/>
                      <w:sz w:val="21"/>
                      <w:szCs w:val="21"/>
                    </w:rPr>
                    <w:t>年</w:t>
                  </w:r>
                </w:p>
              </w:tc>
              <w:tc>
                <w:tcPr>
                  <w:tcW w:w="585" w:type="dxa"/>
                  <w:noWrap w:val="0"/>
                  <w:vAlign w:val="center"/>
                </w:tcPr>
                <w:p w14:paraId="664DA889">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T，I</w:t>
                  </w:r>
                </w:p>
              </w:tc>
              <w:tc>
                <w:tcPr>
                  <w:tcW w:w="910" w:type="dxa"/>
                  <w:vMerge w:val="continue"/>
                  <w:noWrap w:val="0"/>
                  <w:vAlign w:val="center"/>
                </w:tcPr>
                <w:p w14:paraId="49CB802C">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p>
              </w:tc>
            </w:tr>
            <w:tr w14:paraId="4B55D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393" w:type="dxa"/>
                  <w:noWrap w:val="0"/>
                  <w:vAlign w:val="center"/>
                </w:tcPr>
                <w:p w14:paraId="1FC08E60">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930" w:type="dxa"/>
                  <w:noWrap w:val="0"/>
                  <w:vAlign w:val="center"/>
                </w:tcPr>
                <w:p w14:paraId="48CF1D71">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废旧含油抹布及劳保用品</w:t>
                  </w:r>
                </w:p>
              </w:tc>
              <w:tc>
                <w:tcPr>
                  <w:tcW w:w="735" w:type="dxa"/>
                  <w:noWrap w:val="0"/>
                  <w:vAlign w:val="center"/>
                </w:tcPr>
                <w:p w14:paraId="453E3C02">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rPr>
                    <w:t>HW49</w:t>
                  </w:r>
                </w:p>
              </w:tc>
              <w:tc>
                <w:tcPr>
                  <w:tcW w:w="675" w:type="dxa"/>
                  <w:noWrap w:val="0"/>
                  <w:vAlign w:val="center"/>
                </w:tcPr>
                <w:p w14:paraId="4EDCF528">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rPr>
                    <w:t>900-041-49</w:t>
                  </w:r>
                </w:p>
              </w:tc>
              <w:tc>
                <w:tcPr>
                  <w:tcW w:w="750" w:type="dxa"/>
                  <w:noWrap w:val="0"/>
                  <w:vAlign w:val="center"/>
                </w:tcPr>
                <w:p w14:paraId="6DB5E793">
                  <w:pPr>
                    <w:pStyle w:val="3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lang w:val="en-US" w:eastAsia="zh-CN"/>
                    </w:rPr>
                    <w:t>0.01t/a</w:t>
                  </w:r>
                </w:p>
              </w:tc>
              <w:tc>
                <w:tcPr>
                  <w:tcW w:w="716" w:type="dxa"/>
                  <w:noWrap w:val="0"/>
                  <w:vAlign w:val="center"/>
                </w:tcPr>
                <w:p w14:paraId="37B74630">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设备维护</w:t>
                  </w:r>
                </w:p>
              </w:tc>
              <w:tc>
                <w:tcPr>
                  <w:tcW w:w="417" w:type="dxa"/>
                  <w:noWrap w:val="0"/>
                  <w:vAlign w:val="center"/>
                </w:tcPr>
                <w:p w14:paraId="0E65CAE2">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固态</w:t>
                  </w:r>
                </w:p>
              </w:tc>
              <w:tc>
                <w:tcPr>
                  <w:tcW w:w="607" w:type="dxa"/>
                  <w:noWrap w:val="0"/>
                  <w:vAlign w:val="center"/>
                </w:tcPr>
                <w:p w14:paraId="58146284">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w:t>
                  </w:r>
                </w:p>
              </w:tc>
              <w:tc>
                <w:tcPr>
                  <w:tcW w:w="705" w:type="dxa"/>
                  <w:noWrap w:val="0"/>
                  <w:vAlign w:val="center"/>
                </w:tcPr>
                <w:p w14:paraId="60923F62">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w:t>
                  </w:r>
                </w:p>
              </w:tc>
              <w:tc>
                <w:tcPr>
                  <w:tcW w:w="630" w:type="dxa"/>
                  <w:noWrap w:val="0"/>
                  <w:vAlign w:val="center"/>
                </w:tcPr>
                <w:p w14:paraId="70C286A6">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lang w:eastAsia="zh-CN"/>
                    </w:rPr>
                    <w:t>一</w:t>
                  </w:r>
                  <w:r>
                    <w:rPr>
                      <w:rFonts w:hint="default" w:ascii="Times New Roman" w:hAnsi="Times New Roman" w:eastAsia="宋体" w:cs="Times New Roman"/>
                      <w:b w:val="0"/>
                      <w:bCs w:val="0"/>
                      <w:color w:val="auto"/>
                      <w:sz w:val="21"/>
                      <w:szCs w:val="21"/>
                    </w:rPr>
                    <w:t>年</w:t>
                  </w:r>
                </w:p>
              </w:tc>
              <w:tc>
                <w:tcPr>
                  <w:tcW w:w="585" w:type="dxa"/>
                  <w:noWrap w:val="0"/>
                  <w:vAlign w:val="center"/>
                </w:tcPr>
                <w:p w14:paraId="393907B5">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910" w:type="dxa"/>
                  <w:vMerge w:val="continue"/>
                  <w:noWrap w:val="0"/>
                  <w:vAlign w:val="center"/>
                </w:tcPr>
                <w:p w14:paraId="072F501D">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rPr>
                  </w:pPr>
                </w:p>
              </w:tc>
            </w:tr>
          </w:tbl>
          <w:p w14:paraId="67A8183F">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4.</w:t>
            </w:r>
            <w:r>
              <w:rPr>
                <w:rFonts w:hint="default" w:ascii="Times New Roman" w:hAnsi="Times New Roman" w:eastAsia="宋体" w:cs="Times New Roman"/>
                <w:b/>
                <w:bCs/>
                <w:color w:val="auto"/>
                <w:lang w:val="en-US" w:eastAsia="zh-CN"/>
              </w:rPr>
              <w:t>2固体废物环境管理要求</w:t>
            </w:r>
          </w:p>
          <w:p w14:paraId="3CF20B4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（1）一般固体废物</w:t>
            </w:r>
          </w:p>
          <w:p w14:paraId="6A2548F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生活垃圾按照《河北省城乡生活垃圾分类管理条例》要求，分类收集、投放，袋装化丢入相应的垃圾箱内，定时由环卫部门清运。</w:t>
            </w:r>
          </w:p>
          <w:p w14:paraId="0757BDC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布袋除尘器除尘灰</w:t>
            </w:r>
            <w:r>
              <w:rPr>
                <w:rFonts w:hint="default" w:ascii="Times New Roman" w:hAnsi="Times New Roman" w:eastAsia="宋体" w:cs="Times New Roman"/>
                <w:color w:val="auto"/>
                <w:spacing w:val="0"/>
                <w:sz w:val="24"/>
                <w:szCs w:val="32"/>
                <w:lang w:eastAsia="zh-CN"/>
              </w:rPr>
              <w:t>统一收集后</w:t>
            </w:r>
            <w:r>
              <w:rPr>
                <w:rFonts w:hint="eastAsia" w:cs="Times New Roman"/>
                <w:color w:val="auto"/>
                <w:spacing w:val="0"/>
                <w:sz w:val="24"/>
                <w:szCs w:val="32"/>
                <w:lang w:eastAsia="zh-CN"/>
              </w:rPr>
              <w:t>同产品一起外售</w:t>
            </w:r>
            <w:r>
              <w:rPr>
                <w:rFonts w:hint="default" w:ascii="Times New Roman" w:hAnsi="Times New Roman" w:eastAsia="宋体" w:cs="Times New Roman"/>
                <w:color w:val="auto"/>
                <w:highlight w:val="none"/>
                <w:lang w:eastAsia="zh-CN"/>
              </w:rPr>
              <w:t>；一般固体废物严格按照《一般工业固体废物贮存和填埋场污染控制标准》（GB18599-2020）对一般工业固废暂存的要求执行。</w:t>
            </w:r>
          </w:p>
          <w:p w14:paraId="09D34984">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lang w:val="en-US" w:eastAsia="zh-CN"/>
              </w:rPr>
              <w:t>（2）危险废物</w:t>
            </w:r>
          </w:p>
          <w:p w14:paraId="27B6C50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eastAsia" w:cs="Times New Roman"/>
                <w:color w:val="auto"/>
                <w:lang w:eastAsia="zh-CN"/>
              </w:rPr>
            </w:pPr>
            <w:r>
              <w:rPr>
                <w:rFonts w:hint="eastAsia" w:cs="Times New Roman"/>
                <w:color w:val="auto"/>
                <w:lang w:val="en-US" w:eastAsia="zh-CN"/>
              </w:rPr>
              <w:t>A.</w:t>
            </w:r>
            <w:r>
              <w:rPr>
                <w:rFonts w:hint="eastAsia" w:cs="Times New Roman"/>
                <w:color w:val="auto"/>
                <w:lang w:eastAsia="zh-CN"/>
              </w:rPr>
              <w:t>危险废物贮存场所（设施）</w:t>
            </w:r>
          </w:p>
          <w:p w14:paraId="0DEA56E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b w:val="0"/>
                <w:bCs w:val="0"/>
                <w:color w:val="auto"/>
                <w:sz w:val="24"/>
                <w:szCs w:val="24"/>
                <w:lang w:eastAsia="zh-CN"/>
              </w:rPr>
              <w:t>建设单位应根据废物特性设置符合</w:t>
            </w:r>
            <w:r>
              <w:rPr>
                <w:rFonts w:hint="eastAsia" w:cs="Times New Roman"/>
                <w:b w:val="0"/>
                <w:bCs w:val="0"/>
                <w:color w:val="auto"/>
                <w:sz w:val="24"/>
                <w:szCs w:val="24"/>
                <w:lang w:eastAsia="zh-CN"/>
              </w:rPr>
              <w:t>《危险废物贮存污染控制标准》（GB18597-2023）</w:t>
            </w:r>
            <w:r>
              <w:rPr>
                <w:rFonts w:hint="default" w:ascii="Times New Roman" w:hAnsi="Times New Roman" w:eastAsia="宋体" w:cs="Times New Roman"/>
                <w:b w:val="0"/>
                <w:bCs w:val="0"/>
                <w:color w:val="auto"/>
                <w:sz w:val="24"/>
                <w:szCs w:val="24"/>
                <w:lang w:eastAsia="zh-CN"/>
              </w:rPr>
              <w:t>、《危险废物收集贮存运输技术规范》(HJ20</w:t>
            </w:r>
            <w:r>
              <w:rPr>
                <w:rFonts w:hint="eastAsia" w:cs="Times New Roman"/>
                <w:b w:val="0"/>
                <w:bCs w:val="0"/>
                <w:color w:val="auto"/>
                <w:sz w:val="24"/>
                <w:szCs w:val="24"/>
                <w:lang w:eastAsia="zh-CN"/>
              </w:rPr>
              <w:t>23</w:t>
            </w:r>
            <w:r>
              <w:rPr>
                <w:rFonts w:hint="default" w:ascii="Times New Roman" w:hAnsi="Times New Roman" w:eastAsia="宋体" w:cs="Times New Roman"/>
                <w:b w:val="0"/>
                <w:bCs w:val="0"/>
                <w:color w:val="auto"/>
                <w:sz w:val="24"/>
                <w:szCs w:val="24"/>
                <w:lang w:eastAsia="zh-CN"/>
              </w:rPr>
              <w:t>-2012)及相关法律法规要求</w:t>
            </w:r>
            <w:r>
              <w:rPr>
                <w:rFonts w:hint="eastAsia" w:cs="Times New Roman"/>
                <w:b w:val="0"/>
                <w:bCs w:val="0"/>
                <w:color w:val="auto"/>
                <w:sz w:val="24"/>
                <w:szCs w:val="24"/>
                <w:lang w:eastAsia="zh-CN"/>
              </w:rPr>
              <w:t>，</w:t>
            </w:r>
            <w:r>
              <w:rPr>
                <w:rFonts w:hint="default" w:ascii="Times New Roman" w:hAnsi="Times New Roman" w:eastAsia="宋体" w:cs="Times New Roman"/>
                <w:color w:val="auto"/>
                <w:sz w:val="24"/>
              </w:rPr>
              <w:t>具体如下：</w:t>
            </w:r>
          </w:p>
          <w:p w14:paraId="675FE85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①危险废物贮存设施的选址、设计、建设、运行管理应满足GB18597、GBZ1和GBZ2的有关要求。</w:t>
            </w:r>
          </w:p>
          <w:p w14:paraId="2B1F2D8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②危险废物贮存设施配备通讯设备、照明设施和消防设施。</w:t>
            </w:r>
          </w:p>
          <w:p w14:paraId="5DE232B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szCs w:val="22"/>
              </w:rPr>
              <w:t>危废贮存间</w:t>
            </w:r>
            <w:r>
              <w:rPr>
                <w:rFonts w:hint="default" w:ascii="Times New Roman" w:hAnsi="Times New Roman" w:eastAsia="宋体" w:cs="Times New Roman"/>
                <w:color w:val="auto"/>
                <w:sz w:val="24"/>
                <w:szCs w:val="22"/>
                <w:lang w:eastAsia="zh-CN"/>
              </w:rPr>
              <w:t>建设</w:t>
            </w:r>
            <w:r>
              <w:rPr>
                <w:rFonts w:hint="default" w:ascii="Times New Roman" w:hAnsi="Times New Roman" w:eastAsia="宋体" w:cs="Times New Roman"/>
                <w:color w:val="auto"/>
                <w:sz w:val="24"/>
                <w:szCs w:val="22"/>
              </w:rPr>
              <w:t>墙面距地面1m高</w:t>
            </w:r>
            <w:r>
              <w:rPr>
                <w:rFonts w:hint="default" w:ascii="Times New Roman" w:hAnsi="Times New Roman" w:eastAsia="宋体" w:cs="Times New Roman"/>
                <w:color w:val="auto"/>
                <w:sz w:val="24"/>
                <w:szCs w:val="22"/>
                <w:lang w:eastAsia="zh-CN"/>
              </w:rPr>
              <w:t>的堵截</w:t>
            </w:r>
            <w:r>
              <w:rPr>
                <w:rFonts w:hint="eastAsia" w:cs="Times New Roman"/>
                <w:color w:val="auto"/>
                <w:sz w:val="24"/>
                <w:szCs w:val="22"/>
                <w:lang w:eastAsia="zh-CN"/>
              </w:rPr>
              <w:t>泄漏</w:t>
            </w:r>
            <w:r>
              <w:rPr>
                <w:rFonts w:hint="default" w:ascii="Times New Roman" w:hAnsi="Times New Roman" w:eastAsia="宋体" w:cs="Times New Roman"/>
                <w:color w:val="auto"/>
                <w:sz w:val="24"/>
                <w:szCs w:val="22"/>
                <w:lang w:eastAsia="zh-CN"/>
              </w:rPr>
              <w:t>的裙角，</w:t>
            </w:r>
            <w:r>
              <w:rPr>
                <w:rFonts w:hint="default" w:ascii="Times New Roman" w:hAnsi="Times New Roman" w:eastAsia="宋体" w:cs="Times New Roman"/>
                <w:color w:val="auto"/>
                <w:sz w:val="24"/>
                <w:szCs w:val="22"/>
              </w:rPr>
              <w:t>防渗系数不小于10</w:t>
            </w:r>
            <w:r>
              <w:rPr>
                <w:rFonts w:hint="default" w:ascii="Times New Roman" w:hAnsi="Times New Roman" w:eastAsia="宋体" w:cs="Times New Roman"/>
                <w:color w:val="auto"/>
                <w:sz w:val="24"/>
                <w:szCs w:val="22"/>
                <w:vertAlign w:val="superscript"/>
              </w:rPr>
              <w:t>-10</w:t>
            </w:r>
            <w:r>
              <w:rPr>
                <w:rFonts w:hint="default" w:ascii="Times New Roman" w:hAnsi="Times New Roman" w:eastAsia="宋体" w:cs="Times New Roman"/>
                <w:color w:val="auto"/>
                <w:sz w:val="24"/>
                <w:szCs w:val="22"/>
              </w:rPr>
              <w:t>cm/s</w:t>
            </w:r>
            <w:r>
              <w:rPr>
                <w:rFonts w:hint="default" w:ascii="Times New Roman" w:hAnsi="Times New Roman" w:eastAsia="宋体" w:cs="Times New Roman"/>
                <w:color w:val="auto"/>
                <w:sz w:val="24"/>
                <w:szCs w:val="22"/>
                <w:lang w:eastAsia="zh-CN"/>
              </w:rPr>
              <w:t>。</w:t>
            </w:r>
          </w:p>
          <w:p w14:paraId="7222609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④贮存危险废物时按危险废物的种类和特性进行分区贮存，每个贮存区域之间宜设置挡墙间隔，并设置防风、防雨、防晒、防渗（渗透系数≤10</w:t>
            </w:r>
            <w:r>
              <w:rPr>
                <w:rFonts w:hint="default" w:ascii="Times New Roman" w:hAnsi="Times New Roman" w:eastAsia="宋体" w:cs="Times New Roman"/>
                <w:color w:val="auto"/>
                <w:sz w:val="24"/>
                <w:vertAlign w:val="superscript"/>
              </w:rPr>
              <w:t>-10</w:t>
            </w:r>
            <w:r>
              <w:rPr>
                <w:rFonts w:hint="default" w:ascii="Times New Roman" w:hAnsi="Times New Roman" w:eastAsia="宋体" w:cs="Times New Roman"/>
                <w:color w:val="auto"/>
                <w:sz w:val="24"/>
              </w:rPr>
              <w:t>cm/s）。</w:t>
            </w:r>
          </w:p>
          <w:p w14:paraId="49BFDBE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szCs w:val="22"/>
              </w:rPr>
              <w:t>危废贮存间</w:t>
            </w:r>
            <w:r>
              <w:rPr>
                <w:rFonts w:hint="default" w:ascii="Times New Roman" w:hAnsi="Times New Roman" w:eastAsia="宋体" w:cs="Times New Roman"/>
                <w:color w:val="auto"/>
                <w:sz w:val="24"/>
                <w:szCs w:val="22"/>
                <w:lang w:eastAsia="zh-CN"/>
              </w:rPr>
              <w:t>设置</w:t>
            </w:r>
            <w:r>
              <w:rPr>
                <w:rFonts w:hint="eastAsia" w:cs="Times New Roman"/>
                <w:color w:val="auto"/>
                <w:sz w:val="24"/>
                <w:szCs w:val="22"/>
                <w:lang w:eastAsia="zh-CN"/>
              </w:rPr>
              <w:t>泄漏液体</w:t>
            </w:r>
            <w:r>
              <w:rPr>
                <w:rFonts w:hint="default" w:ascii="Times New Roman" w:hAnsi="Times New Roman" w:eastAsia="宋体" w:cs="Times New Roman"/>
                <w:color w:val="auto"/>
                <w:sz w:val="24"/>
                <w:szCs w:val="22"/>
                <w:lang w:eastAsia="zh-CN"/>
              </w:rPr>
              <w:t>收集装置，如导流槽、废液收集池，</w:t>
            </w:r>
            <w:r>
              <w:rPr>
                <w:rFonts w:hint="default" w:ascii="Times New Roman" w:hAnsi="Times New Roman" w:eastAsia="宋体" w:cs="Times New Roman"/>
                <w:color w:val="auto"/>
                <w:sz w:val="24"/>
                <w:szCs w:val="22"/>
              </w:rPr>
              <w:t>防渗系数不小于10</w:t>
            </w:r>
            <w:r>
              <w:rPr>
                <w:rFonts w:hint="default" w:ascii="Times New Roman" w:hAnsi="Times New Roman" w:eastAsia="宋体" w:cs="Times New Roman"/>
                <w:color w:val="auto"/>
                <w:sz w:val="24"/>
                <w:szCs w:val="22"/>
                <w:vertAlign w:val="superscript"/>
              </w:rPr>
              <w:t>-10</w:t>
            </w:r>
            <w:r>
              <w:rPr>
                <w:rFonts w:hint="default" w:ascii="Times New Roman" w:hAnsi="Times New Roman" w:eastAsia="宋体" w:cs="Times New Roman"/>
                <w:color w:val="auto"/>
                <w:sz w:val="24"/>
                <w:szCs w:val="22"/>
              </w:rPr>
              <w:t>cm/s</w:t>
            </w:r>
            <w:r>
              <w:rPr>
                <w:rFonts w:hint="default" w:ascii="Times New Roman" w:hAnsi="Times New Roman" w:eastAsia="宋体" w:cs="Times New Roman"/>
                <w:color w:val="auto"/>
                <w:sz w:val="24"/>
                <w:szCs w:val="22"/>
                <w:lang w:eastAsia="zh-CN"/>
              </w:rPr>
              <w:t>。</w:t>
            </w:r>
          </w:p>
          <w:p w14:paraId="5B6F5CE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⑥危险废物贮存期限按《中华人民共和国固体废物污染环境防治法》的有关规定，及时交由资质单位集中处置。</w:t>
            </w:r>
          </w:p>
          <w:p w14:paraId="2A94A55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⑦危险废物贮存单位建立危险废物贮存</w:t>
            </w:r>
            <w:r>
              <w:rPr>
                <w:rFonts w:hint="eastAsia" w:cs="Times New Roman"/>
                <w:color w:val="auto"/>
                <w:sz w:val="24"/>
                <w:lang w:eastAsia="zh-CN"/>
              </w:rPr>
              <w:t>的台账</w:t>
            </w:r>
            <w:r>
              <w:rPr>
                <w:rFonts w:hint="default" w:ascii="Times New Roman" w:hAnsi="Times New Roman" w:eastAsia="宋体" w:cs="Times New Roman"/>
                <w:color w:val="auto"/>
                <w:sz w:val="24"/>
              </w:rPr>
              <w:t>制度，并做好危险废物出入库交接记录。</w:t>
            </w:r>
          </w:p>
          <w:p w14:paraId="4987D28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2"/>
              </w:rPr>
              <w:t>⑧</w:t>
            </w:r>
            <w:r>
              <w:rPr>
                <w:rFonts w:hint="default" w:ascii="Times New Roman" w:hAnsi="Times New Roman" w:eastAsia="宋体" w:cs="Times New Roman"/>
                <w:color w:val="auto"/>
                <w:sz w:val="24"/>
              </w:rPr>
              <w:t>存放装载液体、半固体危险废物容器位置，有耐腐蚀的硬化地面，且表面无裂隙。</w:t>
            </w:r>
          </w:p>
          <w:p w14:paraId="4A6E33F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⑨</w:t>
            </w:r>
            <w:r>
              <w:rPr>
                <w:rFonts w:hint="default" w:ascii="Times New Roman" w:hAnsi="Times New Roman" w:eastAsia="宋体" w:cs="Times New Roman"/>
                <w:color w:val="auto"/>
                <w:sz w:val="24"/>
              </w:rPr>
              <w:t>危险废物暂存场所设置符合《危险废物识别标志设置技术规范》（HJ1276—2022）的专用标志。</w:t>
            </w:r>
          </w:p>
          <w:p w14:paraId="6AF16A8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2"/>
                <w:lang w:eastAsia="zh-CN"/>
              </w:rPr>
              <w:t>⑩</w:t>
            </w:r>
            <w:r>
              <w:rPr>
                <w:rFonts w:hint="default" w:ascii="Times New Roman" w:hAnsi="Times New Roman" w:eastAsia="宋体" w:cs="Times New Roman"/>
                <w:color w:val="auto"/>
                <w:sz w:val="24"/>
                <w:szCs w:val="22"/>
              </w:rPr>
              <w:t>定期对所贮存的危险废物包装容器及贮存设施进行检查，发现破损，应及时采取措施清理更换。</w:t>
            </w:r>
          </w:p>
          <w:p w14:paraId="03E1C641">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B.</w:t>
            </w:r>
            <w:r>
              <w:rPr>
                <w:rFonts w:ascii="宋体" w:hAnsi="宋体" w:eastAsia="宋体" w:cs="宋体"/>
                <w:color w:val="auto"/>
                <w:sz w:val="24"/>
                <w:szCs w:val="24"/>
              </w:rPr>
              <w:t>运输过程的环境影响分析</w:t>
            </w:r>
          </w:p>
          <w:p w14:paraId="3AD0DD04">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left"/>
              <w:textAlignment w:val="auto"/>
              <w:rPr>
                <w:rFonts w:ascii="宋体" w:hAnsi="宋体" w:eastAsia="宋体" w:cs="宋体"/>
                <w:color w:val="auto"/>
                <w:sz w:val="24"/>
                <w:szCs w:val="24"/>
              </w:rPr>
            </w:pPr>
            <w:r>
              <w:rPr>
                <w:rFonts w:ascii="宋体" w:hAnsi="宋体" w:eastAsia="宋体" w:cs="宋体"/>
                <w:color w:val="auto"/>
                <w:sz w:val="24"/>
                <w:szCs w:val="24"/>
              </w:rPr>
              <w:t>项目危险废物运输由建设单位委托有资质的危险废物处置单位进行运输，建设单位应配合运输单位员工进行危险废物中转作业，中转装卸及运输过程应遵守如下技术要求：</w:t>
            </w:r>
          </w:p>
          <w:p w14:paraId="202A9C7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①</w:t>
            </w:r>
            <w:r>
              <w:rPr>
                <w:rFonts w:ascii="宋体" w:hAnsi="宋体" w:eastAsia="宋体" w:cs="宋体"/>
                <w:color w:val="auto"/>
                <w:sz w:val="24"/>
                <w:szCs w:val="24"/>
              </w:rPr>
              <w:t>装卸危险废物的工作人员应熟悉危险废物的属性，并配备适当的个</w:t>
            </w:r>
            <w:r>
              <w:rPr>
                <w:rFonts w:hint="eastAsia" w:ascii="宋体" w:hAnsi="宋体" w:cs="宋体"/>
                <w:color w:val="auto"/>
                <w:sz w:val="24"/>
                <w:szCs w:val="24"/>
                <w:lang w:eastAsia="zh-CN"/>
              </w:rPr>
              <w:t>人防</w:t>
            </w:r>
            <w:r>
              <w:rPr>
                <w:rFonts w:ascii="宋体" w:hAnsi="宋体" w:eastAsia="宋体" w:cs="宋体"/>
                <w:color w:val="auto"/>
                <w:sz w:val="24"/>
                <w:szCs w:val="24"/>
              </w:rPr>
              <w:t>护装备，装卸剧毒废物应配备特殊的防护装备。</w:t>
            </w:r>
          </w:p>
          <w:p w14:paraId="48E4CEB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firstLine="480" w:firstLineChars="200"/>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②</w:t>
            </w:r>
            <w:r>
              <w:rPr>
                <w:rFonts w:ascii="宋体" w:hAnsi="宋体" w:eastAsia="宋体" w:cs="宋体"/>
                <w:color w:val="auto"/>
                <w:sz w:val="24"/>
                <w:szCs w:val="24"/>
              </w:rPr>
              <w:t>装卸区应配备必要的消防设备和设施，并设置明显的指示标志。</w:t>
            </w:r>
          </w:p>
          <w:p w14:paraId="0F44BD2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firstLine="480" w:firstLineChars="200"/>
              <w:jc w:val="left"/>
              <w:textAlignment w:val="auto"/>
              <w:rPr>
                <w:rFonts w:ascii="宋体" w:hAnsi="宋体" w:eastAsia="宋体" w:cs="宋体"/>
                <w:color w:val="auto"/>
                <w:sz w:val="24"/>
                <w:szCs w:val="24"/>
              </w:rPr>
            </w:pPr>
            <w:r>
              <w:rPr>
                <w:rFonts w:hint="eastAsia" w:ascii="宋体" w:hAnsi="宋体" w:eastAsia="宋体" w:cs="宋体"/>
                <w:color w:val="auto"/>
                <w:sz w:val="24"/>
                <w:szCs w:val="24"/>
                <w:lang w:eastAsia="zh-CN"/>
              </w:rPr>
              <w:t>③</w:t>
            </w:r>
            <w:r>
              <w:rPr>
                <w:rFonts w:ascii="宋体" w:hAnsi="宋体" w:eastAsia="宋体" w:cs="宋体"/>
                <w:color w:val="auto"/>
                <w:sz w:val="24"/>
                <w:szCs w:val="24"/>
              </w:rPr>
              <w:t>危险废物装卸区应设置必要的隔离设施，液态废物卸载区应设置收集槽和缓冲罐等必要的应急设施。</w:t>
            </w:r>
          </w:p>
          <w:p w14:paraId="031D7BA7">
            <w:pPr>
              <w:autoSpaceDE/>
              <w:autoSpaceDN/>
              <w:spacing w:line="500" w:lineRule="exact"/>
              <w:ind w:firstLine="480" w:firstLineChars="200"/>
              <w:jc w:val="left"/>
              <w:rPr>
                <w:rFonts w:cs="Times New Roman"/>
                <w:color w:val="auto"/>
              </w:rPr>
            </w:pPr>
            <w:r>
              <w:rPr>
                <w:rFonts w:cs="Times New Roman"/>
                <w:color w:val="auto"/>
                <w:lang w:val="en-US"/>
              </w:rPr>
              <w:t>C.</w:t>
            </w:r>
            <w:r>
              <w:rPr>
                <w:rFonts w:cs="Times New Roman"/>
                <w:color w:val="auto"/>
              </w:rPr>
              <w:t>委托利用或者处置的环境影响分析</w:t>
            </w:r>
          </w:p>
          <w:p w14:paraId="7CA5612E">
            <w:pPr>
              <w:autoSpaceDE/>
              <w:autoSpaceDN/>
              <w:spacing w:line="500" w:lineRule="exact"/>
              <w:ind w:firstLine="480" w:firstLineChars="200"/>
              <w:jc w:val="left"/>
              <w:rPr>
                <w:rFonts w:cs="Times New Roman"/>
                <w:color w:val="auto"/>
              </w:rPr>
            </w:pPr>
            <w:r>
              <w:rPr>
                <w:rFonts w:cs="Times New Roman"/>
                <w:color w:val="auto"/>
              </w:rPr>
              <w:t>根据《建设项目危险废物环境影响评价指南》（环境保护部公告2017年第43号）的规定：</w:t>
            </w:r>
            <w:r>
              <w:rPr>
                <w:rFonts w:hint="eastAsia" w:cs="Times New Roman"/>
                <w:color w:val="auto"/>
                <w:lang w:eastAsia="zh-CN"/>
              </w:rPr>
              <w:t>“</w:t>
            </w:r>
            <w:r>
              <w:rPr>
                <w:rFonts w:cs="Times New Roman"/>
                <w:color w:val="auto"/>
              </w:rPr>
              <w:t>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r>
              <w:rPr>
                <w:rFonts w:hint="eastAsia" w:cs="Times New Roman"/>
                <w:color w:val="auto"/>
                <w:lang w:eastAsia="zh-CN"/>
              </w:rPr>
              <w:t>”</w:t>
            </w:r>
            <w:r>
              <w:rPr>
                <w:rFonts w:cs="Times New Roman"/>
                <w:color w:val="auto"/>
              </w:rPr>
              <w:t>。</w:t>
            </w:r>
          </w:p>
          <w:p w14:paraId="621991F6">
            <w:pPr>
              <w:autoSpaceDE/>
              <w:autoSpaceDN/>
              <w:spacing w:line="500" w:lineRule="exact"/>
              <w:ind w:firstLine="480" w:firstLineChars="200"/>
              <w:jc w:val="left"/>
              <w:rPr>
                <w:rFonts w:cs="Times New Roman"/>
                <w:color w:val="auto"/>
              </w:rPr>
            </w:pPr>
            <w:r>
              <w:rPr>
                <w:rFonts w:cs="Times New Roman"/>
                <w:color w:val="auto"/>
              </w:rPr>
              <w:t>根据调查了解，</w:t>
            </w:r>
            <w:r>
              <w:rPr>
                <w:rFonts w:hint="eastAsia"/>
                <w:color w:val="auto"/>
              </w:rPr>
              <w:t>承德惠环环境科技有限公司成立于</w:t>
            </w:r>
            <w:r>
              <w:rPr>
                <w:rFonts w:hint="eastAsia"/>
                <w:color w:val="auto"/>
                <w:lang w:val="en-US"/>
              </w:rPr>
              <w:t>2021年，</w:t>
            </w:r>
            <w:r>
              <w:rPr>
                <w:rFonts w:hint="eastAsia"/>
                <w:color w:val="auto"/>
              </w:rPr>
              <w:t>位于河北省承德市宽城满族自治县龙须门镇小龙须门村；</w:t>
            </w:r>
            <w:r>
              <w:rPr>
                <w:rFonts w:cs="Times New Roman"/>
                <w:color w:val="auto"/>
              </w:rPr>
              <w:t>具备危险废物综合收集经营许可条件（编号：承危收试</w:t>
            </w:r>
            <w:r>
              <w:rPr>
                <w:rFonts w:hint="eastAsia" w:cs="Times New Roman"/>
                <w:color w:val="auto"/>
              </w:rPr>
              <w:t>【</w:t>
            </w:r>
            <w:r>
              <w:rPr>
                <w:rFonts w:hint="eastAsia" w:cs="Times New Roman"/>
                <w:color w:val="auto"/>
                <w:lang w:val="en-US"/>
              </w:rPr>
              <w:t>2023】001</w:t>
            </w:r>
            <w:r>
              <w:rPr>
                <w:rFonts w:cs="Times New Roman"/>
                <w:color w:val="auto"/>
                <w:lang w:val="en-US"/>
              </w:rPr>
              <w:t>号</w:t>
            </w:r>
            <w:r>
              <w:rPr>
                <w:rFonts w:cs="Times New Roman"/>
                <w:color w:val="auto"/>
              </w:rPr>
              <w:t>）；经营方式：危险废物收集、运输、贮存、转运；道路运输经营许可证编号：冀交运管许可承字</w:t>
            </w:r>
            <w:r>
              <w:rPr>
                <w:rFonts w:cs="Times New Roman"/>
                <w:color w:val="auto"/>
                <w:lang w:val="en-US"/>
              </w:rPr>
              <w:t>1308</w:t>
            </w:r>
            <w:r>
              <w:rPr>
                <w:rFonts w:hint="eastAsia" w:cs="Times New Roman"/>
                <w:color w:val="auto"/>
                <w:lang w:val="en-US"/>
              </w:rPr>
              <w:t>27004229</w:t>
            </w:r>
            <w:r>
              <w:rPr>
                <w:rFonts w:cs="Times New Roman"/>
                <w:color w:val="auto"/>
                <w:lang w:val="en-US"/>
              </w:rPr>
              <w:t>号；</w:t>
            </w:r>
            <w:r>
              <w:rPr>
                <w:rFonts w:cs="Times New Roman"/>
                <w:color w:val="auto"/>
              </w:rPr>
              <w:t>经营类别</w:t>
            </w:r>
            <w:r>
              <w:rPr>
                <w:rFonts w:hint="eastAsia" w:cs="Times New Roman"/>
                <w:color w:val="auto"/>
              </w:rPr>
              <w:t>中有</w:t>
            </w:r>
            <w:r>
              <w:rPr>
                <w:rFonts w:cs="Times New Roman"/>
                <w:color w:val="auto"/>
              </w:rPr>
              <w:t>HW08、HW49</w:t>
            </w:r>
            <w:r>
              <w:rPr>
                <w:rFonts w:hint="eastAsia" w:cs="Times New Roman"/>
                <w:color w:val="auto"/>
              </w:rPr>
              <w:t>等</w:t>
            </w:r>
            <w:r>
              <w:rPr>
                <w:rFonts w:cs="Times New Roman"/>
                <w:color w:val="auto"/>
                <w:lang w:val="en-US"/>
              </w:rPr>
              <w:t>；</w:t>
            </w:r>
            <w:r>
              <w:rPr>
                <w:rFonts w:cs="Times New Roman"/>
                <w:color w:val="auto"/>
              </w:rPr>
              <w:t>收集经营规模</w:t>
            </w:r>
            <w:r>
              <w:rPr>
                <w:rFonts w:hint="eastAsia" w:cs="Times New Roman"/>
                <w:color w:val="auto"/>
                <w:lang w:val="en-US"/>
              </w:rPr>
              <w:t>11000</w:t>
            </w:r>
            <w:r>
              <w:rPr>
                <w:rFonts w:cs="Times New Roman"/>
                <w:color w:val="auto"/>
                <w:lang w:val="en-US"/>
              </w:rPr>
              <w:t>吨</w:t>
            </w:r>
            <w:r>
              <w:rPr>
                <w:rFonts w:cs="Times New Roman"/>
                <w:color w:val="auto"/>
              </w:rPr>
              <w:t>/年</w:t>
            </w:r>
            <w:r>
              <w:rPr>
                <w:rFonts w:hint="eastAsia" w:cs="Times New Roman"/>
                <w:color w:val="auto"/>
              </w:rPr>
              <w:t>。</w:t>
            </w:r>
            <w:r>
              <w:rPr>
                <w:rFonts w:cs="Times New Roman"/>
                <w:color w:val="auto"/>
              </w:rPr>
              <w:t>该公司经营类别包含项目产生的危险废物</w:t>
            </w:r>
            <w:r>
              <w:rPr>
                <w:rFonts w:hint="eastAsia" w:cs="Times New Roman"/>
                <w:color w:val="auto"/>
              </w:rPr>
              <w:t>，本项目距离</w:t>
            </w:r>
            <w:r>
              <w:rPr>
                <w:rFonts w:hint="eastAsia"/>
                <w:color w:val="auto"/>
              </w:rPr>
              <w:t>承德惠环环境科技有限公司</w:t>
            </w:r>
            <w:r>
              <w:rPr>
                <w:rFonts w:hint="eastAsia"/>
                <w:color w:val="auto"/>
                <w:lang w:val="en-US" w:eastAsia="zh-CN"/>
              </w:rPr>
              <w:t>114</w:t>
            </w:r>
            <w:r>
              <w:rPr>
                <w:rFonts w:hint="eastAsia"/>
                <w:color w:val="auto"/>
                <w:lang w:val="en-US"/>
              </w:rPr>
              <w:t>公里。</w:t>
            </w:r>
            <w:r>
              <w:rPr>
                <w:rFonts w:hint="eastAsia" w:cs="Times New Roman"/>
                <w:color w:val="auto"/>
                <w:sz w:val="24"/>
                <w:szCs w:val="24"/>
                <w:lang w:eastAsia="zh-CN"/>
              </w:rPr>
              <w:t>故</w:t>
            </w:r>
            <w:r>
              <w:rPr>
                <w:rFonts w:hint="default" w:ascii="Times New Roman" w:hAnsi="Times New Roman" w:eastAsia="宋体" w:cs="Times New Roman"/>
                <w:color w:val="auto"/>
                <w:sz w:val="24"/>
                <w:szCs w:val="24"/>
              </w:rPr>
              <w:t>项目危险废物定期交由</w:t>
            </w:r>
            <w:r>
              <w:rPr>
                <w:rFonts w:hint="eastAsia"/>
                <w:color w:val="auto"/>
              </w:rPr>
              <w:t>承德惠环环境科技有限公司</w:t>
            </w:r>
            <w:r>
              <w:rPr>
                <w:rFonts w:hint="default" w:ascii="Times New Roman" w:hAnsi="Times New Roman" w:eastAsia="宋体" w:cs="Times New Roman"/>
                <w:color w:val="auto"/>
                <w:sz w:val="24"/>
                <w:szCs w:val="24"/>
                <w:lang w:eastAsia="zh-CN"/>
              </w:rPr>
              <w:t>收集转运</w:t>
            </w:r>
            <w:r>
              <w:rPr>
                <w:rFonts w:hint="default" w:ascii="Times New Roman" w:hAnsi="Times New Roman" w:eastAsia="宋体" w:cs="Times New Roman"/>
                <w:color w:val="auto"/>
                <w:sz w:val="24"/>
                <w:szCs w:val="24"/>
              </w:rPr>
              <w:t>处理措施可行</w:t>
            </w:r>
            <w:r>
              <w:rPr>
                <w:rFonts w:cs="Times New Roman"/>
                <w:color w:val="auto"/>
              </w:rPr>
              <w:t>。</w:t>
            </w:r>
          </w:p>
          <w:p w14:paraId="0A3C2D30">
            <w:pPr>
              <w:autoSpaceDE/>
              <w:autoSpaceDN/>
              <w:spacing w:line="500" w:lineRule="exact"/>
              <w:ind w:firstLine="480" w:firstLineChars="200"/>
              <w:jc w:val="left"/>
              <w:rPr>
                <w:rFonts w:hint="eastAsia" w:eastAsia="宋体" w:cs="Times New Roman"/>
                <w:color w:val="auto"/>
                <w:lang w:val="en-US" w:eastAsia="zh-CN"/>
              </w:rPr>
            </w:pPr>
            <w:r>
              <w:rPr>
                <w:rFonts w:hint="eastAsia"/>
                <w:color w:val="auto"/>
              </w:rPr>
              <w:t>承德惠环环境科技有限公司</w:t>
            </w:r>
            <w:r>
              <w:rPr>
                <w:rFonts w:hint="eastAsia"/>
                <w:color w:val="auto"/>
                <w:lang w:eastAsia="zh-CN"/>
              </w:rPr>
              <w:t>收集的危险废物交由</w:t>
            </w:r>
            <w:r>
              <w:rPr>
                <w:rFonts w:hint="eastAsia" w:cs="Times New Roman"/>
                <w:color w:val="auto"/>
                <w:lang w:val="en-US"/>
              </w:rPr>
              <w:t>石家庄成合环保科技有限公司</w:t>
            </w:r>
            <w:r>
              <w:rPr>
                <w:rFonts w:hint="eastAsia" w:cs="Times New Roman"/>
                <w:color w:val="auto"/>
                <w:lang w:val="en-US" w:eastAsia="zh-CN"/>
              </w:rPr>
              <w:t>进行处置。</w:t>
            </w:r>
            <w:r>
              <w:rPr>
                <w:rFonts w:hint="eastAsia" w:cs="Times New Roman"/>
                <w:color w:val="auto"/>
                <w:lang w:val="en-US"/>
              </w:rPr>
              <w:t>根据调查了解，石家庄成合环保科技有限公司成立于</w:t>
            </w:r>
            <w:r>
              <w:rPr>
                <w:rFonts w:hint="eastAsia" w:cs="Times New Roman"/>
                <w:color w:val="auto"/>
                <w:lang w:val="en-US" w:eastAsia="zh-CN"/>
              </w:rPr>
              <w:t>2019</w:t>
            </w:r>
            <w:r>
              <w:rPr>
                <w:rFonts w:hint="eastAsia" w:cs="Times New Roman"/>
                <w:color w:val="auto"/>
                <w:lang w:val="en-US"/>
              </w:rPr>
              <w:t>年，位于河深泽县经济开发区兴泽路18号；具备危险废物经营许可条件（编号：130</w:t>
            </w:r>
            <w:r>
              <w:rPr>
                <w:rFonts w:hint="eastAsia" w:cs="Times New Roman"/>
                <w:color w:val="auto"/>
                <w:lang w:val="en-US" w:eastAsia="zh-CN"/>
              </w:rPr>
              <w:t>1280084</w:t>
            </w:r>
            <w:r>
              <w:rPr>
                <w:rFonts w:hint="eastAsia" w:cs="Times New Roman"/>
                <w:color w:val="auto"/>
                <w:lang w:val="en-US"/>
              </w:rPr>
              <w:t>）；经营方式：收集、贮存、利用、处置；经营类别中有HW08、HW49等。该公司经营类别包含项目产生的危险废物。</w:t>
            </w:r>
            <w:r>
              <w:rPr>
                <w:rFonts w:hint="eastAsia" w:cs="Times New Roman"/>
                <w:color w:val="auto"/>
                <w:lang w:val="en-US" w:eastAsia="zh-CN"/>
              </w:rPr>
              <w:t>项目可根据实际情况选择签订危险废物协议。</w:t>
            </w:r>
          </w:p>
          <w:p w14:paraId="7644A1B9">
            <w:pPr>
              <w:autoSpaceDE/>
              <w:autoSpaceDN/>
              <w:spacing w:line="500" w:lineRule="exact"/>
              <w:ind w:firstLine="480" w:firstLineChars="200"/>
              <w:jc w:val="left"/>
              <w:rPr>
                <w:rFonts w:cs="Times New Roman"/>
                <w:color w:val="auto"/>
              </w:rPr>
            </w:pPr>
            <w:r>
              <w:rPr>
                <w:rFonts w:cs="Times New Roman"/>
                <w:color w:val="auto"/>
                <w:lang w:val="en-US"/>
              </w:rPr>
              <w:t>D.</w:t>
            </w:r>
            <w:r>
              <w:rPr>
                <w:rFonts w:cs="Times New Roman"/>
                <w:color w:val="auto"/>
              </w:rPr>
              <w:t>危险废物收集、储存、转运过程应急预案</w:t>
            </w:r>
          </w:p>
          <w:p w14:paraId="4E110295">
            <w:pPr>
              <w:autoSpaceDE/>
              <w:autoSpaceDN/>
              <w:spacing w:line="500" w:lineRule="exact"/>
              <w:ind w:firstLine="480" w:firstLineChars="200"/>
              <w:jc w:val="left"/>
              <w:rPr>
                <w:rFonts w:cs="Times New Roman"/>
                <w:color w:val="auto"/>
              </w:rPr>
            </w:pPr>
            <w:r>
              <w:rPr>
                <w:rFonts w:cs="Times New Roman"/>
                <w:color w:val="auto"/>
              </w:rPr>
              <w:t>危险废物收集、储存、转运过程应编制相应的应急预案，应急预案的编制可参照《危险废物经营单位编制应急预案指南》，针对危险废物收集、储运、中转过程产生的事故易发环节应定期组织应急演练。危险废物收集、储运、中转过程一旦发生意外事故，建设单位应根据风险应急预案立即采取如下措施：</w:t>
            </w:r>
          </w:p>
          <w:p w14:paraId="069CB9CE">
            <w:pPr>
              <w:autoSpaceDE/>
              <w:autoSpaceDN/>
              <w:spacing w:line="500" w:lineRule="exact"/>
              <w:ind w:firstLine="480" w:firstLineChars="200"/>
              <w:jc w:val="left"/>
              <w:rPr>
                <w:rFonts w:cs="Times New Roman"/>
                <w:color w:val="auto"/>
              </w:rPr>
            </w:pPr>
            <w:r>
              <w:rPr>
                <w:rFonts w:cs="Times New Roman"/>
                <w:color w:val="auto"/>
              </w:rPr>
              <w:t>①设立事故警戒线，启动应急预案，并按要求向生态环境主管部门进行报告。</w:t>
            </w:r>
          </w:p>
          <w:p w14:paraId="74FAB9CB">
            <w:pPr>
              <w:autoSpaceDE/>
              <w:autoSpaceDN/>
              <w:spacing w:line="500" w:lineRule="exact"/>
              <w:ind w:firstLine="480" w:firstLineChars="200"/>
              <w:jc w:val="left"/>
              <w:rPr>
                <w:rFonts w:cs="Times New Roman"/>
                <w:color w:val="auto"/>
              </w:rPr>
            </w:pPr>
            <w:r>
              <w:rPr>
                <w:rFonts w:cs="Times New Roman"/>
                <w:color w:val="auto"/>
              </w:rPr>
              <w:t>②对事故受到污染的土壤和水体等进行相应的清理和修复。</w:t>
            </w:r>
          </w:p>
          <w:p w14:paraId="5C89FBB3">
            <w:pPr>
              <w:autoSpaceDE/>
              <w:autoSpaceDN/>
              <w:spacing w:line="500" w:lineRule="exact"/>
              <w:ind w:firstLine="480" w:firstLineChars="200"/>
              <w:jc w:val="left"/>
              <w:rPr>
                <w:rFonts w:cs="Times New Roman"/>
                <w:color w:val="auto"/>
              </w:rPr>
            </w:pPr>
            <w:r>
              <w:rPr>
                <w:rFonts w:cs="Times New Roman"/>
                <w:color w:val="auto"/>
              </w:rPr>
              <w:t>③清理过程产生的所有废物均应按危险废物进行管理和处置。</w:t>
            </w:r>
          </w:p>
          <w:p w14:paraId="19C7BB16">
            <w:pPr>
              <w:autoSpaceDE/>
              <w:autoSpaceDN/>
              <w:spacing w:line="500" w:lineRule="exact"/>
              <w:ind w:firstLine="480" w:firstLineChars="200"/>
              <w:jc w:val="left"/>
              <w:rPr>
                <w:rFonts w:cs="Times New Roman"/>
                <w:color w:val="auto"/>
              </w:rPr>
            </w:pPr>
            <w:r>
              <w:rPr>
                <w:rFonts w:cs="Times New Roman"/>
                <w:color w:val="auto"/>
              </w:rPr>
              <w:t>④进入现场清理和包装危险废物的人员应受过专业培训，穿着防护服，佩戴防护用具。</w:t>
            </w:r>
          </w:p>
          <w:p w14:paraId="6998274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eastAsia="zh-CN"/>
              </w:rPr>
            </w:pPr>
            <w:r>
              <w:rPr>
                <w:rFonts w:cs="Times New Roman"/>
                <w:color w:val="auto"/>
              </w:rPr>
              <w:t>采取上述措施后，本项目产生的固体废物可以得到妥善处理和处置，对周围环境影响不明显</w:t>
            </w:r>
            <w:r>
              <w:rPr>
                <w:rFonts w:hint="default" w:ascii="Times New Roman" w:hAnsi="Times New Roman" w:eastAsia="宋体" w:cs="Times New Roman"/>
                <w:color w:val="auto"/>
                <w:highlight w:val="none"/>
                <w:lang w:eastAsia="zh-CN"/>
              </w:rPr>
              <w:t>。</w:t>
            </w:r>
          </w:p>
          <w:p w14:paraId="066AA657">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5、地下水、土壤</w:t>
            </w:r>
          </w:p>
          <w:p w14:paraId="5F15692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sz w:val="24"/>
                <w:szCs w:val="24"/>
              </w:rPr>
            </w:pPr>
            <w:r>
              <w:rPr>
                <w:color w:val="auto"/>
                <w:sz w:val="24"/>
                <w:szCs w:val="24"/>
              </w:rPr>
              <w:t>本项目危废间内</w:t>
            </w:r>
            <w:r>
              <w:rPr>
                <w:rFonts w:hint="eastAsia"/>
                <w:color w:val="auto"/>
                <w:sz w:val="24"/>
                <w:szCs w:val="24"/>
              </w:rPr>
              <w:t>废润滑油、废油桶，</w:t>
            </w:r>
            <w:r>
              <w:rPr>
                <w:color w:val="auto"/>
                <w:sz w:val="24"/>
                <w:szCs w:val="24"/>
              </w:rPr>
              <w:t>危废间</w:t>
            </w:r>
            <w:r>
              <w:rPr>
                <w:rFonts w:hint="eastAsia"/>
                <w:color w:val="auto"/>
                <w:sz w:val="24"/>
                <w:szCs w:val="24"/>
                <w:lang w:eastAsia="zh-CN"/>
              </w:rPr>
              <w:t>储存</w:t>
            </w:r>
            <w:r>
              <w:rPr>
                <w:rFonts w:hint="eastAsia"/>
                <w:color w:val="auto"/>
                <w:sz w:val="24"/>
                <w:szCs w:val="24"/>
              </w:rPr>
              <w:t>润滑油</w:t>
            </w:r>
            <w:r>
              <w:rPr>
                <w:color w:val="auto"/>
                <w:sz w:val="24"/>
                <w:szCs w:val="24"/>
              </w:rPr>
              <w:t>可能因泄漏可能导致垂直入渗污染地下水、土壤，本项目按照</w:t>
            </w:r>
            <w:r>
              <w:rPr>
                <w:rFonts w:hint="default" w:ascii="Times New Roman" w:hAnsi="Times New Roman" w:eastAsia="宋体" w:cs="Times New Roman"/>
                <w:b w:val="0"/>
                <w:bCs w:val="0"/>
                <w:color w:val="auto"/>
                <w:sz w:val="24"/>
                <w:szCs w:val="24"/>
                <w:highlight w:val="none"/>
                <w:lang w:val="en-US" w:eastAsia="zh-CN"/>
              </w:rPr>
              <w:t>根据《环境影响评价技术导则地下水环境》（HJ610-2016）</w:t>
            </w:r>
            <w:r>
              <w:rPr>
                <w:rFonts w:hint="eastAsia" w:ascii="Times New Roman" w:hAnsi="Times New Roman" w:eastAsia="宋体" w:cs="Times New Roman"/>
                <w:b w:val="0"/>
                <w:bCs w:val="0"/>
                <w:color w:val="auto"/>
                <w:sz w:val="24"/>
                <w:szCs w:val="24"/>
                <w:highlight w:val="none"/>
                <w:lang w:val="en-US" w:eastAsia="zh-CN"/>
              </w:rPr>
              <w:t>采用</w:t>
            </w:r>
            <w:r>
              <w:rPr>
                <w:rFonts w:hint="eastAsia" w:ascii="宋体" w:hAnsi="宋体"/>
                <w:color w:val="auto"/>
                <w:sz w:val="24"/>
                <w:szCs w:val="24"/>
              </w:rPr>
              <w:t>“</w:t>
            </w:r>
            <w:r>
              <w:rPr>
                <w:color w:val="auto"/>
                <w:sz w:val="24"/>
                <w:szCs w:val="24"/>
              </w:rPr>
              <w:t>源头控制、分区防治、污染监控、应急响应</w:t>
            </w:r>
            <w:r>
              <w:rPr>
                <w:rFonts w:hint="eastAsia" w:ascii="宋体" w:hAnsi="宋体"/>
                <w:color w:val="auto"/>
                <w:sz w:val="24"/>
                <w:szCs w:val="24"/>
              </w:rPr>
              <w:t>”</w:t>
            </w:r>
            <w:r>
              <w:rPr>
                <w:color w:val="auto"/>
                <w:sz w:val="24"/>
                <w:szCs w:val="24"/>
              </w:rPr>
              <w:t>相结合的原则，采用源头控制措施、分区防治措施。尽可能从源头上减少污染物的产生，防止环境污染，严格按照国家相关规范要求，对工艺、管道、设备、污水储存及处理构建物采取相应措施，以防止和降低污染物的跑、冒、滴、漏，做好防渗措施，避免由于泄漏造成物料下渗污染地下水。</w:t>
            </w:r>
          </w:p>
          <w:p w14:paraId="2F3ED78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eastAsia="宋体"/>
                <w:color w:val="auto"/>
                <w:sz w:val="24"/>
                <w:lang w:eastAsia="zh-CN"/>
              </w:rPr>
            </w:pPr>
            <w:r>
              <w:rPr>
                <w:rFonts w:hint="eastAsia"/>
                <w:bCs/>
                <w:color w:val="auto"/>
                <w:kern w:val="0"/>
                <w:sz w:val="24"/>
                <w:szCs w:val="24"/>
              </w:rPr>
              <w:t>重点防渗区：</w:t>
            </w:r>
            <w:r>
              <w:rPr>
                <w:color w:val="auto"/>
                <w:sz w:val="24"/>
                <w:szCs w:val="24"/>
              </w:rPr>
              <w:t>危废间地面</w:t>
            </w:r>
            <w:r>
              <w:rPr>
                <w:rFonts w:hint="eastAsia"/>
                <w:color w:val="auto"/>
                <w:sz w:val="24"/>
                <w:szCs w:val="24"/>
              </w:rPr>
              <w:t>及裙角</w:t>
            </w:r>
            <w:r>
              <w:rPr>
                <w:color w:val="auto"/>
                <w:sz w:val="24"/>
                <w:szCs w:val="24"/>
              </w:rPr>
              <w:t>为混凝土+环氧树脂地坪漆防渗，渗透系数均小于1×10</w:t>
            </w:r>
            <w:r>
              <w:rPr>
                <w:color w:val="auto"/>
                <w:sz w:val="24"/>
                <w:szCs w:val="24"/>
                <w:vertAlign w:val="superscript"/>
              </w:rPr>
              <w:t>-10</w:t>
            </w:r>
            <w:r>
              <w:rPr>
                <w:color w:val="auto"/>
                <w:sz w:val="24"/>
                <w:szCs w:val="24"/>
              </w:rPr>
              <w:t>cm/s；</w:t>
            </w:r>
          </w:p>
          <w:p w14:paraId="1F012B2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bCs/>
                <w:color w:val="auto"/>
                <w:kern w:val="0"/>
                <w:sz w:val="24"/>
                <w:szCs w:val="24"/>
              </w:rPr>
            </w:pPr>
            <w:r>
              <w:rPr>
                <w:rFonts w:hint="eastAsia"/>
                <w:color w:val="auto"/>
                <w:sz w:val="24"/>
              </w:rPr>
              <w:t>一般防渗区：</w:t>
            </w:r>
            <w:r>
              <w:rPr>
                <w:color w:val="auto"/>
                <w:sz w:val="24"/>
                <w:szCs w:val="24"/>
              </w:rPr>
              <w:t>生产车间地面采用水泥硬化，防止泄漏污染地下水，防止泄漏污染地下水、土壤。沉淀池</w:t>
            </w:r>
            <w:r>
              <w:rPr>
                <w:color w:val="auto"/>
                <w:sz w:val="24"/>
                <w:szCs w:val="24"/>
                <w:lang w:val="zh-CN"/>
              </w:rPr>
              <w:t>采用防渗混凝土浇筑，</w:t>
            </w:r>
            <w:r>
              <w:rPr>
                <w:snapToGrid w:val="0"/>
                <w:color w:val="auto"/>
                <w:kern w:val="0"/>
                <w:sz w:val="24"/>
                <w:szCs w:val="24"/>
              </w:rPr>
              <w:t>防渗层渗透系数</w:t>
            </w:r>
            <w:r>
              <w:rPr>
                <w:color w:val="auto"/>
                <w:sz w:val="24"/>
                <w:szCs w:val="24"/>
              </w:rPr>
              <w:t>小于1×</w:t>
            </w:r>
            <w:r>
              <w:rPr>
                <w:color w:val="auto"/>
                <w:kern w:val="24"/>
                <w:sz w:val="24"/>
                <w:szCs w:val="24"/>
              </w:rPr>
              <w:t>10</w:t>
            </w:r>
            <w:r>
              <w:rPr>
                <w:color w:val="auto"/>
                <w:kern w:val="24"/>
                <w:sz w:val="24"/>
                <w:szCs w:val="24"/>
                <w:vertAlign w:val="superscript"/>
              </w:rPr>
              <w:t>-7</w:t>
            </w:r>
            <w:r>
              <w:rPr>
                <w:color w:val="auto"/>
                <w:kern w:val="24"/>
                <w:sz w:val="24"/>
                <w:szCs w:val="24"/>
              </w:rPr>
              <w:t>cm/s</w:t>
            </w:r>
            <w:r>
              <w:rPr>
                <w:bCs/>
                <w:color w:val="auto"/>
                <w:kern w:val="0"/>
                <w:sz w:val="24"/>
                <w:szCs w:val="24"/>
              </w:rPr>
              <w:t>。</w:t>
            </w:r>
          </w:p>
          <w:p w14:paraId="29EA9FD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sz w:val="24"/>
              </w:rPr>
            </w:pPr>
            <w:r>
              <w:rPr>
                <w:rFonts w:hint="eastAsia"/>
                <w:color w:val="auto"/>
                <w:sz w:val="24"/>
              </w:rPr>
              <w:t>本项目</w:t>
            </w:r>
            <w:r>
              <w:rPr>
                <w:rFonts w:hint="eastAsia"/>
                <w:color w:val="auto"/>
                <w:sz w:val="24"/>
                <w:lang w:eastAsia="zh-CN"/>
              </w:rPr>
              <w:t>厂区空地</w:t>
            </w:r>
            <w:r>
              <w:rPr>
                <w:rFonts w:hint="eastAsia"/>
                <w:color w:val="auto"/>
                <w:sz w:val="24"/>
              </w:rPr>
              <w:t>采用简单防渗。</w:t>
            </w:r>
          </w:p>
          <w:p w14:paraId="2E21FBB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cs="Times New Roman"/>
                <w:b w:val="0"/>
                <w:bCs w:val="0"/>
                <w:color w:val="auto"/>
                <w:highlight w:val="none"/>
                <w:lang w:val="en-US" w:eastAsia="zh-CN"/>
              </w:rPr>
            </w:pPr>
            <w:r>
              <w:rPr>
                <w:color w:val="auto"/>
                <w:sz w:val="24"/>
              </w:rPr>
              <w:t>综上，本项目采取上述防控措施后，对区域地下水、土壤环境影响较小</w:t>
            </w:r>
            <w:r>
              <w:rPr>
                <w:rFonts w:hint="eastAsia"/>
                <w:color w:val="auto"/>
                <w:sz w:val="24"/>
                <w:lang w:eastAsia="zh-CN"/>
              </w:rPr>
              <w:t>，防渗措施可行</w:t>
            </w:r>
            <w:r>
              <w:rPr>
                <w:color w:val="auto"/>
                <w:sz w:val="24"/>
              </w:rPr>
              <w:t>。厂区防渗分区图见附图</w:t>
            </w:r>
            <w:r>
              <w:rPr>
                <w:rFonts w:hint="eastAsia"/>
                <w:color w:val="auto"/>
                <w:sz w:val="24"/>
              </w:rPr>
              <w:t>4</w:t>
            </w:r>
            <w:r>
              <w:rPr>
                <w:color w:val="auto"/>
                <w:sz w:val="24"/>
              </w:rPr>
              <w:t>。</w:t>
            </w:r>
          </w:p>
          <w:p w14:paraId="6415D26A">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、环境风险</w:t>
            </w:r>
          </w:p>
          <w:p w14:paraId="5C943F5D">
            <w:pPr>
              <w:pStyle w:val="7"/>
              <w:keepNext w:val="0"/>
              <w:keepLines w:val="0"/>
              <w:pageBreakBefore w:val="0"/>
              <w:widowControl w:val="0"/>
              <w:kinsoku/>
              <w:wordWrap/>
              <w:overflowPunct/>
              <w:topLinePunct w:val="0"/>
              <w:bidi w:val="0"/>
              <w:adjustRightInd w:val="0"/>
              <w:snapToGrid w:val="0"/>
              <w:spacing w:line="500" w:lineRule="exact"/>
              <w:jc w:val="left"/>
              <w:textAlignment w:val="auto"/>
              <w:rPr>
                <w:rFonts w:hint="default" w:ascii="Times New Roman" w:hAnsi="Times New Roman" w:eastAsia="宋体" w:cs="Times New Roman"/>
                <w:b/>
                <w:bCs/>
                <w:color w:val="auto"/>
                <w:lang w:val="en-US" w:eastAsia="zh-CN"/>
              </w:rPr>
            </w:pPr>
            <w:r>
              <w:rPr>
                <w:rFonts w:hint="eastAsia" w:eastAsia="宋体" w:cs="Times New Roman"/>
                <w:b/>
                <w:bCs/>
                <w:color w:val="auto"/>
                <w:lang w:val="en-US" w:eastAsia="zh-CN"/>
              </w:rPr>
              <w:t>6</w:t>
            </w:r>
            <w:r>
              <w:rPr>
                <w:rFonts w:hint="default" w:ascii="Times New Roman" w:hAnsi="Times New Roman" w:eastAsia="宋体" w:cs="Times New Roman"/>
                <w:b/>
                <w:bCs/>
                <w:color w:val="auto"/>
                <w:lang w:val="en-US" w:eastAsia="zh-CN"/>
              </w:rPr>
              <w:t>.1评价依据</w:t>
            </w:r>
          </w:p>
          <w:p w14:paraId="53EC3485">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（1）风险调查</w:t>
            </w:r>
          </w:p>
          <w:p w14:paraId="7CB9BB90">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4-1</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eastAsia="zh-CN"/>
              </w:rPr>
              <w:t>项目风险物质数量和分布情况</w:t>
            </w:r>
          </w:p>
          <w:tbl>
            <w:tblPr>
              <w:tblStyle w:val="22"/>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230"/>
              <w:gridCol w:w="1703"/>
              <w:gridCol w:w="1449"/>
              <w:gridCol w:w="2856"/>
            </w:tblGrid>
            <w:tr w14:paraId="07F2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66" w:type="pct"/>
                  <w:vAlign w:val="center"/>
                </w:tcPr>
                <w:p w14:paraId="50A42F7A">
                  <w:pPr>
                    <w:pStyle w:val="2"/>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770" w:type="pct"/>
                  <w:vAlign w:val="center"/>
                </w:tcPr>
                <w:p w14:paraId="749CD3C5">
                  <w:pPr>
                    <w:pStyle w:val="2"/>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1066" w:type="pct"/>
                  <w:vAlign w:val="center"/>
                </w:tcPr>
                <w:p w14:paraId="526E9DE1">
                  <w:pPr>
                    <w:pStyle w:val="2"/>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最大储存量</w:t>
                  </w:r>
                </w:p>
              </w:tc>
              <w:tc>
                <w:tcPr>
                  <w:tcW w:w="907" w:type="pct"/>
                  <w:vAlign w:val="center"/>
                </w:tcPr>
                <w:p w14:paraId="769EDFC6">
                  <w:pPr>
                    <w:pStyle w:val="2"/>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年耗量</w:t>
                  </w:r>
                </w:p>
              </w:tc>
              <w:tc>
                <w:tcPr>
                  <w:tcW w:w="1788" w:type="pct"/>
                  <w:vAlign w:val="center"/>
                </w:tcPr>
                <w:p w14:paraId="23F7813B">
                  <w:pPr>
                    <w:pStyle w:val="2"/>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存储位置</w:t>
                  </w:r>
                </w:p>
              </w:tc>
            </w:tr>
            <w:tr w14:paraId="5A18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466" w:type="pct"/>
                  <w:vAlign w:val="center"/>
                </w:tcPr>
                <w:p w14:paraId="2829BBDF">
                  <w:pPr>
                    <w:pStyle w:val="2"/>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770" w:type="pct"/>
                  <w:vAlign w:val="center"/>
                </w:tcPr>
                <w:p w14:paraId="7E819A36">
                  <w:pPr>
                    <w:pStyle w:val="2"/>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w:t>
                  </w:r>
                  <w:r>
                    <w:rPr>
                      <w:rFonts w:hint="eastAsia" w:cs="Times New Roman"/>
                      <w:b w:val="0"/>
                      <w:bCs w:val="0"/>
                      <w:color w:val="auto"/>
                      <w:sz w:val="21"/>
                      <w:szCs w:val="21"/>
                      <w:vertAlign w:val="baseline"/>
                      <w:lang w:val="en-US" w:eastAsia="zh-CN"/>
                    </w:rPr>
                    <w:t>润滑油</w:t>
                  </w:r>
                </w:p>
              </w:tc>
              <w:tc>
                <w:tcPr>
                  <w:tcW w:w="1066" w:type="pct"/>
                  <w:vAlign w:val="center"/>
                </w:tcPr>
                <w:p w14:paraId="21D02280">
                  <w:pPr>
                    <w:pStyle w:val="2"/>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w:t>
                  </w:r>
                  <w:r>
                    <w:rPr>
                      <w:rFonts w:hint="eastAsia" w:cs="Times New Roman"/>
                      <w:b w:val="0"/>
                      <w:bCs w:val="0"/>
                      <w:color w:val="auto"/>
                      <w:sz w:val="21"/>
                      <w:szCs w:val="21"/>
                      <w:highlight w:val="none"/>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t</w:t>
                  </w:r>
                </w:p>
              </w:tc>
              <w:tc>
                <w:tcPr>
                  <w:tcW w:w="907" w:type="pct"/>
                  <w:vAlign w:val="center"/>
                </w:tcPr>
                <w:p w14:paraId="61613270">
                  <w:pPr>
                    <w:pStyle w:val="2"/>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w:t>
                  </w:r>
                  <w:r>
                    <w:rPr>
                      <w:rFonts w:hint="eastAsia" w:cs="Times New Roman"/>
                      <w:b w:val="0"/>
                      <w:bCs w:val="0"/>
                      <w:color w:val="auto"/>
                      <w:sz w:val="21"/>
                      <w:szCs w:val="21"/>
                      <w:highlight w:val="none"/>
                      <w:vertAlign w:val="baseline"/>
                      <w:lang w:val="en-US" w:eastAsia="zh-CN"/>
                    </w:rPr>
                    <w:t>.01</w:t>
                  </w:r>
                  <w:r>
                    <w:rPr>
                      <w:rFonts w:hint="default" w:ascii="Times New Roman" w:hAnsi="Times New Roman" w:eastAsia="宋体" w:cs="Times New Roman"/>
                      <w:b w:val="0"/>
                      <w:bCs w:val="0"/>
                      <w:color w:val="auto"/>
                      <w:sz w:val="21"/>
                      <w:szCs w:val="21"/>
                      <w:vertAlign w:val="baseline"/>
                      <w:lang w:val="en-US" w:eastAsia="zh-CN"/>
                    </w:rPr>
                    <w:t>t</w:t>
                  </w:r>
                </w:p>
              </w:tc>
              <w:tc>
                <w:tcPr>
                  <w:tcW w:w="1788" w:type="pct"/>
                  <w:vAlign w:val="center"/>
                </w:tcPr>
                <w:p w14:paraId="70258111">
                  <w:pPr>
                    <w:pStyle w:val="2"/>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危废间</w:t>
                  </w:r>
                </w:p>
              </w:tc>
            </w:tr>
          </w:tbl>
          <w:p w14:paraId="30A574B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（2）风险潜势初判</w:t>
            </w:r>
          </w:p>
          <w:p w14:paraId="6427B95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根据《建设项目环境风险评价技术导则》（HJ169-2018）附录B中各危险物质的临界值，计算本项目的危险物质数量与临界量比值（Q），计算结果如下表所示。</w:t>
            </w:r>
          </w:p>
          <w:p w14:paraId="2F5BC82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4-1</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eastAsia="zh-CN"/>
              </w:rPr>
              <w:t>项目风险物质数量和分布情况</w:t>
            </w:r>
          </w:p>
          <w:tbl>
            <w:tblPr>
              <w:tblStyle w:val="22"/>
              <w:tblW w:w="46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05"/>
              <w:gridCol w:w="1106"/>
              <w:gridCol w:w="1650"/>
              <w:gridCol w:w="1124"/>
              <w:gridCol w:w="1879"/>
            </w:tblGrid>
            <w:tr w14:paraId="77D1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33" w:type="pct"/>
                  <w:vAlign w:val="center"/>
                </w:tcPr>
                <w:p w14:paraId="76D94A21">
                  <w:pPr>
                    <w:pStyle w:val="2"/>
                    <w:numPr>
                      <w:ilvl w:val="0"/>
                      <w:numId w:val="0"/>
                    </w:num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790" w:type="pct"/>
                  <w:vAlign w:val="center"/>
                </w:tcPr>
                <w:p w14:paraId="41FB19B9">
                  <w:pPr>
                    <w:pStyle w:val="2"/>
                    <w:numPr>
                      <w:ilvl w:val="0"/>
                      <w:numId w:val="0"/>
                    </w:num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名称</w:t>
                  </w:r>
                </w:p>
              </w:tc>
              <w:tc>
                <w:tcPr>
                  <w:tcW w:w="725" w:type="pct"/>
                  <w:vAlign w:val="center"/>
                </w:tcPr>
                <w:p w14:paraId="09D05005">
                  <w:pPr>
                    <w:pStyle w:val="2"/>
                    <w:numPr>
                      <w:ilvl w:val="0"/>
                      <w:numId w:val="0"/>
                    </w:num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CAS</w:t>
                  </w:r>
                </w:p>
              </w:tc>
              <w:tc>
                <w:tcPr>
                  <w:tcW w:w="1082" w:type="pct"/>
                  <w:vAlign w:val="center"/>
                </w:tcPr>
                <w:p w14:paraId="070D6DA4">
                  <w:pPr>
                    <w:pStyle w:val="2"/>
                    <w:numPr>
                      <w:ilvl w:val="0"/>
                      <w:numId w:val="0"/>
                    </w:numPr>
                    <w:ind w:left="0" w:leftChars="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最大存在量qn/t</w:t>
                  </w:r>
                </w:p>
              </w:tc>
              <w:tc>
                <w:tcPr>
                  <w:tcW w:w="735" w:type="pct"/>
                  <w:vAlign w:val="center"/>
                </w:tcPr>
                <w:p w14:paraId="1A87DF11">
                  <w:pPr>
                    <w:pStyle w:val="2"/>
                    <w:numPr>
                      <w:ilvl w:val="0"/>
                      <w:numId w:val="0"/>
                    </w:num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临界量</w:t>
                  </w:r>
                </w:p>
              </w:tc>
              <w:tc>
                <w:tcPr>
                  <w:tcW w:w="1232" w:type="pct"/>
                  <w:vAlign w:val="center"/>
                </w:tcPr>
                <w:p w14:paraId="5F58DA58">
                  <w:pPr>
                    <w:pStyle w:val="2"/>
                    <w:numPr>
                      <w:ilvl w:val="0"/>
                      <w:numId w:val="0"/>
                    </w:num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该种风险物质Q值</w:t>
                  </w:r>
                </w:p>
              </w:tc>
            </w:tr>
            <w:tr w14:paraId="5DEE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33" w:type="pct"/>
                  <w:vAlign w:val="center"/>
                </w:tcPr>
                <w:p w14:paraId="7AA143C5">
                  <w:pPr>
                    <w:pStyle w:val="2"/>
                    <w:numPr>
                      <w:ilvl w:val="0"/>
                      <w:numId w:val="0"/>
                    </w:num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790" w:type="pct"/>
                  <w:vAlign w:val="center"/>
                </w:tcPr>
                <w:p w14:paraId="4E15DA32">
                  <w:pPr>
                    <w:pStyle w:val="2"/>
                    <w:numPr>
                      <w:ilvl w:val="0"/>
                      <w:numId w:val="0"/>
                    </w:num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废润滑油</w:t>
                  </w:r>
                </w:p>
              </w:tc>
              <w:tc>
                <w:tcPr>
                  <w:tcW w:w="725" w:type="pct"/>
                  <w:vAlign w:val="center"/>
                </w:tcPr>
                <w:p w14:paraId="2E767715">
                  <w:pPr>
                    <w:pStyle w:val="2"/>
                    <w:numPr>
                      <w:ilvl w:val="0"/>
                      <w:numId w:val="0"/>
                    </w:numP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w:t>
                  </w:r>
                </w:p>
              </w:tc>
              <w:tc>
                <w:tcPr>
                  <w:tcW w:w="1082" w:type="pct"/>
                  <w:vAlign w:val="center"/>
                </w:tcPr>
                <w:p w14:paraId="719C5F04">
                  <w:pPr>
                    <w:pStyle w:val="2"/>
                    <w:numPr>
                      <w:ilvl w:val="0"/>
                      <w:numId w:val="0"/>
                    </w:numPr>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w:t>
                  </w:r>
                  <w:r>
                    <w:rPr>
                      <w:rFonts w:hint="eastAsia" w:cs="Times New Roman"/>
                      <w:b w:val="0"/>
                      <w:bCs w:val="0"/>
                      <w:color w:val="auto"/>
                      <w:sz w:val="21"/>
                      <w:szCs w:val="21"/>
                      <w:highlight w:val="none"/>
                      <w:vertAlign w:val="baseline"/>
                      <w:lang w:val="en-US" w:eastAsia="zh-CN"/>
                    </w:rPr>
                    <w:t>1</w:t>
                  </w:r>
                </w:p>
              </w:tc>
              <w:tc>
                <w:tcPr>
                  <w:tcW w:w="735" w:type="pct"/>
                  <w:vAlign w:val="center"/>
                </w:tcPr>
                <w:p w14:paraId="26F3A314">
                  <w:pPr>
                    <w:pStyle w:val="2"/>
                    <w:numPr>
                      <w:ilvl w:val="0"/>
                      <w:numId w:val="0"/>
                    </w:numPr>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25</w:t>
                  </w:r>
                  <w:r>
                    <w:rPr>
                      <w:rFonts w:hint="default" w:ascii="Times New Roman" w:hAnsi="Times New Roman" w:eastAsia="宋体" w:cs="Times New Roman"/>
                      <w:b w:val="0"/>
                      <w:bCs w:val="0"/>
                      <w:color w:val="auto"/>
                      <w:sz w:val="21"/>
                      <w:szCs w:val="21"/>
                      <w:highlight w:val="none"/>
                      <w:vertAlign w:val="baseline"/>
                      <w:lang w:val="en-US" w:eastAsia="zh-CN"/>
                    </w:rPr>
                    <w:t>00</w:t>
                  </w:r>
                </w:p>
              </w:tc>
              <w:tc>
                <w:tcPr>
                  <w:tcW w:w="1232" w:type="pct"/>
                  <w:vAlign w:val="center"/>
                </w:tcPr>
                <w:p w14:paraId="4FEA483D">
                  <w:pPr>
                    <w:pStyle w:val="2"/>
                    <w:numPr>
                      <w:ilvl w:val="0"/>
                      <w:numId w:val="0"/>
                    </w:numPr>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0.000</w:t>
                  </w:r>
                  <w:r>
                    <w:rPr>
                      <w:rFonts w:hint="eastAsia" w:cs="Times New Roman"/>
                      <w:b w:val="0"/>
                      <w:bCs w:val="0"/>
                      <w:color w:val="auto"/>
                      <w:sz w:val="21"/>
                      <w:szCs w:val="21"/>
                      <w:highlight w:val="none"/>
                      <w:vertAlign w:val="baseline"/>
                      <w:lang w:val="en-US" w:eastAsia="zh-CN"/>
                    </w:rPr>
                    <w:t>004</w:t>
                  </w:r>
                </w:p>
              </w:tc>
            </w:tr>
            <w:tr w14:paraId="0AF2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767" w:type="pct"/>
                  <w:gridSpan w:val="5"/>
                  <w:vAlign w:val="center"/>
                </w:tcPr>
                <w:p w14:paraId="68BABE83">
                  <w:pPr>
                    <w:pStyle w:val="2"/>
                    <w:numPr>
                      <w:ilvl w:val="0"/>
                      <w:numId w:val="0"/>
                    </w:numPr>
                    <w:jc w:val="center"/>
                    <w:rPr>
                      <w:rFonts w:hint="default" w:ascii="Times New Roman" w:hAnsi="Times New Roman" w:eastAsia="宋体" w:cs="Times New Roman"/>
                      <w:color w:val="auto"/>
                      <w:spacing w:val="0"/>
                      <w:w w:val="100"/>
                      <w:sz w:val="21"/>
                      <w:szCs w:val="21"/>
                      <w:highlight w:val="none"/>
                      <w:lang w:val="en-US" w:eastAsia="zh-CN"/>
                    </w:rPr>
                  </w:pPr>
                  <w:r>
                    <w:rPr>
                      <w:rFonts w:hint="default" w:ascii="Times New Roman" w:hAnsi="Times New Roman" w:eastAsia="宋体" w:cs="Times New Roman"/>
                      <w:color w:val="auto"/>
                      <w:spacing w:val="0"/>
                      <w:w w:val="100"/>
                      <w:sz w:val="21"/>
                      <w:szCs w:val="21"/>
                      <w:highlight w:val="none"/>
                      <w:lang w:val="en-US" w:eastAsia="zh-CN"/>
                    </w:rPr>
                    <w:t>合计</w:t>
                  </w:r>
                </w:p>
              </w:tc>
              <w:tc>
                <w:tcPr>
                  <w:tcW w:w="1232" w:type="pct"/>
                  <w:vAlign w:val="center"/>
                </w:tcPr>
                <w:p w14:paraId="4D38FAE0">
                  <w:pPr>
                    <w:pStyle w:val="2"/>
                    <w:numPr>
                      <w:ilvl w:val="0"/>
                      <w:numId w:val="0"/>
                    </w:numPr>
                    <w:jc w:val="center"/>
                    <w:rPr>
                      <w:rFonts w:hint="default" w:ascii="Times New Roman" w:hAnsi="Times New Roman" w:eastAsia="宋体" w:cs="Times New Roman"/>
                      <w:color w:val="auto"/>
                      <w:spacing w:val="0"/>
                      <w:w w:val="100"/>
                      <w:sz w:val="21"/>
                      <w:szCs w:val="21"/>
                      <w:highlight w:val="none"/>
                      <w:lang w:val="en-US" w:eastAsia="zh-CN"/>
                    </w:rPr>
                  </w:pPr>
                  <w:r>
                    <w:rPr>
                      <w:rFonts w:hint="default" w:ascii="Times New Roman" w:hAnsi="Times New Roman" w:eastAsia="宋体" w:cs="Times New Roman"/>
                      <w:color w:val="auto"/>
                      <w:spacing w:val="0"/>
                      <w:w w:val="100"/>
                      <w:sz w:val="21"/>
                      <w:szCs w:val="21"/>
                      <w:highlight w:val="none"/>
                      <w:lang w:val="en-US" w:eastAsia="zh-CN"/>
                    </w:rPr>
                    <w:t>0.000</w:t>
                  </w:r>
                  <w:r>
                    <w:rPr>
                      <w:rFonts w:hint="eastAsia" w:cs="Times New Roman"/>
                      <w:color w:val="auto"/>
                      <w:spacing w:val="0"/>
                      <w:w w:val="100"/>
                      <w:sz w:val="21"/>
                      <w:szCs w:val="21"/>
                      <w:highlight w:val="none"/>
                      <w:lang w:val="en-US" w:eastAsia="zh-CN"/>
                    </w:rPr>
                    <w:t>004</w:t>
                  </w:r>
                </w:p>
              </w:tc>
            </w:tr>
          </w:tbl>
          <w:p w14:paraId="20C0745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综上，项目危险物质Q值范围：Q&lt;1，故判定该项目环境风险潜势为Ⅰ。</w:t>
            </w:r>
          </w:p>
          <w:p w14:paraId="69F9C79E">
            <w:pPr>
              <w:pStyle w:val="7"/>
              <w:keepNext w:val="0"/>
              <w:keepLines w:val="0"/>
              <w:pageBreakBefore w:val="0"/>
              <w:widowControl w:val="0"/>
              <w:kinsoku/>
              <w:wordWrap/>
              <w:overflowPunct/>
              <w:topLinePunct w:val="0"/>
              <w:bidi w:val="0"/>
              <w:adjustRightInd w:val="0"/>
              <w:snapToGrid w:val="0"/>
              <w:spacing w:line="500" w:lineRule="exact"/>
              <w:jc w:val="left"/>
              <w:textAlignment w:val="auto"/>
              <w:rPr>
                <w:rFonts w:hint="default" w:ascii="Times New Roman" w:hAnsi="Times New Roman" w:eastAsia="宋体" w:cs="Times New Roman"/>
                <w:b/>
                <w:bCs/>
                <w:color w:val="auto"/>
                <w:lang w:val="en-US" w:eastAsia="zh-CN"/>
              </w:rPr>
            </w:pPr>
            <w:r>
              <w:rPr>
                <w:rFonts w:hint="eastAsia" w:eastAsia="宋体" w:cs="Times New Roman"/>
                <w:b/>
                <w:bCs/>
                <w:color w:val="auto"/>
                <w:lang w:val="en-US" w:eastAsia="zh-CN"/>
              </w:rPr>
              <w:t>6</w:t>
            </w:r>
            <w:r>
              <w:rPr>
                <w:rFonts w:hint="default" w:ascii="Times New Roman" w:hAnsi="Times New Roman" w:eastAsia="宋体" w:cs="Times New Roman"/>
                <w:b/>
                <w:bCs/>
                <w:color w:val="auto"/>
                <w:lang w:val="en-US" w:eastAsia="zh-CN"/>
              </w:rPr>
              <w:t>.2风险识别</w:t>
            </w:r>
          </w:p>
          <w:p w14:paraId="48511260">
            <w:pPr>
              <w:pStyle w:val="7"/>
              <w:keepNext w:val="0"/>
              <w:keepLines w:val="0"/>
              <w:pageBreakBefore w:val="0"/>
              <w:widowControl w:val="0"/>
              <w:kinsoku/>
              <w:wordWrap/>
              <w:overflowPunct/>
              <w:topLinePunct w:val="0"/>
              <w:bidi w:val="0"/>
              <w:adjustRightInd w:val="0"/>
              <w:snapToGrid w:val="0"/>
              <w:spacing w:line="500" w:lineRule="exact"/>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4"/>
                <w:szCs w:val="28"/>
                <w:lang w:val="en-US" w:eastAsia="zh-CN"/>
              </w:rPr>
              <w:t>环境风险识别情况见下表。</w:t>
            </w:r>
          </w:p>
          <w:p w14:paraId="1324BD52">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17</w:t>
            </w:r>
            <w:r>
              <w:rPr>
                <w:rFonts w:hint="default" w:ascii="Times New Roman" w:hAnsi="Times New Roman" w:eastAsia="宋体" w:cs="Times New Roman"/>
                <w:b/>
                <w:bCs/>
                <w:color w:val="auto"/>
                <w:sz w:val="21"/>
                <w:szCs w:val="21"/>
                <w:lang w:eastAsia="zh-CN"/>
              </w:rPr>
              <w:t>项目环境风险识别表</w:t>
            </w:r>
          </w:p>
          <w:tbl>
            <w:tblPr>
              <w:tblStyle w:val="22"/>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95"/>
              <w:gridCol w:w="1655"/>
              <w:gridCol w:w="1406"/>
              <w:gridCol w:w="3006"/>
            </w:tblGrid>
            <w:tr w14:paraId="2A28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51" w:type="pct"/>
                  <w:vAlign w:val="center"/>
                </w:tcPr>
                <w:p w14:paraId="191C0BF8">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748" w:type="pct"/>
                  <w:vAlign w:val="center"/>
                </w:tcPr>
                <w:p w14:paraId="0645890D">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危险单元</w:t>
                  </w:r>
                </w:p>
              </w:tc>
              <w:tc>
                <w:tcPr>
                  <w:tcW w:w="1036" w:type="pct"/>
                  <w:vAlign w:val="center"/>
                </w:tcPr>
                <w:p w14:paraId="21EDB389">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主要危险物质</w:t>
                  </w:r>
                </w:p>
              </w:tc>
              <w:tc>
                <w:tcPr>
                  <w:tcW w:w="880" w:type="pct"/>
                  <w:vAlign w:val="center"/>
                </w:tcPr>
                <w:p w14:paraId="52346C91">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环境风险类型</w:t>
                  </w:r>
                </w:p>
              </w:tc>
              <w:tc>
                <w:tcPr>
                  <w:tcW w:w="1882" w:type="pct"/>
                  <w:vAlign w:val="center"/>
                </w:tcPr>
                <w:p w14:paraId="62677097">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环境影响途径</w:t>
                  </w:r>
                </w:p>
              </w:tc>
            </w:tr>
            <w:tr w14:paraId="4198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451" w:type="pct"/>
                  <w:vAlign w:val="center"/>
                </w:tcPr>
                <w:p w14:paraId="3C9D3A73">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748" w:type="pct"/>
                  <w:vAlign w:val="center"/>
                </w:tcPr>
                <w:p w14:paraId="127FA1A0">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危险废物暂存间</w:t>
                  </w:r>
                </w:p>
              </w:tc>
              <w:tc>
                <w:tcPr>
                  <w:tcW w:w="1036" w:type="pct"/>
                  <w:vAlign w:val="center"/>
                </w:tcPr>
                <w:p w14:paraId="172F05E3">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矿物油</w:t>
                  </w:r>
                </w:p>
              </w:tc>
              <w:tc>
                <w:tcPr>
                  <w:tcW w:w="880" w:type="pct"/>
                  <w:vAlign w:val="center"/>
                </w:tcPr>
                <w:p w14:paraId="0D38C134">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火灾、泄漏</w:t>
                  </w:r>
                </w:p>
              </w:tc>
              <w:tc>
                <w:tcPr>
                  <w:tcW w:w="1882" w:type="pct"/>
                  <w:vAlign w:val="center"/>
                </w:tcPr>
                <w:p w14:paraId="7FABFA91">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液态物质泄漏，浸渍地面，渗透至下方土壤及地下水；可燃物质遇明火发生火灾，产生有毒有害气体扩散至大气环境</w:t>
                  </w:r>
                </w:p>
              </w:tc>
            </w:tr>
          </w:tbl>
          <w:p w14:paraId="579A0B32">
            <w:pPr>
              <w:pStyle w:val="29"/>
              <w:keepNext w:val="0"/>
              <w:keepLines w:val="0"/>
              <w:pageBreakBefore w:val="0"/>
              <w:widowControl w:val="0"/>
              <w:kinsoku/>
              <w:wordWrap/>
              <w:overflowPunct/>
              <w:topLinePunct w:val="0"/>
              <w:autoSpaceDE w:val="0"/>
              <w:autoSpaceDN w:val="0"/>
              <w:bidi w:val="0"/>
              <w:adjustRightInd w:val="0"/>
              <w:snapToGrid w:val="0"/>
              <w:spacing w:line="500" w:lineRule="exact"/>
              <w:ind w:left="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.3环境风险分析</w:t>
            </w:r>
          </w:p>
          <w:p w14:paraId="139095DB">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4"/>
                <w:lang w:val="en-US" w:eastAsia="zh-CN"/>
              </w:rPr>
              <w:t>（</w:t>
            </w:r>
            <w:r>
              <w:rPr>
                <w:rFonts w:hint="default" w:ascii="Times New Roman" w:hAnsi="Times New Roman" w:eastAsia="宋体" w:cs="Times New Roman"/>
                <w:color w:val="auto"/>
                <w:lang w:val="en-US" w:eastAsia="zh-CN"/>
              </w:rPr>
              <w:t>1）大气环境风险影响</w:t>
            </w:r>
          </w:p>
          <w:p w14:paraId="7AB5DEA4">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szCs w:val="24"/>
                <w:highlight w:val="yellow"/>
                <w:lang w:val="en-US" w:eastAsia="zh-CN"/>
              </w:rPr>
            </w:pPr>
            <w:r>
              <w:rPr>
                <w:rFonts w:hint="default" w:ascii="Times New Roman" w:hAnsi="Times New Roman" w:eastAsia="宋体" w:cs="Times New Roman"/>
                <w:color w:val="auto"/>
                <w:lang w:val="en-US" w:eastAsia="zh-CN"/>
              </w:rPr>
              <w:t>本项目设备检修使用的润滑油为矿物油+添加剂，属于易燃易爆物质，一旦</w:t>
            </w:r>
            <w:r>
              <w:rPr>
                <w:rFonts w:hint="default" w:ascii="Times New Roman" w:hAnsi="Times New Roman" w:eastAsia="宋体" w:cs="Times New Roman"/>
                <w:color w:val="auto"/>
                <w:highlight w:val="none"/>
                <w:lang w:val="en-US" w:eastAsia="zh-CN"/>
              </w:rPr>
              <w:t>发生泄漏接触明火有发生火灾和爆炸事故的可能，主要燃烧产物为水、CO和CO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，可能对厂区外大气环境产生一定影响。</w:t>
            </w:r>
          </w:p>
          <w:p w14:paraId="360E5680">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暂存间设置消防设施且有专人管理。火情较小情况下，采用干粉灭火器进行急救，之后收集的固体废物作为危险废物交由有资质的单位处理。火情较大时第一时间通知消防部门控制火势，同时对临近物资进行降温。本项目危险废物产生量较小，采取管理措施发生火灾的概率低，火灾产生的有害物质经大气扩散后不会对大气环境产生不利影响。</w:t>
            </w:r>
          </w:p>
          <w:p w14:paraId="6EDF29EF">
            <w:pPr>
              <w:pStyle w:val="5"/>
              <w:keepNext w:val="0"/>
              <w:pageBreakBefore w:val="0"/>
              <w:widowControl w:val="0"/>
              <w:kinsoku/>
              <w:wordWrap/>
              <w:overflowPunct/>
              <w:topLinePunct w:val="0"/>
              <w:autoSpaceDE w:val="0"/>
              <w:autoSpaceDN w:val="0"/>
              <w:bidi w:val="0"/>
              <w:adjustRightInd w:val="0"/>
              <w:snapToGrid w:val="0"/>
              <w:spacing w:before="0" w:beforeLines="0" w:after="0" w:afterLines="0" w:line="500" w:lineRule="exact"/>
              <w:ind w:left="0" w:leftChars="0" w:firstLine="480" w:firstLineChars="200"/>
              <w:textAlignment w:val="auto"/>
              <w:rPr>
                <w:rFonts w:hint="default" w:ascii="Times New Roman" w:hAnsi="Times New Roman" w:eastAsia="宋体" w:cs="Times New Roman"/>
                <w:bCs w:val="0"/>
                <w:color w:val="auto"/>
                <w:sz w:val="24"/>
                <w:szCs w:val="24"/>
                <w:highlight w:val="none"/>
                <w:lang w:val="en-US" w:eastAsia="zh-CN" w:bidi="zh-CN"/>
              </w:rPr>
            </w:pPr>
            <w:r>
              <w:rPr>
                <w:rFonts w:hint="default" w:ascii="Times New Roman" w:hAnsi="Times New Roman" w:eastAsia="宋体" w:cs="Times New Roman"/>
                <w:bCs w:val="0"/>
                <w:color w:val="auto"/>
                <w:sz w:val="24"/>
                <w:szCs w:val="24"/>
                <w:highlight w:val="none"/>
                <w:lang w:val="en-US" w:eastAsia="zh-CN" w:bidi="zh-CN"/>
              </w:rPr>
              <w:t>（2）地表水环境风险影响</w:t>
            </w:r>
          </w:p>
          <w:p w14:paraId="0A9A784F">
            <w:pPr>
              <w:pStyle w:val="5"/>
              <w:keepNext w:val="0"/>
              <w:pageBreakBefore w:val="0"/>
              <w:widowControl w:val="0"/>
              <w:kinsoku/>
              <w:wordWrap/>
              <w:overflowPunct/>
              <w:topLinePunct w:val="0"/>
              <w:autoSpaceDE w:val="0"/>
              <w:autoSpaceDN w:val="0"/>
              <w:bidi w:val="0"/>
              <w:adjustRightInd w:val="0"/>
              <w:snapToGrid w:val="0"/>
              <w:spacing w:before="0" w:beforeLines="0" w:after="0" w:afterLines="0" w:line="500" w:lineRule="exact"/>
              <w:ind w:firstLine="480" w:firstLineChars="200"/>
              <w:textAlignment w:val="auto"/>
              <w:rPr>
                <w:rFonts w:hint="default" w:ascii="Times New Roman" w:hAnsi="Times New Roman" w:eastAsia="宋体" w:cs="Times New Roman"/>
                <w:bCs w:val="0"/>
                <w:color w:val="auto"/>
                <w:sz w:val="24"/>
                <w:szCs w:val="24"/>
                <w:lang w:val="en-US" w:eastAsia="zh-CN" w:bidi="zh-CN"/>
              </w:rPr>
            </w:pPr>
            <w:r>
              <w:rPr>
                <w:rFonts w:hint="default" w:ascii="Times New Roman" w:hAnsi="Times New Roman" w:eastAsia="宋体" w:cs="Times New Roman"/>
                <w:bCs w:val="0"/>
                <w:color w:val="auto"/>
                <w:sz w:val="24"/>
                <w:szCs w:val="24"/>
                <w:lang w:val="en-US" w:eastAsia="zh-CN" w:bidi="zh-CN"/>
              </w:rPr>
              <w:t>项目危险废物仓库没有做好防雨、防渗、防腐措施，导致发生渗漏进入周围环境，具有腐蚀性或遇水具有渗透性的</w:t>
            </w:r>
            <w:r>
              <w:rPr>
                <w:rFonts w:hint="eastAsia" w:ascii="Times New Roman" w:hAnsi="Times New Roman" w:eastAsia="宋体" w:cs="Times New Roman"/>
                <w:bCs w:val="0"/>
                <w:color w:val="auto"/>
                <w:sz w:val="24"/>
                <w:szCs w:val="24"/>
                <w:lang w:val="en-US" w:eastAsia="zh-CN" w:bidi="zh-CN"/>
              </w:rPr>
              <w:t>泄漏</w:t>
            </w:r>
            <w:r>
              <w:rPr>
                <w:rFonts w:hint="default" w:ascii="Times New Roman" w:hAnsi="Times New Roman" w:eastAsia="宋体" w:cs="Times New Roman"/>
                <w:bCs w:val="0"/>
                <w:color w:val="auto"/>
                <w:sz w:val="24"/>
                <w:szCs w:val="24"/>
                <w:lang w:val="en-US" w:eastAsia="zh-CN" w:bidi="zh-CN"/>
              </w:rPr>
              <w:t>物通过地面径流经厂区内雨水管网外排至厂外地表水体中，影响地表水环境，对水生生物产生一定程度的影响，当项目厂区内部发生火灾事故时，灭火过程中产生的消防废水未截留在厂内，可能会随着地面径流进入雨水管网，直接进入外部水体环境中，污染地表水环境。</w:t>
            </w:r>
          </w:p>
          <w:p w14:paraId="2FBDEA0A">
            <w:pPr>
              <w:keepNext w:val="0"/>
              <w:keepLines w:val="0"/>
              <w:pageBreakBefore w:val="0"/>
              <w:widowControl w:val="0"/>
              <w:kinsoku/>
              <w:wordWrap/>
              <w:overflowPunct/>
              <w:topLinePunct w:val="0"/>
              <w:autoSpaceDE w:val="0"/>
              <w:autoSpaceDN w:val="0"/>
              <w:bidi w:val="0"/>
              <w:adjustRightInd w:val="0"/>
              <w:snapToGrid w:val="0"/>
              <w:spacing w:before="0" w:after="0" w:line="500" w:lineRule="exact"/>
              <w:ind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（3）地下水、土壤环境风险影响</w:t>
            </w:r>
          </w:p>
          <w:p w14:paraId="26DC4EB1">
            <w:pPr>
              <w:keepNext w:val="0"/>
              <w:keepLines w:val="0"/>
              <w:pageBreakBefore w:val="0"/>
              <w:widowControl w:val="0"/>
              <w:kinsoku/>
              <w:wordWrap/>
              <w:overflowPunct/>
              <w:topLinePunct w:val="0"/>
              <w:autoSpaceDE w:val="0"/>
              <w:autoSpaceDN w:val="0"/>
              <w:bidi w:val="0"/>
              <w:adjustRightInd w:val="0"/>
              <w:snapToGrid w:val="0"/>
              <w:spacing w:before="0" w:after="0"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泄漏情形为危废间贮存的油类物质包装物破裂。储存过程为液态，包装规格小于10kg/桶，在原包装内密封储存，正常情况下不会发生泄漏。搬运过程中，因操作失误包装桶摔到地面上产生破损，最大泄漏量不超过10kg。</w:t>
            </w:r>
          </w:p>
          <w:p w14:paraId="0380048E">
            <w:pPr>
              <w:keepNext w:val="0"/>
              <w:keepLines w:val="0"/>
              <w:pageBreakBefore w:val="0"/>
              <w:widowControl w:val="0"/>
              <w:kinsoku/>
              <w:wordWrap/>
              <w:overflowPunct/>
              <w:topLinePunct w:val="0"/>
              <w:autoSpaceDE w:val="0"/>
              <w:autoSpaceDN w:val="0"/>
              <w:bidi w:val="0"/>
              <w:adjustRightInd w:val="0"/>
              <w:snapToGrid w:val="0"/>
              <w:spacing w:before="0" w:after="0"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危废间均设置专人看管并定期检查原料的使用和泄漏情况，运输过程中运输人员需合规操作，避免风险物质泄漏。当物料发生泄漏时，立即将泄漏物料转至备用桶中，并用吸附物质处理泄漏物料，处理完毕将泄漏物料密封，交由有资质单位处理。</w:t>
            </w:r>
          </w:p>
          <w:p w14:paraId="605727E6">
            <w:pPr>
              <w:keepNext w:val="0"/>
              <w:keepLines w:val="0"/>
              <w:pageBreakBefore w:val="0"/>
              <w:widowControl w:val="0"/>
              <w:kinsoku/>
              <w:wordWrap/>
              <w:overflowPunct/>
              <w:topLinePunct w:val="0"/>
              <w:autoSpaceDE w:val="0"/>
              <w:autoSpaceDN w:val="0"/>
              <w:bidi w:val="0"/>
              <w:adjustRightInd w:val="0"/>
              <w:snapToGrid w:val="0"/>
              <w:spacing w:before="0" w:after="0"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本项目危废间地面经防腐蚀、防渗漏处理并定期维护，可以有效杜绝防渗层的破裂。</w:t>
            </w:r>
          </w:p>
          <w:p w14:paraId="7B89921F">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2" w:firstLineChars="200"/>
              <w:jc w:val="left"/>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6</w:t>
            </w:r>
            <w:r>
              <w:rPr>
                <w:rFonts w:hint="default" w:ascii="Times New Roman" w:hAnsi="Times New Roman" w:eastAsia="宋体" w:cs="Times New Roman"/>
                <w:b/>
                <w:bCs/>
                <w:color w:val="auto"/>
                <w:lang w:val="en-US" w:eastAsia="zh-CN"/>
              </w:rPr>
              <w:t>.4环境风险防范措施</w:t>
            </w:r>
          </w:p>
          <w:p w14:paraId="79612680">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（1）项目废气处理设施破损防范措施</w:t>
            </w:r>
          </w:p>
          <w:p w14:paraId="6942D9DA">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①项目废气处理设施采用正规设计厂家生产的设备，并严格按正规要求安装。</w:t>
            </w:r>
          </w:p>
          <w:p w14:paraId="622268CE">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②项目安排专人定期检查维修保养废气处理设施。</w:t>
            </w:r>
          </w:p>
          <w:p w14:paraId="53BB8571">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③当发现废气处理设施有破损时，应当立即停止生产。</w:t>
            </w:r>
          </w:p>
          <w:p w14:paraId="180AE71F">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（2）项目危险废物间防范措施</w:t>
            </w:r>
          </w:p>
          <w:p w14:paraId="552E4E0F">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①项目危险废物定期更换后避免露天存放，需要使用密闭包装容器盛装。</w:t>
            </w:r>
          </w:p>
          <w:p w14:paraId="2B4E9C1E">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②危险废物暂存间要做好防风、防雨、防晒、防渗漏等措施。</w:t>
            </w:r>
          </w:p>
          <w:p w14:paraId="79068785">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（3）项目火灾防范措施</w:t>
            </w:r>
          </w:p>
          <w:p w14:paraId="019F8CA8">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①危废间内设置废液收集池、门槛，发生应急事故时产生的废水能截留在仓库或车间内，以免废水对周围环境造成二次污染。</w:t>
            </w:r>
          </w:p>
          <w:p w14:paraId="276A6CF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应急预案</w:t>
            </w:r>
          </w:p>
          <w:p w14:paraId="783DABF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w:t>本项目生产过程中涉及到的主要风险物质为</w:t>
            </w:r>
            <w:r>
              <w:rPr>
                <w:rFonts w:hint="eastAsia" w:cs="Times New Roman"/>
                <w:color w:val="auto"/>
                <w:sz w:val="24"/>
                <w:lang w:eastAsia="zh-CN"/>
              </w:rPr>
              <w:t>废润滑油</w:t>
            </w:r>
            <w:r>
              <w:rPr>
                <w:rFonts w:hint="default" w:ascii="Times New Roman" w:hAnsi="Times New Roman" w:eastAsia="宋体" w:cs="Times New Roman"/>
                <w:color w:val="auto"/>
                <w:sz w:val="24"/>
              </w:rPr>
              <w:t>，为落实国家突发环境事件应急管理要求，有效应对突发环境事件，建立健全突发环境污染事故应急机制，规范公司环境应急管理工作、提高公司应对突发环境事件的应对能力，将突发环境事件对人员、财产和环境造成的损失降低至最小程度，最大限度地保障人民群众的生命财产安全及环境安全，维护社会稳定，促进社会全面、协调、可持续发展，本项目建成后，应依据《中华人民共和国突发事件应对法》、《企业事业单位突发环境事件应急预案备案管理办法》（试行）的相关要求，进行《突发环境事件应急预案》编制及备案工作。</w:t>
            </w:r>
          </w:p>
          <w:p w14:paraId="61C818AD">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2" w:firstLineChars="200"/>
              <w:jc w:val="left"/>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6</w:t>
            </w:r>
            <w:r>
              <w:rPr>
                <w:rFonts w:hint="default" w:ascii="Times New Roman" w:hAnsi="Times New Roman" w:eastAsia="宋体" w:cs="Times New Roman"/>
                <w:b/>
                <w:bCs/>
                <w:color w:val="auto"/>
                <w:lang w:val="en-US" w:eastAsia="zh-CN"/>
              </w:rPr>
              <w:t>.5环境风险结论</w:t>
            </w:r>
          </w:p>
          <w:p w14:paraId="6E7D6CF8">
            <w:pPr>
              <w:keepNext w:val="0"/>
              <w:keepLines w:val="0"/>
              <w:pageBreakBefore w:val="0"/>
              <w:widowControl w:val="0"/>
              <w:kinsoku/>
              <w:wordWrap/>
              <w:overflowPunct/>
              <w:topLinePunct w:val="0"/>
              <w:autoSpaceDE w:val="0"/>
              <w:autoSpaceDN w:val="0"/>
              <w:bidi w:val="0"/>
              <w:adjustRightInd w:val="0"/>
              <w:snapToGrid w:val="0"/>
              <w:spacing w:line="500" w:lineRule="exact"/>
              <w:ind w:left="0" w:firstLine="480" w:firstLineChars="200"/>
              <w:jc w:val="left"/>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lang w:val="en-US" w:eastAsia="zh-CN"/>
              </w:rPr>
              <w:t>本项目从管理、员工培训等各方面积极采取防范措施，确保项目运行的安全性；同时在严格执行国家相关</w:t>
            </w:r>
            <w:r>
              <w:rPr>
                <w:rFonts w:hint="eastAsia" w:cs="Times New Roman"/>
                <w:color w:val="auto"/>
                <w:lang w:val="en-US" w:eastAsia="zh-CN"/>
              </w:rPr>
              <w:t>法律法规</w:t>
            </w:r>
            <w:r>
              <w:rPr>
                <w:rFonts w:hint="default" w:ascii="Times New Roman" w:hAnsi="Times New Roman" w:eastAsia="宋体" w:cs="Times New Roman"/>
                <w:color w:val="auto"/>
                <w:lang w:val="en-US" w:eastAsia="zh-CN"/>
              </w:rPr>
              <w:t>和规范，按相关操作规章操作的前提下，可以将事故风险降到最低。通过采取相应的控制措施后，本项目环境风险可防控。</w:t>
            </w:r>
          </w:p>
        </w:tc>
      </w:tr>
    </w:tbl>
    <w:p w14:paraId="33188C41">
      <w:pPr>
        <w:spacing w:after="0"/>
        <w:rPr>
          <w:rFonts w:hint="default" w:ascii="Times New Roman" w:hAnsi="Times New Roman" w:eastAsia="宋体" w:cs="Times New Roman"/>
          <w:color w:val="auto"/>
          <w:sz w:val="21"/>
        </w:rPr>
        <w:sectPr>
          <w:pgSz w:w="11910" w:h="16850"/>
          <w:pgMar w:top="1417" w:right="1417" w:bottom="1417" w:left="1417" w:header="0" w:footer="817" w:gutter="0"/>
          <w:pgBorders>
            <w:top w:val="none" w:sz="0" w:space="0"/>
            <w:left w:val="none" w:sz="0" w:space="0"/>
            <w:bottom w:val="none" w:sz="0" w:space="0"/>
            <w:right w:val="none" w:sz="0" w:space="0"/>
          </w:pgBorders>
          <w:pgNumType w:fmt="decimal"/>
          <w:cols w:space="720" w:num="1"/>
        </w:sectPr>
      </w:pPr>
    </w:p>
    <w:p w14:paraId="29BDD869">
      <w:pPr>
        <w:pStyle w:val="4"/>
        <w:bidi w:val="0"/>
        <w:jc w:val="center"/>
        <w:rPr>
          <w:rFonts w:hint="default" w:ascii="Times New Roman" w:hAnsi="Times New Roman" w:eastAsia="宋体" w:cs="Times New Roman"/>
          <w:color w:val="auto"/>
          <w:sz w:val="21"/>
        </w:rPr>
      </w:pPr>
      <w:r>
        <w:rPr>
          <w:rFonts w:hint="default" w:ascii="Times New Roman" w:hAnsi="Times New Roman" w:eastAsia="宋体" w:cs="Times New Roman"/>
          <w:b/>
          <w:bCs/>
          <w:color w:val="auto"/>
        </w:rPr>
        <w:t>五、环境保护措施监督检查清单</w:t>
      </w:r>
    </w:p>
    <w:tbl>
      <w:tblPr>
        <w:tblStyle w:val="21"/>
        <w:tblW w:w="0" w:type="auto"/>
        <w:tblInd w:w="2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8"/>
        <w:gridCol w:w="877"/>
        <w:gridCol w:w="823"/>
        <w:gridCol w:w="1328"/>
        <w:gridCol w:w="2238"/>
        <w:gridCol w:w="1757"/>
      </w:tblGrid>
      <w:tr w14:paraId="07DD4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blHeader/>
        </w:trPr>
        <w:tc>
          <w:tcPr>
            <w:tcW w:w="1778" w:type="dxa"/>
            <w:tcBorders>
              <w:tl2br w:val="nil"/>
              <w:tr2bl w:val="nil"/>
            </w:tcBorders>
            <w:vAlign w:val="center"/>
          </w:tcPr>
          <w:p w14:paraId="1E237720">
            <w:pPr>
              <w:pStyle w:val="29"/>
              <w:keepNext w:val="0"/>
              <w:keepLines w:val="0"/>
              <w:pageBreakBefore w:val="0"/>
              <w:widowControl w:val="0"/>
              <w:kinsoku/>
              <w:wordWrap/>
              <w:overflowPunct/>
              <w:topLinePunct w:val="0"/>
              <w:autoSpaceDE w:val="0"/>
              <w:autoSpaceDN w:val="0"/>
              <w:bidi w:val="0"/>
              <w:adjustRightInd/>
              <w:snapToGrid/>
              <w:spacing w:before="0"/>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内容要素</w:t>
            </w:r>
          </w:p>
        </w:tc>
        <w:tc>
          <w:tcPr>
            <w:tcW w:w="1700" w:type="dxa"/>
            <w:gridSpan w:val="2"/>
            <w:tcBorders>
              <w:tl2br w:val="nil"/>
              <w:tr2bl w:val="nil"/>
            </w:tcBorders>
            <w:vAlign w:val="center"/>
          </w:tcPr>
          <w:p w14:paraId="5EA07E02">
            <w:pPr>
              <w:pStyle w:val="29"/>
              <w:keepNext w:val="0"/>
              <w:keepLines w:val="0"/>
              <w:pageBreakBefore w:val="0"/>
              <w:widowControl w:val="0"/>
              <w:kinsoku/>
              <w:wordWrap/>
              <w:overflowPunct/>
              <w:topLinePunct w:val="0"/>
              <w:autoSpaceDE w:val="0"/>
              <w:autoSpaceDN w:val="0"/>
              <w:bidi w:val="0"/>
              <w:adjustRightInd/>
              <w:snapToGrid/>
              <w:spacing w:before="0" w:line="270" w:lineRule="atLeast"/>
              <w:ind w:left="0" w:right="0" w:firstLine="0"/>
              <w:jc w:val="center"/>
              <w:textAlignment w:val="auto"/>
              <w:rPr>
                <w:rFonts w:hint="default" w:ascii="Times New Roman" w:hAnsi="Times New Roman" w:eastAsia="宋体" w:cs="Times New Roman"/>
                <w:b/>
                <w:bCs/>
                <w:color w:val="auto"/>
                <w:sz w:val="21"/>
                <w:shd w:val="clear" w:color="auto" w:fill="auto"/>
              </w:rPr>
            </w:pPr>
            <w:r>
              <w:rPr>
                <w:rFonts w:hint="default" w:ascii="Times New Roman" w:hAnsi="Times New Roman" w:eastAsia="宋体" w:cs="Times New Roman"/>
                <w:b/>
                <w:bCs/>
                <w:color w:val="auto"/>
                <w:sz w:val="21"/>
                <w:shd w:val="clear" w:color="auto" w:fill="auto"/>
              </w:rPr>
              <w:t>排放口(编号、名称)/污染源</w:t>
            </w:r>
          </w:p>
        </w:tc>
        <w:tc>
          <w:tcPr>
            <w:tcW w:w="1328" w:type="dxa"/>
            <w:tcBorders>
              <w:tl2br w:val="nil"/>
              <w:tr2bl w:val="nil"/>
            </w:tcBorders>
            <w:vAlign w:val="center"/>
          </w:tcPr>
          <w:p w14:paraId="7F063E00">
            <w:pPr>
              <w:pStyle w:val="29"/>
              <w:keepNext w:val="0"/>
              <w:keepLines w:val="0"/>
              <w:pageBreakBefore w:val="0"/>
              <w:widowControl w:val="0"/>
              <w:kinsoku/>
              <w:wordWrap/>
              <w:overflowPunct/>
              <w:topLinePunct w:val="0"/>
              <w:autoSpaceDE w:val="0"/>
              <w:autoSpaceDN w:val="0"/>
              <w:bidi w:val="0"/>
              <w:adjustRightInd/>
              <w:snapToGrid/>
              <w:spacing w:before="0"/>
              <w:ind w:left="0" w:right="0" w:firstLine="0"/>
              <w:jc w:val="center"/>
              <w:textAlignment w:val="auto"/>
              <w:rPr>
                <w:rFonts w:hint="default" w:ascii="Times New Roman" w:hAnsi="Times New Roman" w:eastAsia="宋体" w:cs="Times New Roman"/>
                <w:b/>
                <w:bCs/>
                <w:color w:val="auto"/>
                <w:sz w:val="21"/>
                <w:shd w:val="clear" w:color="auto" w:fill="auto"/>
              </w:rPr>
            </w:pPr>
            <w:r>
              <w:rPr>
                <w:rFonts w:hint="default" w:ascii="Times New Roman" w:hAnsi="Times New Roman" w:eastAsia="宋体" w:cs="Times New Roman"/>
                <w:b/>
                <w:bCs/>
                <w:color w:val="auto"/>
                <w:sz w:val="21"/>
                <w:shd w:val="clear" w:color="auto" w:fill="auto"/>
              </w:rPr>
              <w:t>污染物项目</w:t>
            </w:r>
          </w:p>
        </w:tc>
        <w:tc>
          <w:tcPr>
            <w:tcW w:w="2238" w:type="dxa"/>
            <w:tcBorders>
              <w:tl2br w:val="nil"/>
              <w:tr2bl w:val="nil"/>
            </w:tcBorders>
            <w:vAlign w:val="center"/>
          </w:tcPr>
          <w:p w14:paraId="076F2DF7">
            <w:pPr>
              <w:pStyle w:val="29"/>
              <w:keepNext w:val="0"/>
              <w:keepLines w:val="0"/>
              <w:pageBreakBefore w:val="0"/>
              <w:widowControl w:val="0"/>
              <w:kinsoku/>
              <w:wordWrap/>
              <w:overflowPunct/>
              <w:topLinePunct w:val="0"/>
              <w:autoSpaceDE w:val="0"/>
              <w:autoSpaceDN w:val="0"/>
              <w:bidi w:val="0"/>
              <w:adjustRightInd/>
              <w:snapToGrid/>
              <w:spacing w:before="0"/>
              <w:ind w:left="0" w:right="0" w:firstLine="0"/>
              <w:jc w:val="center"/>
              <w:textAlignment w:val="auto"/>
              <w:rPr>
                <w:rFonts w:hint="default" w:ascii="Times New Roman" w:hAnsi="Times New Roman" w:eastAsia="宋体" w:cs="Times New Roman"/>
                <w:b/>
                <w:bCs/>
                <w:color w:val="auto"/>
                <w:sz w:val="21"/>
                <w:shd w:val="clear" w:color="auto" w:fill="auto"/>
              </w:rPr>
            </w:pPr>
            <w:r>
              <w:rPr>
                <w:rFonts w:hint="default" w:ascii="Times New Roman" w:hAnsi="Times New Roman" w:eastAsia="宋体" w:cs="Times New Roman"/>
                <w:b/>
                <w:bCs/>
                <w:color w:val="auto"/>
                <w:sz w:val="21"/>
                <w:shd w:val="clear" w:color="auto" w:fill="auto"/>
              </w:rPr>
              <w:t>环境保护措施</w:t>
            </w:r>
          </w:p>
        </w:tc>
        <w:tc>
          <w:tcPr>
            <w:tcW w:w="1757" w:type="dxa"/>
            <w:tcBorders>
              <w:tl2br w:val="nil"/>
              <w:tr2bl w:val="nil"/>
            </w:tcBorders>
            <w:vAlign w:val="center"/>
          </w:tcPr>
          <w:p w14:paraId="4656BF10">
            <w:pPr>
              <w:pStyle w:val="29"/>
              <w:keepNext w:val="0"/>
              <w:keepLines w:val="0"/>
              <w:pageBreakBefore w:val="0"/>
              <w:widowControl w:val="0"/>
              <w:kinsoku/>
              <w:wordWrap/>
              <w:overflowPunct/>
              <w:topLinePunct w:val="0"/>
              <w:autoSpaceDE w:val="0"/>
              <w:autoSpaceDN w:val="0"/>
              <w:bidi w:val="0"/>
              <w:adjustRightInd/>
              <w:snapToGrid/>
              <w:spacing w:before="0"/>
              <w:ind w:left="0" w:right="0" w:firstLine="0"/>
              <w:jc w:val="center"/>
              <w:textAlignment w:val="auto"/>
              <w:rPr>
                <w:rFonts w:hint="default" w:ascii="Times New Roman" w:hAnsi="Times New Roman" w:eastAsia="宋体" w:cs="Times New Roman"/>
                <w:b/>
                <w:bCs/>
                <w:color w:val="auto"/>
                <w:sz w:val="21"/>
                <w:shd w:val="clear" w:color="auto" w:fill="auto"/>
              </w:rPr>
            </w:pPr>
            <w:r>
              <w:rPr>
                <w:rFonts w:hint="default" w:ascii="Times New Roman" w:hAnsi="Times New Roman" w:eastAsia="宋体" w:cs="Times New Roman"/>
                <w:b/>
                <w:bCs/>
                <w:color w:val="auto"/>
                <w:sz w:val="21"/>
                <w:shd w:val="clear" w:color="auto" w:fill="auto"/>
              </w:rPr>
              <w:t>执行标准</w:t>
            </w:r>
          </w:p>
        </w:tc>
      </w:tr>
      <w:tr w14:paraId="7CA1F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1" w:hRule="atLeast"/>
        </w:trPr>
        <w:tc>
          <w:tcPr>
            <w:tcW w:w="1778" w:type="dxa"/>
            <w:vMerge w:val="restart"/>
            <w:tcBorders>
              <w:tl2br w:val="nil"/>
              <w:tr2bl w:val="nil"/>
            </w:tcBorders>
            <w:vAlign w:val="center"/>
          </w:tcPr>
          <w:p w14:paraId="4F735E62">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大气环境</w:t>
            </w:r>
          </w:p>
        </w:tc>
        <w:tc>
          <w:tcPr>
            <w:tcW w:w="1700" w:type="dxa"/>
            <w:gridSpan w:val="2"/>
            <w:tcBorders>
              <w:tl2br w:val="nil"/>
              <w:tr2bl w:val="nil"/>
            </w:tcBorders>
            <w:vAlign w:val="center"/>
          </w:tcPr>
          <w:p w14:paraId="0BFFF52C">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shd w:val="clear" w:color="auto" w:fill="auto"/>
                <w:lang w:val="en-US" w:eastAsia="zh-CN"/>
              </w:rPr>
            </w:pPr>
            <w:r>
              <w:rPr>
                <w:rFonts w:hint="eastAsia" w:ascii="Times New Roman" w:hAnsi="Times New Roman" w:eastAsia="宋体" w:cs="Times New Roman"/>
                <w:b w:val="0"/>
                <w:bCs w:val="0"/>
                <w:color w:val="auto"/>
                <w:sz w:val="21"/>
                <w:szCs w:val="21"/>
                <w:highlight w:val="none"/>
                <w:shd w:val="clear" w:color="auto" w:fill="auto"/>
                <w:lang w:eastAsia="zh-CN"/>
              </w:rPr>
              <w:t>钢渣预选、除杂工序</w:t>
            </w:r>
            <w:r>
              <w:rPr>
                <w:rFonts w:hint="default" w:ascii="Times New Roman" w:hAnsi="Times New Roman" w:eastAsia="宋体" w:cs="Times New Roman"/>
                <w:color w:val="auto"/>
                <w:sz w:val="21"/>
                <w:szCs w:val="21"/>
                <w:shd w:val="clear" w:color="auto" w:fill="auto"/>
                <w:lang w:val="en-US" w:eastAsia="zh-CN"/>
              </w:rPr>
              <w:t>（DA001）</w:t>
            </w:r>
          </w:p>
        </w:tc>
        <w:tc>
          <w:tcPr>
            <w:tcW w:w="1328" w:type="dxa"/>
            <w:tcBorders>
              <w:tl2br w:val="nil"/>
              <w:tr2bl w:val="nil"/>
            </w:tcBorders>
            <w:vAlign w:val="center"/>
          </w:tcPr>
          <w:p w14:paraId="2EA04EFA">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lang w:eastAsia="zh-CN"/>
              </w:rPr>
              <w:t>颗粒物</w:t>
            </w:r>
          </w:p>
        </w:tc>
        <w:tc>
          <w:tcPr>
            <w:tcW w:w="2238" w:type="dxa"/>
            <w:tcBorders>
              <w:tl2br w:val="nil"/>
              <w:tr2bl w:val="nil"/>
            </w:tcBorders>
            <w:vAlign w:val="center"/>
          </w:tcPr>
          <w:p w14:paraId="3FAE9526">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cs="Times New Roman"/>
                <w:color w:val="auto"/>
                <w:sz w:val="21"/>
                <w:szCs w:val="21"/>
                <w:vertAlign w:val="baseline"/>
                <w:lang w:eastAsia="zh-CN"/>
              </w:rPr>
              <w:t>振动筛、</w:t>
            </w:r>
            <w:r>
              <w:rPr>
                <w:rFonts w:hint="default" w:ascii="Times New Roman" w:hAnsi="Times New Roman" w:cs="Times New Roman"/>
                <w:color w:val="auto"/>
                <w:sz w:val="21"/>
                <w:szCs w:val="21"/>
                <w:vertAlign w:val="baseline"/>
                <w:lang w:val="en-US" w:eastAsia="zh-CN"/>
              </w:rPr>
              <w:t>1#磁滑轮、滚筒筛及2#磁滑轮</w:t>
            </w:r>
            <w:r>
              <w:rPr>
                <w:rFonts w:hint="default" w:ascii="Times New Roman" w:hAnsi="Times New Roman" w:eastAsia="宋体" w:cs="Times New Roman"/>
                <w:color w:val="auto"/>
                <w:sz w:val="21"/>
                <w:szCs w:val="21"/>
                <w:vertAlign w:val="baseline"/>
                <w:lang w:eastAsia="zh-CN"/>
              </w:rPr>
              <w:t>进、出料料口上集尘罩</w:t>
            </w:r>
            <w:r>
              <w:rPr>
                <w:rFonts w:hint="default" w:ascii="Times New Roman" w:hAnsi="Times New Roman" w:eastAsia="宋体" w:cs="Times New Roman"/>
                <w:color w:val="auto"/>
                <w:sz w:val="21"/>
                <w:szCs w:val="21"/>
                <w:vertAlign w:val="baseline"/>
                <w:lang w:val="en-US" w:eastAsia="zh-CN"/>
              </w:rPr>
              <w:t>+脉冲布袋除尘器+</w:t>
            </w:r>
            <w:r>
              <w:rPr>
                <w:rFonts w:hint="default" w:ascii="Times New Roman" w:hAnsi="Times New Roman" w:cs="Times New Roman"/>
                <w:color w:val="auto"/>
                <w:sz w:val="21"/>
                <w:szCs w:val="21"/>
                <w:vertAlign w:val="baseline"/>
                <w:lang w:val="en-US" w:eastAsia="zh-CN"/>
              </w:rPr>
              <w:t>20米</w:t>
            </w:r>
            <w:r>
              <w:rPr>
                <w:rFonts w:hint="default" w:ascii="Times New Roman" w:hAnsi="Times New Roman" w:eastAsia="宋体" w:cs="Times New Roman"/>
                <w:color w:val="auto"/>
                <w:sz w:val="21"/>
                <w:szCs w:val="21"/>
                <w:vertAlign w:val="baseline"/>
                <w:lang w:val="en-US" w:eastAsia="zh-CN"/>
              </w:rPr>
              <w:t>高排气筒（DA001）</w:t>
            </w:r>
          </w:p>
        </w:tc>
        <w:tc>
          <w:tcPr>
            <w:tcW w:w="1757" w:type="dxa"/>
            <w:tcBorders>
              <w:tl2br w:val="nil"/>
              <w:tr2bl w:val="nil"/>
            </w:tcBorders>
            <w:vAlign w:val="center"/>
          </w:tcPr>
          <w:p w14:paraId="74A6B7F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lang w:eastAsia="zh-CN"/>
              </w:rPr>
              <w:t>《大气污染物综合排放标准》（GB16297-1996）表2二级标准</w:t>
            </w:r>
            <w:r>
              <w:rPr>
                <w:rFonts w:hint="default" w:ascii="Times New Roman" w:hAnsi="Times New Roman" w:eastAsia="宋体" w:cs="Times New Roman"/>
                <w:color w:val="auto"/>
                <w:sz w:val="21"/>
                <w:szCs w:val="21"/>
                <w:shd w:val="clear" w:color="auto" w:fill="auto"/>
              </w:rPr>
              <w:t>2中二级标准：颗粒物有组织排放浓度120mg/m</w:t>
            </w:r>
            <w:r>
              <w:rPr>
                <w:rFonts w:hint="default" w:ascii="Times New Roman" w:hAnsi="Times New Roman" w:eastAsia="宋体" w:cs="Times New Roman"/>
                <w:color w:val="auto"/>
                <w:sz w:val="21"/>
                <w:szCs w:val="21"/>
                <w:shd w:val="clear" w:color="auto" w:fill="auto"/>
                <w:vertAlign w:val="superscript"/>
              </w:rPr>
              <w:t>3</w:t>
            </w:r>
            <w:r>
              <w:rPr>
                <w:rFonts w:hint="default" w:ascii="Times New Roman" w:hAnsi="Times New Roman" w:eastAsia="宋体" w:cs="Times New Roman"/>
                <w:color w:val="auto"/>
                <w:sz w:val="21"/>
                <w:szCs w:val="21"/>
                <w:shd w:val="clear" w:color="auto" w:fill="auto"/>
              </w:rPr>
              <w:t>，排放速率</w:t>
            </w:r>
            <w:r>
              <w:rPr>
                <w:rFonts w:hint="eastAsia" w:cs="Times New Roman"/>
                <w:color w:val="auto"/>
                <w:sz w:val="21"/>
                <w:szCs w:val="21"/>
                <w:shd w:val="clear" w:color="auto" w:fill="auto"/>
                <w:lang w:val="en-US" w:eastAsia="zh-CN"/>
              </w:rPr>
              <w:t>5.9</w:t>
            </w:r>
            <w:r>
              <w:rPr>
                <w:rFonts w:hint="default" w:ascii="Times New Roman" w:hAnsi="Times New Roman" w:eastAsia="宋体" w:cs="Times New Roman"/>
                <w:color w:val="auto"/>
                <w:sz w:val="21"/>
                <w:szCs w:val="21"/>
                <w:shd w:val="clear" w:color="auto" w:fill="auto"/>
              </w:rPr>
              <w:t>kg/h</w:t>
            </w:r>
          </w:p>
        </w:tc>
      </w:tr>
      <w:tr w14:paraId="0B0F8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1" w:hRule="atLeast"/>
        </w:trPr>
        <w:tc>
          <w:tcPr>
            <w:tcW w:w="1778" w:type="dxa"/>
            <w:vMerge w:val="continue"/>
            <w:tcBorders>
              <w:tl2br w:val="nil"/>
              <w:tr2bl w:val="nil"/>
            </w:tcBorders>
            <w:vAlign w:val="center"/>
          </w:tcPr>
          <w:p w14:paraId="0D5ED2E3">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1700" w:type="dxa"/>
            <w:gridSpan w:val="2"/>
            <w:tcBorders>
              <w:tl2br w:val="nil"/>
              <w:tr2bl w:val="nil"/>
            </w:tcBorders>
            <w:vAlign w:val="center"/>
          </w:tcPr>
          <w:p w14:paraId="39AA9B0E">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color w:val="auto"/>
                <w:spacing w:val="0"/>
                <w:sz w:val="21"/>
                <w:szCs w:val="21"/>
                <w:shd w:val="clear" w:color="auto" w:fill="auto"/>
                <w:lang w:eastAsia="zh-CN"/>
              </w:rPr>
              <w:t>原料入厂、堆存、</w:t>
            </w:r>
            <w:r>
              <w:rPr>
                <w:rFonts w:hint="eastAsia" w:ascii="Times New Roman" w:hAnsi="Times New Roman" w:cs="Times New Roman"/>
                <w:color w:val="auto"/>
                <w:spacing w:val="0"/>
                <w:sz w:val="21"/>
                <w:szCs w:val="21"/>
                <w:shd w:val="clear" w:color="auto" w:fill="auto"/>
                <w:lang w:eastAsia="zh-CN"/>
              </w:rPr>
              <w:t>上料；成品堆存、转运</w:t>
            </w:r>
          </w:p>
        </w:tc>
        <w:tc>
          <w:tcPr>
            <w:tcW w:w="1328" w:type="dxa"/>
            <w:tcBorders>
              <w:tl2br w:val="nil"/>
              <w:tr2bl w:val="nil"/>
            </w:tcBorders>
            <w:vAlign w:val="center"/>
          </w:tcPr>
          <w:p w14:paraId="79431B9C">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color w:val="auto"/>
                <w:sz w:val="21"/>
                <w:szCs w:val="21"/>
                <w:shd w:val="clear" w:color="auto" w:fill="auto"/>
                <w:lang w:eastAsia="zh-CN"/>
              </w:rPr>
              <w:t>颗粒物</w:t>
            </w:r>
          </w:p>
        </w:tc>
        <w:tc>
          <w:tcPr>
            <w:tcW w:w="2238" w:type="dxa"/>
            <w:tcBorders>
              <w:tl2br w:val="nil"/>
              <w:tr2bl w:val="nil"/>
            </w:tcBorders>
            <w:vAlign w:val="center"/>
          </w:tcPr>
          <w:p w14:paraId="30263DA4">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shd w:val="clear" w:color="auto" w:fill="auto"/>
                <w:lang w:eastAsia="zh-CN"/>
              </w:rPr>
              <w:t>皮带运输机密闭；</w:t>
            </w:r>
            <w:r>
              <w:rPr>
                <w:rFonts w:hint="eastAsia" w:ascii="Times New Roman" w:hAnsi="Times New Roman" w:cs="Times New Roman"/>
                <w:b w:val="0"/>
                <w:bCs w:val="0"/>
                <w:color w:val="auto"/>
                <w:sz w:val="21"/>
                <w:szCs w:val="21"/>
                <w:highlight w:val="none"/>
                <w:shd w:val="clear" w:color="auto" w:fill="auto"/>
                <w:lang w:eastAsia="zh-CN"/>
              </w:rPr>
              <w:t>原料车间、封闭式成品车间内</w:t>
            </w:r>
            <w:r>
              <w:rPr>
                <w:rFonts w:hint="default" w:ascii="Times New Roman" w:hAnsi="Times New Roman" w:eastAsia="宋体" w:cs="Times New Roman"/>
                <w:b w:val="0"/>
                <w:bCs w:val="0"/>
                <w:color w:val="auto"/>
                <w:sz w:val="21"/>
                <w:szCs w:val="21"/>
                <w:highlight w:val="none"/>
                <w:shd w:val="clear" w:color="auto" w:fill="auto"/>
                <w:lang w:eastAsia="zh-CN"/>
              </w:rPr>
              <w:t>定时洒水抑尘；厂区地面硬化，出入口设置</w:t>
            </w:r>
            <w:r>
              <w:rPr>
                <w:rFonts w:hint="eastAsia" w:cs="Times New Roman"/>
                <w:b w:val="0"/>
                <w:bCs w:val="0"/>
                <w:color w:val="auto"/>
                <w:sz w:val="21"/>
                <w:szCs w:val="21"/>
                <w:highlight w:val="none"/>
                <w:shd w:val="clear" w:color="auto" w:fill="auto"/>
                <w:lang w:eastAsia="zh-CN"/>
              </w:rPr>
              <w:t>洗车平台，对进出车辆进行清洗</w:t>
            </w:r>
            <w:r>
              <w:rPr>
                <w:rFonts w:hint="default" w:ascii="Times New Roman" w:hAnsi="Times New Roman" w:eastAsia="宋体" w:cs="Times New Roman"/>
                <w:b w:val="0"/>
                <w:bCs w:val="0"/>
                <w:color w:val="auto"/>
                <w:sz w:val="21"/>
                <w:szCs w:val="21"/>
                <w:highlight w:val="none"/>
                <w:shd w:val="clear" w:color="auto" w:fill="auto"/>
                <w:lang w:eastAsia="zh-CN"/>
              </w:rPr>
              <w:t>。</w:t>
            </w:r>
          </w:p>
        </w:tc>
        <w:tc>
          <w:tcPr>
            <w:tcW w:w="1757" w:type="dxa"/>
            <w:tcBorders>
              <w:tl2br w:val="nil"/>
              <w:tr2bl w:val="nil"/>
            </w:tcBorders>
            <w:vAlign w:val="center"/>
          </w:tcPr>
          <w:p w14:paraId="73ABC885">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《大气污染物综合排放标准》（GB16297-1996）表2中：颗粒物无组织排放周界外浓度最高点1.0mg/Nm</w:t>
            </w:r>
            <w:r>
              <w:rPr>
                <w:rFonts w:hint="default" w:ascii="Times New Roman" w:hAnsi="Times New Roman" w:eastAsia="宋体" w:cs="Times New Roman"/>
                <w:color w:val="auto"/>
                <w:spacing w:val="8"/>
                <w:kern w:val="24"/>
                <w:sz w:val="21"/>
                <w:szCs w:val="21"/>
                <w:highlight w:val="none"/>
                <w:shd w:val="clear" w:color="auto" w:fill="auto"/>
                <w:vertAlign w:val="superscript"/>
                <w:lang w:val="zh-CN"/>
              </w:rPr>
              <w:t>3</w:t>
            </w:r>
          </w:p>
        </w:tc>
      </w:tr>
      <w:tr w14:paraId="495DA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1778" w:type="dxa"/>
            <w:vMerge w:val="restart"/>
            <w:tcBorders>
              <w:tl2br w:val="nil"/>
              <w:tr2bl w:val="nil"/>
            </w:tcBorders>
            <w:vAlign w:val="center"/>
          </w:tcPr>
          <w:p w14:paraId="20BF06FC">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地表水环境</w:t>
            </w:r>
          </w:p>
        </w:tc>
        <w:tc>
          <w:tcPr>
            <w:tcW w:w="1700" w:type="dxa"/>
            <w:gridSpan w:val="2"/>
            <w:tcBorders>
              <w:tl2br w:val="nil"/>
              <w:tr2bl w:val="nil"/>
            </w:tcBorders>
            <w:vAlign w:val="center"/>
          </w:tcPr>
          <w:p w14:paraId="56B95C2B">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highlight w:val="none"/>
                <w:shd w:val="clear" w:color="auto" w:fill="auto"/>
                <w:lang w:eastAsia="zh-CN"/>
              </w:rPr>
              <w:t>生产废水</w:t>
            </w:r>
          </w:p>
        </w:tc>
        <w:tc>
          <w:tcPr>
            <w:tcW w:w="1328" w:type="dxa"/>
            <w:tcBorders>
              <w:tl2br w:val="nil"/>
              <w:tr2bl w:val="nil"/>
            </w:tcBorders>
            <w:vAlign w:val="center"/>
          </w:tcPr>
          <w:p w14:paraId="139F3459">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shd w:val="clear" w:color="auto" w:fill="auto"/>
              </w:rPr>
            </w:pPr>
            <w:r>
              <w:rPr>
                <w:rFonts w:hint="eastAsia" w:cs="Times New Roman"/>
                <w:color w:val="auto"/>
                <w:sz w:val="21"/>
                <w:szCs w:val="21"/>
                <w:shd w:val="clear" w:color="auto" w:fill="auto"/>
                <w:vertAlign w:val="baseline"/>
                <w:lang w:eastAsia="zh-CN"/>
              </w:rPr>
              <w:t>SS</w:t>
            </w:r>
          </w:p>
        </w:tc>
        <w:tc>
          <w:tcPr>
            <w:tcW w:w="2238" w:type="dxa"/>
            <w:tcBorders>
              <w:tl2br w:val="nil"/>
              <w:tr2bl w:val="nil"/>
            </w:tcBorders>
            <w:vAlign w:val="center"/>
          </w:tcPr>
          <w:p w14:paraId="15A31AE7">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highlight w:val="none"/>
                <w:shd w:val="clear" w:color="auto" w:fill="auto"/>
                <w:lang w:eastAsia="zh-CN"/>
              </w:rPr>
              <w:t>排入厂区内</w:t>
            </w:r>
            <w:r>
              <w:rPr>
                <w:rFonts w:hint="eastAsia" w:ascii="Times New Roman" w:hAnsi="Times New Roman" w:cs="Times New Roman"/>
                <w:color w:val="auto"/>
                <w:sz w:val="21"/>
                <w:szCs w:val="21"/>
                <w:highlight w:val="none"/>
                <w:shd w:val="clear" w:color="auto" w:fill="auto"/>
                <w:lang w:eastAsia="zh-CN"/>
              </w:rPr>
              <w:t>沉淀池</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shd w:val="clear" w:color="auto" w:fill="auto"/>
                <w:lang w:eastAsia="zh-CN"/>
              </w:rPr>
              <w:t>沉淀后回用于</w:t>
            </w:r>
            <w:r>
              <w:rPr>
                <w:rFonts w:hint="default" w:ascii="Times New Roman" w:hAnsi="Times New Roman" w:eastAsia="宋体" w:cs="Times New Roman"/>
                <w:color w:val="auto"/>
                <w:sz w:val="21"/>
                <w:szCs w:val="21"/>
                <w:highlight w:val="none"/>
                <w:shd w:val="clear" w:color="auto" w:fill="auto"/>
                <w:lang w:eastAsia="zh-CN"/>
              </w:rPr>
              <w:t>生产</w:t>
            </w:r>
            <w:r>
              <w:rPr>
                <w:rFonts w:hint="default" w:ascii="Times New Roman" w:hAnsi="Times New Roman" w:eastAsia="宋体" w:cs="Times New Roman"/>
                <w:color w:val="auto"/>
                <w:sz w:val="21"/>
                <w:szCs w:val="21"/>
                <w:shd w:val="clear" w:color="auto" w:fill="auto"/>
                <w:lang w:eastAsia="zh-CN"/>
              </w:rPr>
              <w:t>。</w:t>
            </w:r>
          </w:p>
        </w:tc>
        <w:tc>
          <w:tcPr>
            <w:tcW w:w="1757" w:type="dxa"/>
            <w:tcBorders>
              <w:tl2br w:val="nil"/>
              <w:tr2bl w:val="nil"/>
            </w:tcBorders>
            <w:vAlign w:val="center"/>
          </w:tcPr>
          <w:p w14:paraId="760E9631">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lang w:eastAsia="zh-CN"/>
              </w:rPr>
              <w:t>——</w:t>
            </w:r>
          </w:p>
        </w:tc>
      </w:tr>
      <w:tr w14:paraId="050A8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1778" w:type="dxa"/>
            <w:vMerge w:val="continue"/>
            <w:tcBorders>
              <w:tl2br w:val="nil"/>
              <w:tr2bl w:val="nil"/>
            </w:tcBorders>
            <w:vAlign w:val="center"/>
          </w:tcPr>
          <w:p w14:paraId="3FB40B6C">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1700" w:type="dxa"/>
            <w:gridSpan w:val="2"/>
            <w:tcBorders>
              <w:tl2br w:val="nil"/>
              <w:tr2bl w:val="nil"/>
            </w:tcBorders>
            <w:vAlign w:val="center"/>
          </w:tcPr>
          <w:p w14:paraId="15460F8D">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生活污水</w:t>
            </w:r>
          </w:p>
        </w:tc>
        <w:tc>
          <w:tcPr>
            <w:tcW w:w="1328" w:type="dxa"/>
            <w:tcBorders>
              <w:tl2br w:val="nil"/>
              <w:tr2bl w:val="nil"/>
            </w:tcBorders>
            <w:vAlign w:val="center"/>
          </w:tcPr>
          <w:p w14:paraId="57323B9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Times New Roman"/>
                <w:color w:val="auto"/>
                <w:sz w:val="21"/>
                <w:szCs w:val="21"/>
                <w:shd w:val="clear" w:color="auto" w:fill="auto"/>
                <w:vertAlign w:val="baseline"/>
                <w:lang w:eastAsia="zh-CN"/>
              </w:rPr>
            </w:pPr>
            <w:r>
              <w:rPr>
                <w:rFonts w:hint="eastAsia" w:cs="Times New Roman"/>
                <w:color w:val="auto"/>
                <w:sz w:val="21"/>
                <w:szCs w:val="21"/>
                <w:shd w:val="clear" w:color="auto" w:fill="auto"/>
                <w:vertAlign w:val="baseline"/>
                <w:lang w:eastAsia="zh-CN"/>
              </w:rPr>
              <w:t>pH、COD、BOD</w:t>
            </w:r>
            <w:r>
              <w:rPr>
                <w:rFonts w:hint="eastAsia" w:cs="Times New Roman"/>
                <w:color w:val="auto"/>
                <w:sz w:val="21"/>
                <w:szCs w:val="21"/>
                <w:shd w:val="clear" w:color="auto" w:fill="auto"/>
                <w:vertAlign w:val="subscript"/>
                <w:lang w:eastAsia="zh-CN"/>
              </w:rPr>
              <w:t>5</w:t>
            </w:r>
            <w:r>
              <w:rPr>
                <w:rFonts w:hint="eastAsia" w:cs="Times New Roman"/>
                <w:color w:val="auto"/>
                <w:sz w:val="21"/>
                <w:szCs w:val="21"/>
                <w:shd w:val="clear" w:color="auto" w:fill="auto"/>
                <w:vertAlign w:val="baseline"/>
                <w:lang w:eastAsia="zh-CN"/>
              </w:rPr>
              <w:t>、SS、NH</w:t>
            </w:r>
            <w:r>
              <w:rPr>
                <w:rFonts w:hint="eastAsia" w:cs="Times New Roman"/>
                <w:color w:val="auto"/>
                <w:sz w:val="21"/>
                <w:szCs w:val="21"/>
                <w:shd w:val="clear" w:color="auto" w:fill="auto"/>
                <w:vertAlign w:val="subscript"/>
                <w:lang w:eastAsia="zh-CN"/>
              </w:rPr>
              <w:t>3</w:t>
            </w:r>
            <w:r>
              <w:rPr>
                <w:rFonts w:hint="eastAsia" w:cs="Times New Roman"/>
                <w:color w:val="auto"/>
                <w:sz w:val="21"/>
                <w:szCs w:val="21"/>
                <w:shd w:val="clear" w:color="auto" w:fill="auto"/>
                <w:vertAlign w:val="baseline"/>
                <w:lang w:eastAsia="zh-CN"/>
              </w:rPr>
              <w:t>-N、总磷</w:t>
            </w:r>
          </w:p>
        </w:tc>
        <w:tc>
          <w:tcPr>
            <w:tcW w:w="2238" w:type="dxa"/>
            <w:tcBorders>
              <w:tl2br w:val="nil"/>
              <w:tr2bl w:val="nil"/>
            </w:tcBorders>
            <w:vAlign w:val="center"/>
          </w:tcPr>
          <w:p w14:paraId="773C2900">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排入化粪池，定期清掏，</w:t>
            </w:r>
            <w:r>
              <w:rPr>
                <w:rFonts w:hint="eastAsia" w:cs="Times New Roman"/>
                <w:color w:val="auto"/>
                <w:kern w:val="24"/>
                <w:sz w:val="21"/>
                <w:szCs w:val="21"/>
                <w:highlight w:val="none"/>
                <w:lang w:val="en-US" w:eastAsia="zh-CN"/>
              </w:rPr>
              <w:t>用作农肥</w:t>
            </w:r>
          </w:p>
        </w:tc>
        <w:tc>
          <w:tcPr>
            <w:tcW w:w="1757" w:type="dxa"/>
            <w:tcBorders>
              <w:tl2br w:val="nil"/>
              <w:tr2bl w:val="nil"/>
            </w:tcBorders>
            <w:vAlign w:val="center"/>
          </w:tcPr>
          <w:p w14:paraId="79551843">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lang w:eastAsia="zh-CN"/>
              </w:rPr>
              <w:t>——</w:t>
            </w:r>
          </w:p>
        </w:tc>
      </w:tr>
      <w:tr w14:paraId="7B131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778" w:type="dxa"/>
            <w:vMerge w:val="restart"/>
            <w:tcBorders>
              <w:tl2br w:val="nil"/>
              <w:tr2bl w:val="nil"/>
            </w:tcBorders>
            <w:vAlign w:val="center"/>
          </w:tcPr>
          <w:p w14:paraId="03F2C53F">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声环境</w:t>
            </w:r>
          </w:p>
        </w:tc>
        <w:tc>
          <w:tcPr>
            <w:tcW w:w="1700" w:type="dxa"/>
            <w:gridSpan w:val="2"/>
            <w:tcBorders>
              <w:tl2br w:val="nil"/>
              <w:tr2bl w:val="nil"/>
            </w:tcBorders>
            <w:vAlign w:val="center"/>
          </w:tcPr>
          <w:p w14:paraId="64E820EA">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lang w:eastAsia="zh-CN"/>
              </w:rPr>
              <w:t>生产设备</w:t>
            </w:r>
          </w:p>
        </w:tc>
        <w:tc>
          <w:tcPr>
            <w:tcW w:w="1328" w:type="dxa"/>
            <w:tcBorders>
              <w:tl2br w:val="nil"/>
              <w:tr2bl w:val="nil"/>
            </w:tcBorders>
            <w:vAlign w:val="center"/>
          </w:tcPr>
          <w:p w14:paraId="2473209C">
            <w:pPr>
              <w:keepNext w:val="0"/>
              <w:keepLines w:val="0"/>
              <w:pageBreakBefore w:val="0"/>
              <w:kinsoku/>
              <w:wordWrap/>
              <w:overflowPunct/>
              <w:topLinePunct w:val="0"/>
              <w:bidi w:val="0"/>
              <w:snapToGrid/>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shd w:val="clear" w:color="auto" w:fill="auto"/>
                <w:lang w:val="en-US" w:eastAsia="zh-CN" w:bidi="zh-CN"/>
              </w:rPr>
            </w:pPr>
            <w:r>
              <w:rPr>
                <w:rFonts w:hint="default" w:ascii="Times New Roman" w:hAnsi="Times New Roman" w:eastAsia="宋体" w:cs="Times New Roman"/>
                <w:color w:val="auto"/>
                <w:sz w:val="21"/>
                <w:szCs w:val="21"/>
                <w:shd w:val="clear" w:color="auto" w:fill="auto"/>
              </w:rPr>
              <w:t>噪声</w:t>
            </w:r>
          </w:p>
        </w:tc>
        <w:tc>
          <w:tcPr>
            <w:tcW w:w="2238" w:type="dxa"/>
            <w:tcBorders>
              <w:tl2br w:val="nil"/>
              <w:tr2bl w:val="nil"/>
            </w:tcBorders>
            <w:vAlign w:val="center"/>
          </w:tcPr>
          <w:p w14:paraId="6B7BF771">
            <w:pPr>
              <w:keepNext w:val="0"/>
              <w:keepLines w:val="0"/>
              <w:pageBreakBefore w:val="0"/>
              <w:kinsoku/>
              <w:wordWrap/>
              <w:overflowPunct/>
              <w:topLinePunct w:val="0"/>
              <w:bidi w:val="0"/>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4"/>
                <w:sz w:val="21"/>
                <w:szCs w:val="21"/>
                <w:shd w:val="clear" w:color="auto" w:fill="auto"/>
                <w:lang w:val="zh-CN" w:eastAsia="zh-CN" w:bidi="zh-CN"/>
              </w:rPr>
            </w:pPr>
            <w:r>
              <w:rPr>
                <w:rFonts w:hint="default" w:ascii="Times New Roman" w:hAnsi="Times New Roman" w:eastAsia="宋体" w:cs="Times New Roman"/>
                <w:color w:val="auto"/>
                <w:sz w:val="21"/>
                <w:szCs w:val="21"/>
                <w:shd w:val="clear" w:color="auto" w:fill="auto"/>
                <w:lang w:eastAsia="zh-CN"/>
              </w:rPr>
              <w:t>选用低噪声设备，</w:t>
            </w:r>
            <w:r>
              <w:rPr>
                <w:rFonts w:hint="default" w:ascii="Times New Roman" w:hAnsi="Times New Roman" w:eastAsia="宋体" w:cs="Times New Roman"/>
                <w:color w:val="auto"/>
                <w:sz w:val="21"/>
                <w:szCs w:val="21"/>
                <w:shd w:val="clear" w:color="auto" w:fill="auto"/>
              </w:rPr>
              <w:t>设备基础减振</w:t>
            </w:r>
            <w:r>
              <w:rPr>
                <w:rFonts w:hint="default" w:ascii="Times New Roman" w:hAnsi="Times New Roman" w:eastAsia="宋体" w:cs="Times New Roman"/>
                <w:color w:val="auto"/>
                <w:sz w:val="21"/>
                <w:szCs w:val="21"/>
                <w:shd w:val="clear" w:color="auto" w:fill="auto"/>
                <w:lang w:eastAsia="zh-CN"/>
              </w:rPr>
              <w:t>，</w:t>
            </w:r>
            <w:r>
              <w:rPr>
                <w:rFonts w:hint="default" w:ascii="Times New Roman" w:hAnsi="Times New Roman" w:eastAsia="宋体" w:cs="Times New Roman"/>
                <w:color w:val="auto"/>
                <w:spacing w:val="10"/>
                <w:sz w:val="21"/>
                <w:szCs w:val="21"/>
                <w:shd w:val="clear" w:color="auto" w:fill="auto"/>
                <w:lang w:eastAsia="zh-CN"/>
              </w:rPr>
              <w:t>厂房封闭</w:t>
            </w:r>
            <w:r>
              <w:rPr>
                <w:rFonts w:hint="default" w:ascii="Times New Roman" w:hAnsi="Times New Roman" w:eastAsia="宋体" w:cs="Times New Roman"/>
                <w:color w:val="auto"/>
                <w:spacing w:val="10"/>
                <w:sz w:val="21"/>
                <w:szCs w:val="21"/>
                <w:shd w:val="clear" w:color="auto" w:fill="auto"/>
              </w:rPr>
              <w:t>隔音</w:t>
            </w:r>
            <w:r>
              <w:rPr>
                <w:rFonts w:hint="default" w:ascii="Times New Roman" w:hAnsi="Times New Roman" w:eastAsia="宋体" w:cs="Times New Roman"/>
                <w:color w:val="auto"/>
                <w:spacing w:val="10"/>
                <w:sz w:val="21"/>
                <w:szCs w:val="21"/>
                <w:shd w:val="clear" w:color="auto" w:fill="auto"/>
                <w:lang w:eastAsia="zh-CN"/>
              </w:rPr>
              <w:t>；加强管理；</w:t>
            </w:r>
            <w:r>
              <w:rPr>
                <w:rFonts w:hint="default" w:ascii="Times New Roman" w:hAnsi="Times New Roman" w:eastAsia="宋体" w:cs="Times New Roman"/>
                <w:color w:val="auto"/>
                <w:sz w:val="21"/>
                <w:szCs w:val="21"/>
                <w:shd w:val="clear" w:color="auto" w:fill="auto"/>
              </w:rPr>
              <w:t>运输车辆减速、禁鸣等措施</w:t>
            </w:r>
            <w:r>
              <w:rPr>
                <w:rFonts w:hint="default" w:ascii="Times New Roman" w:hAnsi="Times New Roman" w:eastAsia="宋体" w:cs="Times New Roman"/>
                <w:color w:val="auto"/>
                <w:sz w:val="21"/>
                <w:szCs w:val="21"/>
                <w:shd w:val="clear" w:color="auto" w:fill="auto"/>
                <w:lang w:eastAsia="zh-CN"/>
              </w:rPr>
              <w:t>。</w:t>
            </w:r>
          </w:p>
        </w:tc>
        <w:tc>
          <w:tcPr>
            <w:tcW w:w="1757" w:type="dxa"/>
            <w:vMerge w:val="restart"/>
            <w:tcBorders>
              <w:tl2br w:val="nil"/>
              <w:tr2bl w:val="nil"/>
            </w:tcBorders>
            <w:vAlign w:val="center"/>
          </w:tcPr>
          <w:p w14:paraId="46444C88">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pacing w:val="0"/>
                <w:w w:val="100"/>
                <w:sz w:val="21"/>
                <w:szCs w:val="21"/>
                <w:shd w:val="clear" w:color="auto" w:fill="auto"/>
                <w:lang w:eastAsia="zh-CN"/>
              </w:rPr>
              <w:t>运营期厂界噪声执行</w:t>
            </w:r>
            <w:r>
              <w:rPr>
                <w:rFonts w:hint="default" w:ascii="Times New Roman" w:hAnsi="Times New Roman" w:eastAsia="宋体" w:cs="Times New Roman"/>
                <w:color w:val="auto"/>
                <w:spacing w:val="0"/>
                <w:w w:val="100"/>
                <w:sz w:val="21"/>
                <w:szCs w:val="21"/>
                <w:shd w:val="clear" w:color="auto" w:fill="auto"/>
              </w:rPr>
              <w:t>《工业企业厂界环境噪声排</w:t>
            </w:r>
            <w:r>
              <w:rPr>
                <w:rFonts w:hint="eastAsia" w:ascii="Times New Roman" w:hAnsi="Times New Roman" w:cs="Times New Roman"/>
                <w:color w:val="auto"/>
                <w:spacing w:val="0"/>
                <w:w w:val="100"/>
                <w:sz w:val="21"/>
                <w:szCs w:val="21"/>
                <w:shd w:val="clear" w:color="auto" w:fill="auto"/>
                <w:lang w:eastAsia="zh-CN"/>
              </w:rPr>
              <w:t>放标</w:t>
            </w:r>
            <w:r>
              <w:rPr>
                <w:rFonts w:hint="default" w:ascii="Times New Roman" w:hAnsi="Times New Roman" w:eastAsia="宋体" w:cs="Times New Roman"/>
                <w:color w:val="auto"/>
                <w:spacing w:val="0"/>
                <w:w w:val="100"/>
                <w:sz w:val="21"/>
                <w:szCs w:val="21"/>
                <w:shd w:val="clear" w:color="auto" w:fill="auto"/>
              </w:rPr>
              <w:t>准》（GB12348-2008）</w:t>
            </w:r>
            <w:r>
              <w:rPr>
                <w:rFonts w:hint="eastAsia" w:ascii="Times New Roman" w:hAnsi="Times New Roman" w:cs="Times New Roman"/>
                <w:color w:val="auto"/>
                <w:spacing w:val="0"/>
                <w:w w:val="100"/>
                <w:sz w:val="21"/>
                <w:szCs w:val="21"/>
                <w:shd w:val="clear" w:color="auto" w:fill="auto"/>
                <w:lang w:eastAsia="zh-CN"/>
              </w:rPr>
              <w:t>厂界四周</w:t>
            </w:r>
            <w:r>
              <w:rPr>
                <w:rFonts w:hint="default" w:ascii="Times New Roman" w:hAnsi="Times New Roman" w:eastAsia="宋体" w:cs="Times New Roman"/>
                <w:color w:val="auto"/>
                <w:spacing w:val="0"/>
                <w:w w:val="100"/>
                <w:sz w:val="21"/>
                <w:szCs w:val="21"/>
                <w:shd w:val="clear" w:color="auto" w:fill="auto"/>
              </w:rPr>
              <w:t>执行</w:t>
            </w:r>
            <w:r>
              <w:rPr>
                <w:rFonts w:hint="eastAsia" w:ascii="Times New Roman" w:hAnsi="Times New Roman" w:cs="Times New Roman"/>
                <w:color w:val="auto"/>
                <w:spacing w:val="0"/>
                <w:w w:val="100"/>
                <w:sz w:val="21"/>
                <w:szCs w:val="21"/>
                <w:shd w:val="clear" w:color="auto" w:fill="auto"/>
                <w:lang w:val="en-US" w:eastAsia="zh-CN"/>
              </w:rPr>
              <w:t>3</w:t>
            </w:r>
            <w:r>
              <w:rPr>
                <w:rFonts w:hint="default" w:ascii="Times New Roman" w:hAnsi="Times New Roman" w:eastAsia="宋体" w:cs="Times New Roman"/>
                <w:color w:val="auto"/>
                <w:spacing w:val="0"/>
                <w:w w:val="100"/>
                <w:sz w:val="21"/>
                <w:szCs w:val="21"/>
                <w:shd w:val="clear" w:color="auto" w:fill="auto"/>
              </w:rPr>
              <w:t>类标准：昼间</w:t>
            </w:r>
            <w:r>
              <w:rPr>
                <w:rFonts w:hint="default" w:ascii="Times New Roman" w:hAnsi="Times New Roman" w:eastAsia="宋体" w:cs="Times New Roman"/>
                <w:color w:val="auto"/>
                <w:spacing w:val="0"/>
                <w:w w:val="100"/>
                <w:sz w:val="21"/>
                <w:szCs w:val="21"/>
                <w:shd w:val="clear" w:color="auto" w:fill="auto"/>
                <w:lang w:val="en-US" w:eastAsia="zh-CN"/>
              </w:rPr>
              <w:t>6</w:t>
            </w:r>
            <w:r>
              <w:rPr>
                <w:rFonts w:hint="eastAsia" w:ascii="Times New Roman" w:hAnsi="Times New Roman" w:cs="Times New Roman"/>
                <w:color w:val="auto"/>
                <w:spacing w:val="0"/>
                <w:w w:val="100"/>
                <w:sz w:val="21"/>
                <w:szCs w:val="21"/>
                <w:shd w:val="clear" w:color="auto" w:fill="auto"/>
                <w:lang w:val="en-US" w:eastAsia="zh-CN"/>
              </w:rPr>
              <w:t>5</w:t>
            </w:r>
            <w:r>
              <w:rPr>
                <w:rFonts w:hint="default" w:ascii="Times New Roman" w:hAnsi="Times New Roman" w:eastAsia="宋体" w:cs="Times New Roman"/>
                <w:color w:val="auto"/>
                <w:spacing w:val="0"/>
                <w:w w:val="100"/>
                <w:sz w:val="21"/>
                <w:szCs w:val="21"/>
                <w:shd w:val="clear" w:color="auto" w:fill="auto"/>
              </w:rPr>
              <w:t>dB（A）、夜间</w:t>
            </w:r>
            <w:r>
              <w:rPr>
                <w:rFonts w:hint="default" w:ascii="Times New Roman" w:hAnsi="Times New Roman" w:eastAsia="宋体" w:cs="Times New Roman"/>
                <w:color w:val="auto"/>
                <w:spacing w:val="0"/>
                <w:w w:val="100"/>
                <w:sz w:val="21"/>
                <w:szCs w:val="21"/>
                <w:shd w:val="clear" w:color="auto" w:fill="auto"/>
                <w:lang w:val="en-US" w:eastAsia="zh-CN"/>
              </w:rPr>
              <w:t>5</w:t>
            </w:r>
            <w:r>
              <w:rPr>
                <w:rFonts w:hint="eastAsia" w:ascii="Times New Roman" w:hAnsi="Times New Roman" w:cs="Times New Roman"/>
                <w:color w:val="auto"/>
                <w:spacing w:val="0"/>
                <w:w w:val="100"/>
                <w:sz w:val="21"/>
                <w:szCs w:val="21"/>
                <w:shd w:val="clear" w:color="auto" w:fill="auto"/>
                <w:lang w:val="en-US" w:eastAsia="zh-CN"/>
              </w:rPr>
              <w:t>5</w:t>
            </w:r>
            <w:r>
              <w:rPr>
                <w:rFonts w:hint="default" w:ascii="Times New Roman" w:hAnsi="Times New Roman" w:eastAsia="宋体" w:cs="Times New Roman"/>
                <w:color w:val="auto"/>
                <w:spacing w:val="0"/>
                <w:w w:val="100"/>
                <w:sz w:val="21"/>
                <w:szCs w:val="21"/>
                <w:shd w:val="clear" w:color="auto" w:fill="auto"/>
              </w:rPr>
              <w:t>dB（A）</w:t>
            </w:r>
          </w:p>
        </w:tc>
      </w:tr>
      <w:tr w14:paraId="03E0E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1778" w:type="dxa"/>
            <w:vMerge w:val="continue"/>
            <w:tcBorders>
              <w:tl2br w:val="nil"/>
              <w:tr2bl w:val="nil"/>
            </w:tcBorders>
            <w:vAlign w:val="center"/>
          </w:tcPr>
          <w:p w14:paraId="4E531325">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1700" w:type="dxa"/>
            <w:gridSpan w:val="2"/>
            <w:tcBorders>
              <w:tl2br w:val="nil"/>
              <w:tr2bl w:val="nil"/>
            </w:tcBorders>
            <w:vAlign w:val="center"/>
          </w:tcPr>
          <w:p w14:paraId="1ED5EAE4">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车辆运输</w:t>
            </w:r>
          </w:p>
        </w:tc>
        <w:tc>
          <w:tcPr>
            <w:tcW w:w="1328" w:type="dxa"/>
            <w:tcBorders>
              <w:tl2br w:val="nil"/>
              <w:tr2bl w:val="nil"/>
            </w:tcBorders>
            <w:vAlign w:val="center"/>
          </w:tcPr>
          <w:p w14:paraId="0ABBF70B">
            <w:pPr>
              <w:keepNext w:val="0"/>
              <w:keepLines w:val="0"/>
              <w:pageBreakBefore w:val="0"/>
              <w:widowControl/>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rPr>
              <w:t>噪声</w:t>
            </w:r>
          </w:p>
        </w:tc>
        <w:tc>
          <w:tcPr>
            <w:tcW w:w="2238" w:type="dxa"/>
            <w:tcBorders>
              <w:tl2br w:val="nil"/>
              <w:tr2bl w:val="nil"/>
            </w:tcBorders>
            <w:vAlign w:val="center"/>
          </w:tcPr>
          <w:p w14:paraId="62C09325">
            <w:pPr>
              <w:keepNext w:val="0"/>
              <w:keepLines w:val="0"/>
              <w:pageBreakBefore w:val="0"/>
              <w:kinsoku/>
              <w:wordWrap/>
              <w:overflowPunct/>
              <w:topLinePunct w:val="0"/>
              <w:bidi w:val="0"/>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4"/>
                <w:sz w:val="21"/>
                <w:szCs w:val="21"/>
                <w:lang w:val="zh-CN" w:eastAsia="zh-CN" w:bidi="zh-CN"/>
              </w:rPr>
            </w:pPr>
            <w:r>
              <w:rPr>
                <w:rFonts w:hint="default" w:ascii="Times New Roman" w:hAnsi="Times New Roman" w:eastAsia="宋体" w:cs="Times New Roman"/>
                <w:color w:val="auto"/>
                <w:sz w:val="21"/>
                <w:szCs w:val="21"/>
                <w:lang w:eastAsia="zh-CN"/>
              </w:rPr>
              <w:t>合理安排时间，</w:t>
            </w:r>
            <w:r>
              <w:rPr>
                <w:rFonts w:hint="default" w:ascii="Times New Roman" w:hAnsi="Times New Roman" w:eastAsia="宋体" w:cs="Times New Roman"/>
                <w:color w:val="auto"/>
                <w:sz w:val="21"/>
                <w:szCs w:val="21"/>
              </w:rPr>
              <w:t>加强管理，运输车辆减速、禁鸣等措施</w:t>
            </w:r>
            <w:r>
              <w:rPr>
                <w:rFonts w:hint="default" w:ascii="Times New Roman" w:hAnsi="Times New Roman" w:eastAsia="宋体" w:cs="Times New Roman"/>
                <w:color w:val="auto"/>
                <w:sz w:val="21"/>
                <w:szCs w:val="21"/>
                <w:lang w:eastAsia="zh-CN"/>
              </w:rPr>
              <w:t>。</w:t>
            </w:r>
          </w:p>
        </w:tc>
        <w:tc>
          <w:tcPr>
            <w:tcW w:w="1757" w:type="dxa"/>
            <w:vMerge w:val="continue"/>
            <w:tcBorders>
              <w:tl2br w:val="nil"/>
              <w:tr2bl w:val="nil"/>
            </w:tcBorders>
            <w:vAlign w:val="center"/>
          </w:tcPr>
          <w:p w14:paraId="0684082D">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r>
      <w:tr w14:paraId="48C81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778" w:type="dxa"/>
            <w:vMerge w:val="restart"/>
            <w:tcBorders>
              <w:tl2br w:val="nil"/>
              <w:tr2bl w:val="nil"/>
            </w:tcBorders>
            <w:vAlign w:val="center"/>
          </w:tcPr>
          <w:p w14:paraId="0738B60E">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固体废物</w:t>
            </w:r>
          </w:p>
        </w:tc>
        <w:tc>
          <w:tcPr>
            <w:tcW w:w="877" w:type="dxa"/>
            <w:vMerge w:val="restart"/>
            <w:tcBorders>
              <w:tl2br w:val="nil"/>
              <w:tr2bl w:val="nil"/>
            </w:tcBorders>
            <w:vAlign w:val="center"/>
          </w:tcPr>
          <w:p w14:paraId="1C8047F9">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一般固体废物</w:t>
            </w:r>
          </w:p>
        </w:tc>
        <w:tc>
          <w:tcPr>
            <w:tcW w:w="823" w:type="dxa"/>
            <w:tcBorders>
              <w:tl2br w:val="nil"/>
              <w:tr2bl w:val="nil"/>
            </w:tcBorders>
            <w:vAlign w:val="center"/>
          </w:tcPr>
          <w:p w14:paraId="7EEA7A90">
            <w:pPr>
              <w:spacing w:line="240" w:lineRule="auto"/>
              <w:ind w:left="0" w:leftChars="0" w:right="0" w:rightChars="0"/>
              <w:jc w:val="center"/>
              <w:rPr>
                <w:rFonts w:hint="default" w:ascii="Times New Roman" w:hAnsi="Times New Roman" w:eastAsia="宋体" w:cs="Times New Roman"/>
                <w:color w:val="auto"/>
                <w:kern w:val="24"/>
                <w:sz w:val="21"/>
                <w:szCs w:val="21"/>
                <w:lang w:eastAsia="zh-CN"/>
              </w:rPr>
            </w:pPr>
            <w:r>
              <w:rPr>
                <w:rFonts w:hint="default" w:ascii="Times New Roman" w:hAnsi="Times New Roman" w:eastAsia="宋体" w:cs="Times New Roman"/>
                <w:color w:val="auto"/>
                <w:sz w:val="21"/>
                <w:szCs w:val="21"/>
                <w:vertAlign w:val="baseline"/>
                <w:lang w:eastAsia="zh-CN"/>
              </w:rPr>
              <w:t>除尘器</w:t>
            </w:r>
          </w:p>
        </w:tc>
        <w:tc>
          <w:tcPr>
            <w:tcW w:w="1328" w:type="dxa"/>
            <w:tcBorders>
              <w:tl2br w:val="nil"/>
              <w:tr2bl w:val="nil"/>
            </w:tcBorders>
            <w:vAlign w:val="center"/>
          </w:tcPr>
          <w:p w14:paraId="5A142F36">
            <w:pPr>
              <w:spacing w:line="240" w:lineRule="auto"/>
              <w:ind w:left="0" w:leftChars="0" w:right="0" w:right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vertAlign w:val="baseline"/>
                <w:lang w:eastAsia="zh-CN"/>
              </w:rPr>
              <w:t>除尘灰</w:t>
            </w:r>
          </w:p>
        </w:tc>
        <w:tc>
          <w:tcPr>
            <w:tcW w:w="2238" w:type="dxa"/>
            <w:vMerge w:val="restart"/>
            <w:tcBorders>
              <w:tl2br w:val="nil"/>
              <w:tr2bl w:val="nil"/>
            </w:tcBorders>
            <w:vAlign w:val="center"/>
          </w:tcPr>
          <w:p w14:paraId="60613324">
            <w:pPr>
              <w:spacing w:line="240" w:lineRule="auto"/>
              <w:ind w:left="0" w:leftChars="0" w:right="0" w:right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vertAlign w:val="baseline"/>
                <w:lang w:eastAsia="zh-CN"/>
              </w:rPr>
              <w:t>统一收集后</w:t>
            </w:r>
            <w:r>
              <w:rPr>
                <w:rFonts w:hint="eastAsia" w:cs="Times New Roman"/>
                <w:color w:val="auto"/>
                <w:sz w:val="21"/>
                <w:szCs w:val="21"/>
                <w:vertAlign w:val="baseline"/>
                <w:lang w:eastAsia="zh-CN"/>
              </w:rPr>
              <w:t>外售</w:t>
            </w:r>
            <w:r>
              <w:rPr>
                <w:rFonts w:hint="eastAsia" w:ascii="Times New Roman" w:hAnsi="Times New Roman" w:eastAsia="宋体" w:cs="Times New Roman"/>
                <w:color w:val="auto"/>
                <w:sz w:val="21"/>
                <w:szCs w:val="21"/>
                <w:vertAlign w:val="baseline"/>
                <w:lang w:eastAsia="zh-CN"/>
              </w:rPr>
              <w:t>兴隆县怡洋废料加工处理有限公司做原料</w:t>
            </w:r>
          </w:p>
        </w:tc>
        <w:tc>
          <w:tcPr>
            <w:tcW w:w="1757" w:type="dxa"/>
            <w:vMerge w:val="restart"/>
            <w:tcBorders>
              <w:tl2br w:val="nil"/>
              <w:tr2bl w:val="nil"/>
            </w:tcBorders>
            <w:vAlign w:val="center"/>
          </w:tcPr>
          <w:p w14:paraId="5B83B34D">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《一般工业固体废物贮存和填埋污染控制标准》（GB</w:t>
            </w:r>
            <w:r>
              <w:rPr>
                <w:rFonts w:hint="default" w:ascii="Times New Roman" w:hAnsi="Times New Roman" w:eastAsia="宋体" w:cs="Times New Roman"/>
                <w:color w:val="auto"/>
                <w:sz w:val="21"/>
                <w:szCs w:val="21"/>
                <w:lang w:val="en-US" w:eastAsia="zh-CN"/>
              </w:rPr>
              <w:t>18599</w:t>
            </w:r>
            <w:r>
              <w:rPr>
                <w:rFonts w:hint="default" w:ascii="Times New Roman" w:hAnsi="Times New Roman" w:eastAsia="宋体" w:cs="Times New Roman"/>
                <w:color w:val="auto"/>
                <w:sz w:val="21"/>
                <w:szCs w:val="21"/>
                <w:lang w:eastAsia="zh-CN"/>
              </w:rPr>
              <w:t>-20</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r>
      <w:tr w14:paraId="4E661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778" w:type="dxa"/>
            <w:vMerge w:val="continue"/>
            <w:tcBorders>
              <w:tl2br w:val="nil"/>
              <w:tr2bl w:val="nil"/>
            </w:tcBorders>
            <w:vAlign w:val="center"/>
          </w:tcPr>
          <w:p w14:paraId="63088991">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877" w:type="dxa"/>
            <w:vMerge w:val="continue"/>
            <w:tcBorders>
              <w:tl2br w:val="nil"/>
              <w:tr2bl w:val="nil"/>
            </w:tcBorders>
            <w:vAlign w:val="center"/>
          </w:tcPr>
          <w:p w14:paraId="10625102">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lang w:eastAsia="zh-CN"/>
              </w:rPr>
            </w:pPr>
          </w:p>
        </w:tc>
        <w:tc>
          <w:tcPr>
            <w:tcW w:w="823" w:type="dxa"/>
            <w:tcBorders>
              <w:tl2br w:val="nil"/>
              <w:tr2bl w:val="nil"/>
            </w:tcBorders>
            <w:vAlign w:val="center"/>
          </w:tcPr>
          <w:p w14:paraId="72BBF79B">
            <w:pPr>
              <w:spacing w:line="240" w:lineRule="auto"/>
              <w:ind w:left="0" w:leftChars="0" w:right="0" w:rightChars="0"/>
              <w:jc w:val="center"/>
              <w:rPr>
                <w:rFonts w:hint="default"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沉淀池</w:t>
            </w:r>
          </w:p>
        </w:tc>
        <w:tc>
          <w:tcPr>
            <w:tcW w:w="1328" w:type="dxa"/>
            <w:tcBorders>
              <w:tl2br w:val="nil"/>
              <w:tr2bl w:val="nil"/>
            </w:tcBorders>
            <w:vAlign w:val="center"/>
          </w:tcPr>
          <w:p w14:paraId="5FDB11B3">
            <w:pPr>
              <w:spacing w:line="240" w:lineRule="auto"/>
              <w:ind w:left="0" w:leftChars="0" w:right="0" w:rightChars="0"/>
              <w:jc w:val="center"/>
              <w:rPr>
                <w:rFonts w:hint="default" w:ascii="Times New Roman" w:hAnsi="Times New Roman" w:eastAsia="宋体" w:cs="Times New Roman"/>
                <w:color w:val="auto"/>
                <w:sz w:val="21"/>
                <w:szCs w:val="21"/>
                <w:vertAlign w:val="baseline"/>
                <w:lang w:eastAsia="zh-CN"/>
              </w:rPr>
            </w:pPr>
            <w:r>
              <w:rPr>
                <w:rFonts w:hint="eastAsia" w:cs="Times New Roman"/>
                <w:color w:val="auto"/>
                <w:sz w:val="21"/>
                <w:szCs w:val="21"/>
                <w:vertAlign w:val="baseline"/>
                <w:lang w:eastAsia="zh-CN"/>
              </w:rPr>
              <w:t>底砂</w:t>
            </w:r>
          </w:p>
        </w:tc>
        <w:tc>
          <w:tcPr>
            <w:tcW w:w="2238" w:type="dxa"/>
            <w:vMerge w:val="continue"/>
            <w:tcBorders>
              <w:tl2br w:val="nil"/>
              <w:tr2bl w:val="nil"/>
            </w:tcBorders>
            <w:vAlign w:val="center"/>
          </w:tcPr>
          <w:p w14:paraId="2B55D067">
            <w:pPr>
              <w:spacing w:line="240" w:lineRule="auto"/>
              <w:ind w:left="0" w:leftChars="0" w:right="0" w:rightChars="0"/>
              <w:jc w:val="center"/>
              <w:rPr>
                <w:rFonts w:hint="eastAsia" w:ascii="Times New Roman" w:hAnsi="Times New Roman" w:eastAsia="宋体" w:cs="Times New Roman"/>
                <w:color w:val="auto"/>
                <w:sz w:val="21"/>
                <w:szCs w:val="21"/>
                <w:vertAlign w:val="baseline"/>
                <w:lang w:eastAsia="zh-CN"/>
              </w:rPr>
            </w:pPr>
          </w:p>
        </w:tc>
        <w:tc>
          <w:tcPr>
            <w:tcW w:w="1757" w:type="dxa"/>
            <w:vMerge w:val="continue"/>
            <w:tcBorders>
              <w:tl2br w:val="nil"/>
              <w:tr2bl w:val="nil"/>
            </w:tcBorders>
            <w:vAlign w:val="center"/>
          </w:tcPr>
          <w:p w14:paraId="1BA28725">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lang w:eastAsia="zh-CN"/>
              </w:rPr>
            </w:pPr>
          </w:p>
        </w:tc>
      </w:tr>
      <w:tr w14:paraId="47304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778" w:type="dxa"/>
            <w:vMerge w:val="continue"/>
            <w:tcBorders>
              <w:tl2br w:val="nil"/>
              <w:tr2bl w:val="nil"/>
            </w:tcBorders>
            <w:vAlign w:val="center"/>
          </w:tcPr>
          <w:p w14:paraId="15788C19">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877" w:type="dxa"/>
            <w:vMerge w:val="continue"/>
            <w:tcBorders>
              <w:tl2br w:val="nil"/>
              <w:tr2bl w:val="nil"/>
            </w:tcBorders>
            <w:vAlign w:val="center"/>
          </w:tcPr>
          <w:p w14:paraId="481BA3F4">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823" w:type="dxa"/>
            <w:tcBorders>
              <w:tl2br w:val="nil"/>
              <w:tr2bl w:val="nil"/>
            </w:tcBorders>
            <w:vAlign w:val="center"/>
          </w:tcPr>
          <w:p w14:paraId="0C4CEECA">
            <w:pPr>
              <w:keepNext w:val="0"/>
              <w:keepLines w:val="0"/>
              <w:pageBreakBefore w:val="0"/>
              <w:widowControl w:val="0"/>
              <w:kinsoku/>
              <w:wordWrap/>
              <w:overflowPunct/>
              <w:topLinePunct w:val="0"/>
              <w:autoSpaceDE w:val="0"/>
              <w:autoSpaceDN w:val="0"/>
              <w:bidi w:val="0"/>
              <w:adjustRightInd w:val="0"/>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4"/>
                <w:sz w:val="21"/>
                <w:szCs w:val="21"/>
              </w:rPr>
              <w:t>职工生活</w:t>
            </w:r>
          </w:p>
        </w:tc>
        <w:tc>
          <w:tcPr>
            <w:tcW w:w="1328" w:type="dxa"/>
            <w:tcBorders>
              <w:tl2br w:val="nil"/>
              <w:tr2bl w:val="nil"/>
            </w:tcBorders>
            <w:vAlign w:val="center"/>
          </w:tcPr>
          <w:p w14:paraId="101D5F85">
            <w:pPr>
              <w:keepNext w:val="0"/>
              <w:keepLines w:val="0"/>
              <w:pageBreakBefore w:val="0"/>
              <w:widowControl w:val="0"/>
              <w:kinsoku/>
              <w:wordWrap/>
              <w:overflowPunct/>
              <w:topLinePunct w:val="0"/>
              <w:autoSpaceDE w:val="0"/>
              <w:autoSpaceDN w:val="0"/>
              <w:bidi w:val="0"/>
              <w:adjustRightInd w:val="0"/>
              <w:spacing w:line="240" w:lineRule="exact"/>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4"/>
                <w:sz w:val="21"/>
                <w:szCs w:val="21"/>
              </w:rPr>
              <w:t>生活垃圾</w:t>
            </w:r>
          </w:p>
        </w:tc>
        <w:tc>
          <w:tcPr>
            <w:tcW w:w="2238" w:type="dxa"/>
            <w:tcBorders>
              <w:tl2br w:val="nil"/>
              <w:tr2bl w:val="nil"/>
            </w:tcBorders>
            <w:vAlign w:val="center"/>
          </w:tcPr>
          <w:p w14:paraId="4CDBF8F1">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4"/>
                <w:sz w:val="21"/>
                <w:szCs w:val="21"/>
              </w:rPr>
              <w:t>袋装化，集中</w:t>
            </w:r>
            <w:r>
              <w:rPr>
                <w:rFonts w:hint="default" w:ascii="Times New Roman" w:hAnsi="Times New Roman" w:eastAsia="宋体" w:cs="Times New Roman"/>
                <w:color w:val="auto"/>
                <w:sz w:val="21"/>
                <w:szCs w:val="21"/>
                <w:vertAlign w:val="baseline"/>
                <w:lang w:eastAsia="zh-CN"/>
              </w:rPr>
              <w:t>收集后由环卫部门处理</w:t>
            </w:r>
          </w:p>
        </w:tc>
        <w:tc>
          <w:tcPr>
            <w:tcW w:w="1757" w:type="dxa"/>
            <w:vMerge w:val="continue"/>
            <w:tcBorders>
              <w:tl2br w:val="nil"/>
              <w:tr2bl w:val="nil"/>
            </w:tcBorders>
            <w:vAlign w:val="center"/>
          </w:tcPr>
          <w:p w14:paraId="28622787">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r>
      <w:tr w14:paraId="591C1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778" w:type="dxa"/>
            <w:vMerge w:val="continue"/>
            <w:tcBorders>
              <w:tl2br w:val="nil"/>
              <w:tr2bl w:val="nil"/>
            </w:tcBorders>
            <w:vAlign w:val="center"/>
          </w:tcPr>
          <w:p w14:paraId="2897A362">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877" w:type="dxa"/>
            <w:vMerge w:val="restart"/>
            <w:tcBorders>
              <w:tl2br w:val="nil"/>
              <w:tr2bl w:val="nil"/>
            </w:tcBorders>
            <w:vAlign w:val="center"/>
          </w:tcPr>
          <w:p w14:paraId="40FC647F">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危险废物</w:t>
            </w:r>
          </w:p>
        </w:tc>
        <w:tc>
          <w:tcPr>
            <w:tcW w:w="823" w:type="dxa"/>
            <w:vMerge w:val="restart"/>
            <w:tcBorders>
              <w:tl2br w:val="nil"/>
              <w:tr2bl w:val="nil"/>
            </w:tcBorders>
            <w:vAlign w:val="center"/>
          </w:tcPr>
          <w:p w14:paraId="153BA843">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lang w:val="zh-CN" w:eastAsia="zh-CN" w:bidi="zh-CN"/>
              </w:rPr>
              <w:t>设备检修</w:t>
            </w:r>
          </w:p>
        </w:tc>
        <w:tc>
          <w:tcPr>
            <w:tcW w:w="1328" w:type="dxa"/>
            <w:tcBorders>
              <w:tl2br w:val="nil"/>
              <w:tr2bl w:val="nil"/>
            </w:tcBorders>
            <w:vAlign w:val="center"/>
          </w:tcPr>
          <w:p w14:paraId="15C0CFD9">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zh-CN" w:eastAsia="zh-CN" w:bidi="zh-CN"/>
              </w:rPr>
            </w:pPr>
            <w:r>
              <w:rPr>
                <w:rFonts w:hint="eastAsia" w:cs="Times New Roman"/>
                <w:b w:val="0"/>
                <w:bCs w:val="0"/>
                <w:color w:val="auto"/>
                <w:sz w:val="21"/>
                <w:szCs w:val="21"/>
                <w:lang w:eastAsia="zh-CN"/>
              </w:rPr>
              <w:t>废润滑油</w:t>
            </w:r>
          </w:p>
        </w:tc>
        <w:tc>
          <w:tcPr>
            <w:tcW w:w="2238" w:type="dxa"/>
            <w:vMerge w:val="restart"/>
            <w:tcBorders>
              <w:tl2br w:val="nil"/>
              <w:tr2bl w:val="nil"/>
            </w:tcBorders>
            <w:vAlign w:val="center"/>
          </w:tcPr>
          <w:p w14:paraId="0D234754">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暂存于危险废物贮存间，委托有资质的单位处置。</w:t>
            </w:r>
          </w:p>
        </w:tc>
        <w:tc>
          <w:tcPr>
            <w:tcW w:w="1757" w:type="dxa"/>
            <w:vMerge w:val="restart"/>
            <w:tcBorders>
              <w:tl2br w:val="nil"/>
              <w:tr2bl w:val="nil"/>
            </w:tcBorders>
            <w:vAlign w:val="center"/>
          </w:tcPr>
          <w:p w14:paraId="77712929">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《危险废物贮存污染控制标准》（GB18597-2023）</w:t>
            </w:r>
          </w:p>
        </w:tc>
      </w:tr>
      <w:tr w14:paraId="2580B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 w:hRule="atLeast"/>
        </w:trPr>
        <w:tc>
          <w:tcPr>
            <w:tcW w:w="1778" w:type="dxa"/>
            <w:vMerge w:val="continue"/>
            <w:tcBorders>
              <w:tl2br w:val="nil"/>
              <w:tr2bl w:val="nil"/>
            </w:tcBorders>
            <w:vAlign w:val="center"/>
          </w:tcPr>
          <w:p w14:paraId="12D30E39">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877" w:type="dxa"/>
            <w:vMerge w:val="continue"/>
            <w:tcBorders>
              <w:tl2br w:val="nil"/>
              <w:tr2bl w:val="nil"/>
            </w:tcBorders>
            <w:vAlign w:val="center"/>
          </w:tcPr>
          <w:p w14:paraId="4DFDE22E">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lang w:eastAsia="zh-CN"/>
              </w:rPr>
            </w:pPr>
          </w:p>
        </w:tc>
        <w:tc>
          <w:tcPr>
            <w:tcW w:w="823" w:type="dxa"/>
            <w:vMerge w:val="continue"/>
            <w:tcBorders>
              <w:tl2br w:val="nil"/>
              <w:tr2bl w:val="nil"/>
            </w:tcBorders>
            <w:vAlign w:val="center"/>
          </w:tcPr>
          <w:p w14:paraId="14FFD797">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zh-CN" w:eastAsia="zh-CN" w:bidi="zh-CN"/>
              </w:rPr>
            </w:pPr>
          </w:p>
        </w:tc>
        <w:tc>
          <w:tcPr>
            <w:tcW w:w="1328" w:type="dxa"/>
            <w:tcBorders>
              <w:tl2br w:val="nil"/>
              <w:tr2bl w:val="nil"/>
            </w:tcBorders>
            <w:vAlign w:val="center"/>
          </w:tcPr>
          <w:p w14:paraId="37600EAA">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rPr>
              <w:t>废油桶</w:t>
            </w:r>
          </w:p>
        </w:tc>
        <w:tc>
          <w:tcPr>
            <w:tcW w:w="2238" w:type="dxa"/>
            <w:vMerge w:val="continue"/>
            <w:tcBorders>
              <w:tl2br w:val="nil"/>
              <w:tr2bl w:val="nil"/>
            </w:tcBorders>
            <w:vAlign w:val="center"/>
          </w:tcPr>
          <w:p w14:paraId="714E49AE">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1757" w:type="dxa"/>
            <w:vMerge w:val="continue"/>
            <w:tcBorders>
              <w:tl2br w:val="nil"/>
              <w:tr2bl w:val="nil"/>
            </w:tcBorders>
            <w:vAlign w:val="center"/>
          </w:tcPr>
          <w:p w14:paraId="1BBDE85C">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r>
      <w:tr w14:paraId="56E69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778" w:type="dxa"/>
            <w:vMerge w:val="continue"/>
            <w:tcBorders>
              <w:tl2br w:val="nil"/>
              <w:tr2bl w:val="nil"/>
            </w:tcBorders>
            <w:vAlign w:val="center"/>
          </w:tcPr>
          <w:p w14:paraId="5A4DE8A6">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p w14:paraId="69EFA8AC">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p>
        </w:tc>
        <w:tc>
          <w:tcPr>
            <w:tcW w:w="877" w:type="dxa"/>
            <w:vMerge w:val="continue"/>
            <w:tcBorders>
              <w:tl2br w:val="nil"/>
              <w:tr2bl w:val="nil"/>
            </w:tcBorders>
            <w:vAlign w:val="center"/>
          </w:tcPr>
          <w:p w14:paraId="021DD550">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823" w:type="dxa"/>
            <w:vMerge w:val="continue"/>
            <w:tcBorders>
              <w:tl2br w:val="nil"/>
              <w:tr2bl w:val="nil"/>
            </w:tcBorders>
            <w:vAlign w:val="center"/>
          </w:tcPr>
          <w:p w14:paraId="2581D048">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zh-CN" w:eastAsia="zh-CN" w:bidi="zh-CN"/>
              </w:rPr>
            </w:pPr>
          </w:p>
        </w:tc>
        <w:tc>
          <w:tcPr>
            <w:tcW w:w="1328" w:type="dxa"/>
            <w:tcBorders>
              <w:tl2br w:val="nil"/>
              <w:tr2bl w:val="nil"/>
            </w:tcBorders>
            <w:vAlign w:val="center"/>
          </w:tcPr>
          <w:p w14:paraId="49DB1F7F">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lang w:eastAsia="zh-CN"/>
              </w:rPr>
              <w:t>废旧含油抹布及劳保用品</w:t>
            </w:r>
          </w:p>
        </w:tc>
        <w:tc>
          <w:tcPr>
            <w:tcW w:w="2238" w:type="dxa"/>
            <w:vMerge w:val="continue"/>
            <w:tcBorders>
              <w:tl2br w:val="nil"/>
              <w:tr2bl w:val="nil"/>
            </w:tcBorders>
            <w:vAlign w:val="center"/>
          </w:tcPr>
          <w:p w14:paraId="11682F32">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c>
          <w:tcPr>
            <w:tcW w:w="1757" w:type="dxa"/>
            <w:vMerge w:val="continue"/>
            <w:tcBorders>
              <w:tl2br w:val="nil"/>
              <w:tr2bl w:val="nil"/>
            </w:tcBorders>
            <w:vAlign w:val="center"/>
          </w:tcPr>
          <w:p w14:paraId="1EB6AF9A">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r>
      <w:tr w14:paraId="7BD22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1778" w:type="dxa"/>
            <w:tcBorders>
              <w:tl2br w:val="nil"/>
              <w:tr2bl w:val="nil"/>
            </w:tcBorders>
            <w:vAlign w:val="center"/>
          </w:tcPr>
          <w:p w14:paraId="37876A12">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土壤及地下水污染防治措施</w:t>
            </w:r>
          </w:p>
        </w:tc>
        <w:tc>
          <w:tcPr>
            <w:tcW w:w="7023" w:type="dxa"/>
            <w:gridSpan w:val="5"/>
            <w:tcBorders>
              <w:tl2br w:val="nil"/>
              <w:tr2bl w:val="nil"/>
            </w:tcBorders>
            <w:vAlign w:val="center"/>
          </w:tcPr>
          <w:p w14:paraId="4AE484E3">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eastAsia="zh-CN"/>
              </w:rPr>
              <w:t>分区防渗，危废间为重点防渗区，采取相应措施后，等效黏土防渗层Mb≥6.0m，K≤1×10</w:t>
            </w:r>
            <w:r>
              <w:rPr>
                <w:rFonts w:hint="default" w:ascii="Times New Roman" w:hAnsi="Times New Roman" w:eastAsia="宋体" w:cs="Times New Roman"/>
                <w:color w:val="auto"/>
                <w:sz w:val="21"/>
                <w:szCs w:val="21"/>
                <w:vertAlign w:val="superscript"/>
                <w:lang w:eastAsia="zh-CN"/>
              </w:rPr>
              <w:t>-10</w:t>
            </w:r>
            <w:r>
              <w:rPr>
                <w:rFonts w:hint="default" w:ascii="Times New Roman" w:hAnsi="Times New Roman" w:eastAsia="宋体" w:cs="Times New Roman"/>
                <w:color w:val="auto"/>
                <w:sz w:val="21"/>
                <w:szCs w:val="21"/>
                <w:vertAlign w:val="baseline"/>
                <w:lang w:eastAsia="zh-CN"/>
              </w:rPr>
              <w:t>cm/s；封闭式生产车间、封闭式</w:t>
            </w:r>
            <w:r>
              <w:rPr>
                <w:rFonts w:hint="eastAsia" w:cs="Times New Roman"/>
                <w:color w:val="auto"/>
                <w:sz w:val="21"/>
                <w:szCs w:val="21"/>
                <w:vertAlign w:val="baseline"/>
                <w:lang w:eastAsia="zh-CN"/>
              </w:rPr>
              <w:t>原料</w:t>
            </w:r>
            <w:r>
              <w:rPr>
                <w:rFonts w:hint="default" w:ascii="Times New Roman" w:hAnsi="Times New Roman" w:eastAsia="宋体" w:cs="Times New Roman"/>
                <w:color w:val="auto"/>
                <w:sz w:val="21"/>
                <w:szCs w:val="21"/>
                <w:vertAlign w:val="baseline"/>
                <w:lang w:eastAsia="zh-CN"/>
              </w:rPr>
              <w:t>车间</w:t>
            </w:r>
            <w:r>
              <w:rPr>
                <w:rFonts w:hint="eastAsia" w:cs="Times New Roman"/>
                <w:color w:val="auto"/>
                <w:sz w:val="21"/>
                <w:szCs w:val="21"/>
                <w:vertAlign w:val="baseline"/>
                <w:lang w:eastAsia="zh-CN"/>
              </w:rPr>
              <w:t>及封闭式成品车间</w:t>
            </w:r>
            <w:r>
              <w:rPr>
                <w:rFonts w:hint="default" w:ascii="Times New Roman" w:hAnsi="Times New Roman" w:eastAsia="宋体" w:cs="Times New Roman"/>
                <w:color w:val="auto"/>
                <w:sz w:val="21"/>
                <w:szCs w:val="21"/>
                <w:vertAlign w:val="baseline"/>
                <w:lang w:eastAsia="zh-CN"/>
              </w:rPr>
              <w:t>为一般防渗区，等效黏土防渗层Mb≥6.0m，K≤10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vertAlign w:val="baseline"/>
                <w:lang w:eastAsia="zh-CN"/>
              </w:rPr>
              <w:t>cm/s；厂区空地等区域为简单防渗区，进行一般水泥地面硬化。</w:t>
            </w:r>
          </w:p>
        </w:tc>
      </w:tr>
      <w:tr w14:paraId="01F7B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1778" w:type="dxa"/>
            <w:tcBorders>
              <w:tl2br w:val="nil"/>
              <w:tr2bl w:val="nil"/>
            </w:tcBorders>
            <w:vAlign w:val="center"/>
          </w:tcPr>
          <w:p w14:paraId="2D108787">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生态保护措施</w:t>
            </w:r>
          </w:p>
        </w:tc>
        <w:tc>
          <w:tcPr>
            <w:tcW w:w="7023" w:type="dxa"/>
            <w:gridSpan w:val="5"/>
            <w:tcBorders>
              <w:tl2br w:val="nil"/>
              <w:tr2bl w:val="nil"/>
            </w:tcBorders>
            <w:vAlign w:val="center"/>
          </w:tcPr>
          <w:p w14:paraId="4125B166">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p w14:paraId="5544DEA3">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不涉及</w:t>
            </w:r>
          </w:p>
          <w:p w14:paraId="737ED97E">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21"/>
                <w:szCs w:val="21"/>
              </w:rPr>
            </w:pPr>
          </w:p>
        </w:tc>
      </w:tr>
      <w:tr w14:paraId="638A9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1778" w:type="dxa"/>
            <w:tcBorders>
              <w:tl2br w:val="nil"/>
              <w:tr2bl w:val="nil"/>
            </w:tcBorders>
            <w:vAlign w:val="center"/>
          </w:tcPr>
          <w:p w14:paraId="2DA8C8DB">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环境风险防范措施</w:t>
            </w:r>
          </w:p>
        </w:tc>
        <w:tc>
          <w:tcPr>
            <w:tcW w:w="7023" w:type="dxa"/>
            <w:gridSpan w:val="5"/>
            <w:tcBorders>
              <w:tl2br w:val="nil"/>
              <w:tr2bl w:val="nil"/>
            </w:tcBorders>
            <w:vAlign w:val="center"/>
          </w:tcPr>
          <w:p w14:paraId="2DA21469">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①</w:t>
            </w:r>
            <w:r>
              <w:rPr>
                <w:rFonts w:hint="default" w:ascii="Times New Roman" w:hAnsi="Times New Roman" w:eastAsia="宋体" w:cs="Times New Roman"/>
                <w:color w:val="auto"/>
                <w:sz w:val="21"/>
                <w:szCs w:val="21"/>
                <w:lang w:val="en-US" w:eastAsia="zh-CN"/>
              </w:rPr>
              <w:t>废气处理设施有破损时，应当立即停止生产，设备检修完毕后方可进行生产；</w:t>
            </w:r>
          </w:p>
          <w:p w14:paraId="4E798052">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②危险废物暂存间要做好防风、防雨、防晒、</w:t>
            </w:r>
            <w:r>
              <w:rPr>
                <w:rFonts w:hint="eastAsia" w:ascii="Times New Roman" w:hAnsi="Times New Roman" w:cs="Times New Roman"/>
                <w:color w:val="auto"/>
                <w:sz w:val="21"/>
                <w:szCs w:val="21"/>
                <w:lang w:val="en-US" w:eastAsia="zh-CN"/>
              </w:rPr>
              <w:t>防</w:t>
            </w:r>
            <w:r>
              <w:rPr>
                <w:rFonts w:hint="default" w:ascii="Times New Roman" w:hAnsi="Times New Roman" w:eastAsia="宋体" w:cs="Times New Roman"/>
                <w:color w:val="auto"/>
                <w:sz w:val="21"/>
                <w:szCs w:val="21"/>
                <w:lang w:val="en-US" w:eastAsia="zh-CN"/>
              </w:rPr>
              <w:t>渗漏、防腐等措施，防渗系数≤10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lang w:val="en-US" w:eastAsia="zh-CN"/>
              </w:rPr>
              <w:t>cm/s，并建立台账制度；</w:t>
            </w:r>
          </w:p>
          <w:p w14:paraId="00156C4D">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③编制</w:t>
            </w:r>
            <w:r>
              <w:rPr>
                <w:rFonts w:hint="default" w:ascii="Times New Roman" w:hAnsi="Times New Roman" w:eastAsia="宋体" w:cs="Times New Roman"/>
                <w:color w:val="auto"/>
                <w:sz w:val="21"/>
                <w:szCs w:val="21"/>
              </w:rPr>
              <w:t>突发环境事件应急预案</w:t>
            </w:r>
            <w:r>
              <w:rPr>
                <w:rFonts w:hint="default" w:ascii="Times New Roman" w:hAnsi="Times New Roman" w:eastAsia="宋体" w:cs="Times New Roman"/>
                <w:color w:val="auto"/>
                <w:sz w:val="21"/>
                <w:szCs w:val="21"/>
                <w:lang w:eastAsia="zh-CN"/>
              </w:rPr>
              <w:t>。</w:t>
            </w:r>
          </w:p>
        </w:tc>
      </w:tr>
      <w:tr w14:paraId="5689A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1778" w:type="dxa"/>
            <w:tcBorders>
              <w:tl2br w:val="nil"/>
              <w:tr2bl w:val="nil"/>
            </w:tcBorders>
            <w:vAlign w:val="center"/>
          </w:tcPr>
          <w:p w14:paraId="584BCB46">
            <w:pPr>
              <w:pStyle w:val="2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其他环境管理要求</w:t>
            </w:r>
          </w:p>
        </w:tc>
        <w:tc>
          <w:tcPr>
            <w:tcW w:w="7023" w:type="dxa"/>
            <w:gridSpan w:val="5"/>
            <w:tcBorders>
              <w:tl2br w:val="nil"/>
              <w:tr2bl w:val="nil"/>
            </w:tcBorders>
            <w:vAlign w:val="center"/>
          </w:tcPr>
          <w:p w14:paraId="0DBA7F34">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right="0" w:rightChars="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1、排污口规范化</w:t>
            </w:r>
          </w:p>
          <w:p w14:paraId="0A81C5B0">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（1）废气</w:t>
            </w:r>
          </w:p>
          <w:p w14:paraId="434E2ED5">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1）本项目排气筒应设置编号铭牌，并注明排放的污染物。采样口的设置应符合《污染源监测技术规范》的要求并便于采样监测。</w:t>
            </w:r>
          </w:p>
          <w:p w14:paraId="115442F6">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2）排气筒应设置便于采样、监测的采样口和采样监测平台。当采样平台设置在离地面高度≥5m的位置时，应有通往平台的Z字梯/旋梯/升降梯。有净化设施的，应在其进出口分别设置采样口。</w:t>
            </w:r>
          </w:p>
          <w:p w14:paraId="5987F3DB">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3）采样孔、点数目和位置应按《固定污染源废气 低浓度颗粒物的测定 重量法》（HJ836-2017）的规定设置。</w:t>
            </w:r>
          </w:p>
          <w:p w14:paraId="75F0436F">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4）当采样位置无法满足规范要求时，其位置应由当地环境监测部门确认。</w:t>
            </w:r>
          </w:p>
          <w:p w14:paraId="28B4307A">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（2）废水</w:t>
            </w:r>
          </w:p>
          <w:p w14:paraId="6AB61FE1">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废水排放口规范化设置要有明显标识，环境保护图形标志应设在排放口附近醒目处，便于采样及日常现场监督检查等。</w:t>
            </w:r>
          </w:p>
          <w:p w14:paraId="6C17EDB4">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（3）固体废物</w:t>
            </w:r>
          </w:p>
          <w:p w14:paraId="67F4DA9B">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本项目应当设置专用的贮存设施或堆放场地分类存放固体废物，并在固体废物暂存场所醒目处至少设置1</w:t>
            </w:r>
            <w:r>
              <w:rPr>
                <w:rFonts w:hint="eastAsia" w:ascii="Times New Roman" w:hAnsi="Times New Roman" w:cs="Times New Roman"/>
                <w:color w:val="auto"/>
                <w:sz w:val="21"/>
                <w:szCs w:val="21"/>
                <w:lang w:val="en-US" w:eastAsia="zh-CN"/>
              </w:rPr>
              <w:t>块</w:t>
            </w:r>
            <w:r>
              <w:rPr>
                <w:rFonts w:hint="default" w:ascii="Times New Roman" w:hAnsi="Times New Roman" w:eastAsia="宋体" w:cs="Times New Roman"/>
                <w:color w:val="auto"/>
                <w:sz w:val="21"/>
                <w:szCs w:val="21"/>
                <w:lang w:val="en-US" w:eastAsia="zh-CN"/>
              </w:rPr>
              <w:t>标志牌。</w:t>
            </w:r>
          </w:p>
          <w:p w14:paraId="12E37B52">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（4）建立排放口规范化档案。</w:t>
            </w:r>
          </w:p>
          <w:p w14:paraId="722F87C5">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（5）设专职或兼职的技术人员对排放口进行管理。</w:t>
            </w:r>
          </w:p>
          <w:p w14:paraId="2D2BFB87">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right="0" w:rightChars="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2、环境保护竣工验收</w:t>
            </w:r>
          </w:p>
          <w:p w14:paraId="7E15CA33">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同时”是我国环境管理中的一项重要制度，《中华人民共和国环境保护法》把这一原则规定为法律制度。因此，建设单位必须予以高度重视，建设项目中的防治污染的设施必须与主体工程同时设计、同时施工、同时投产。根据《关于发布&lt;建设项目竣工环境保护验收暂行办法&gt;的公告》（国环规环评[2017]4号），建设项目竣工后，建设单位应根据环评文件及审批意见，进行自主验收，向社会公开并向环保部门备案。</w:t>
            </w:r>
          </w:p>
          <w:p w14:paraId="3A0F3A83">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建设项目竣工环境保护验收暂行办法》第二章，第十二条：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14:paraId="05173DDA">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right="0" w:right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3、严格落实排污许可制度</w:t>
            </w:r>
          </w:p>
          <w:p w14:paraId="2C5FA3EC">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（1）落实按证排污责任</w:t>
            </w:r>
          </w:p>
          <w:p w14:paraId="7880C6E5">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据国务院办公厅关于印发《控制污染物排放许可制实施方案的通知》（国办发[2016]81号）、《排污许可管理办法（试行）》（部令第48号）、《关于做好环境影响评价制度与排污许可制衔接相关工作的通知》（环办环评[2017]84号）中相关要求，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应当取得排污许可证而未取得的，不得排放污染物。明确单位负责人和相关人员环境保护责任，不断提高污染治理和环境管理水平，自觉接受监督检查。</w:t>
            </w:r>
          </w:p>
          <w:p w14:paraId="1A7358FE">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（2）实行自行监测和定期报告制度</w:t>
            </w:r>
          </w:p>
          <w:p w14:paraId="35859F83">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14:paraId="5E02A0B2">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（3）排污许可证管理规范化</w:t>
            </w:r>
          </w:p>
          <w:p w14:paraId="2E6C290F">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14:paraId="0A862F61">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（4）排污许可衔接</w:t>
            </w:r>
          </w:p>
          <w:p w14:paraId="3A296780">
            <w:pPr>
              <w:pStyle w:val="29"/>
              <w:keepNext w:val="0"/>
              <w:keepLines w:val="0"/>
              <w:pageBreakBefore w:val="0"/>
              <w:widowControl w:val="0"/>
              <w:numPr>
                <w:ilvl w:val="0"/>
                <w:numId w:val="0"/>
              </w:numPr>
              <w:kinsoku/>
              <w:wordWrap/>
              <w:overflowPunct/>
              <w:topLinePunct w:val="0"/>
              <w:autoSpaceDE w:val="0"/>
              <w:autoSpaceDN w:val="0"/>
              <w:bidi w:val="0"/>
              <w:adjustRightInd/>
              <w:snapToGrid/>
              <w:spacing w:before="0" w:line="240" w:lineRule="auto"/>
              <w:ind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根据《关于做好环境影响评价制度与排污许可制衔接相关工作的通知》（环办环评[2017]84号）及《固定污染源排污许可分类管理名录（2019年版）》（生态环境部令第11号），</w:t>
            </w:r>
            <w:r>
              <w:rPr>
                <w:rFonts w:hint="default" w:ascii="Times New Roman" w:hAnsi="Times New Roman" w:eastAsia="宋体" w:cs="Times New Roman"/>
                <w:color w:val="auto"/>
                <w:sz w:val="21"/>
                <w:szCs w:val="21"/>
                <w:lang w:val="en-US"/>
              </w:rPr>
              <w:t>属于</w:t>
            </w:r>
            <w:r>
              <w:rPr>
                <w:rFonts w:hint="eastAsia" w:ascii="Times New Roman" w:hAnsi="Times New Roman" w:cs="Times New Roman"/>
                <w:color w:val="auto"/>
                <w:sz w:val="21"/>
                <w:szCs w:val="21"/>
                <w:lang w:val="en-US" w:eastAsia="zh-CN"/>
              </w:rPr>
              <w:t>4210金属废料和碎屑加工处理</w:t>
            </w:r>
            <w:r>
              <w:rPr>
                <w:rFonts w:hint="default" w:ascii="Times New Roman" w:hAnsi="Times New Roman" w:eastAsia="宋体" w:cs="Times New Roman"/>
                <w:color w:val="auto"/>
                <w:sz w:val="21"/>
                <w:szCs w:val="21"/>
                <w:lang w:val="en-US"/>
              </w:rPr>
              <w:t>，</w:t>
            </w:r>
            <w:r>
              <w:rPr>
                <w:rFonts w:hint="default" w:ascii="Times New Roman" w:hAnsi="Times New Roman" w:eastAsia="宋体" w:cs="Times New Roman"/>
                <w:color w:val="auto"/>
                <w:sz w:val="21"/>
                <w:szCs w:val="21"/>
                <w:lang w:val="en-US" w:eastAsia="zh-CN"/>
              </w:rPr>
              <w:t>属于</w:t>
            </w:r>
            <w:r>
              <w:rPr>
                <w:rFonts w:hint="eastAsia" w:ascii="Times New Roman" w:hAnsi="Times New Roman" w:cs="Times New Roman"/>
                <w:color w:val="auto"/>
                <w:sz w:val="21"/>
                <w:szCs w:val="21"/>
                <w:lang w:val="en-US" w:eastAsia="zh-CN"/>
              </w:rPr>
              <w:t>简化</w:t>
            </w:r>
            <w:r>
              <w:rPr>
                <w:rFonts w:hint="default" w:ascii="Times New Roman" w:hAnsi="Times New Roman" w:eastAsia="宋体" w:cs="Times New Roman"/>
                <w:color w:val="auto"/>
                <w:sz w:val="21"/>
                <w:szCs w:val="21"/>
                <w:lang w:val="en-US" w:eastAsia="zh-CN"/>
              </w:rPr>
              <w:t>管理范畴。企业应在实际生产开始前登录全国排污许可证管理信息平台</w:t>
            </w:r>
            <w:r>
              <w:rPr>
                <w:rFonts w:hint="default" w:ascii="Times New Roman" w:hAnsi="Times New Roman" w:eastAsia="宋体" w:cs="Times New Roman"/>
                <w:color w:val="auto"/>
                <w:sz w:val="21"/>
                <w:szCs w:val="21"/>
                <w:lang w:val="en-US"/>
              </w:rPr>
              <w:t>申报</w:t>
            </w:r>
            <w:r>
              <w:rPr>
                <w:rFonts w:hint="default" w:ascii="Times New Roman" w:hAnsi="Times New Roman" w:eastAsia="宋体" w:cs="Times New Roman"/>
                <w:color w:val="auto"/>
                <w:sz w:val="21"/>
                <w:szCs w:val="21"/>
                <w:lang w:val="en-US" w:eastAsia="zh-CN"/>
              </w:rPr>
              <w:t>重点</w:t>
            </w:r>
            <w:r>
              <w:rPr>
                <w:rFonts w:hint="default" w:ascii="Times New Roman" w:hAnsi="Times New Roman" w:eastAsia="宋体" w:cs="Times New Roman"/>
                <w:color w:val="auto"/>
                <w:sz w:val="21"/>
                <w:szCs w:val="21"/>
                <w:lang w:val="en-US"/>
              </w:rPr>
              <w:t>管理，并申领排污许可证</w:t>
            </w:r>
            <w:r>
              <w:rPr>
                <w:rFonts w:hint="default" w:ascii="Times New Roman" w:hAnsi="Times New Roman" w:eastAsia="宋体" w:cs="Times New Roman"/>
                <w:color w:val="auto"/>
                <w:sz w:val="21"/>
                <w:szCs w:val="21"/>
                <w:lang w:val="en-US" w:eastAsia="zh-CN"/>
              </w:rPr>
              <w:t>。</w:t>
            </w:r>
          </w:p>
        </w:tc>
      </w:tr>
    </w:tbl>
    <w:p w14:paraId="635264F1">
      <w:pPr>
        <w:spacing w:after="0"/>
        <w:rPr>
          <w:color w:val="auto"/>
          <w:sz w:val="21"/>
        </w:rPr>
        <w:sectPr>
          <w:pgSz w:w="11910" w:h="16840"/>
          <w:pgMar w:top="1417" w:right="1247" w:bottom="1417" w:left="1247" w:header="0" w:footer="817" w:gutter="0"/>
          <w:pgBorders>
            <w:top w:val="none" w:sz="0" w:space="0"/>
            <w:left w:val="none" w:sz="0" w:space="0"/>
            <w:bottom w:val="none" w:sz="0" w:space="0"/>
            <w:right w:val="none" w:sz="0" w:space="0"/>
          </w:pgBorders>
          <w:pgNumType w:fmt="decimal"/>
          <w:cols w:space="720" w:num="1"/>
        </w:sectPr>
      </w:pPr>
    </w:p>
    <w:p w14:paraId="4FB89D00">
      <w:pPr>
        <w:pStyle w:val="4"/>
        <w:keepNext w:val="0"/>
        <w:keepLines w:val="0"/>
        <w:pageBreakBefore w:val="0"/>
        <w:widowControl w:val="0"/>
        <w:kinsoku/>
        <w:wordWrap/>
        <w:overflowPunct/>
        <w:topLinePunct w:val="0"/>
        <w:autoSpaceDE w:val="0"/>
        <w:autoSpaceDN w:val="0"/>
        <w:bidi w:val="0"/>
        <w:adjustRightInd/>
        <w:snapToGrid/>
        <w:spacing w:after="0" w:afterLines="0"/>
        <w:textAlignment w:val="auto"/>
        <w:rPr>
          <w:rFonts w:hint="eastAsia"/>
          <w:color w:val="auto"/>
        </w:rPr>
      </w:pPr>
      <w:r>
        <w:rPr>
          <w:rFonts w:hint="eastAsia"/>
          <w:color w:val="auto"/>
        </w:rPr>
        <w:t>六、结论</w:t>
      </w:r>
    </w:p>
    <w:p w14:paraId="25894EFD">
      <w:pPr>
        <w:pStyle w:val="10"/>
        <w:spacing w:before="10"/>
        <w:jc w:val="both"/>
        <w:rPr>
          <w:color w:val="auto"/>
          <w:sz w:val="18"/>
        </w:rPr>
      </w:pPr>
      <w:r>
        <w:rPr>
          <w:color w:val="auto"/>
        </w:rPr>
        <mc:AlternateContent>
          <mc:Choice Requires="wps">
            <w:drawing>
              <wp:anchor distT="0" distB="0" distL="114300" distR="114300" simplePos="0" relativeHeight="251661312" behindDoc="1" locked="0" layoutInCell="1" allowOverlap="1">
                <wp:simplePos x="0" y="0"/>
                <wp:positionH relativeFrom="page">
                  <wp:posOffset>964565</wp:posOffset>
                </wp:positionH>
                <wp:positionV relativeFrom="paragraph">
                  <wp:posOffset>184150</wp:posOffset>
                </wp:positionV>
                <wp:extent cx="5631180" cy="7628890"/>
                <wp:effectExtent l="6350" t="6350" r="20320" b="22860"/>
                <wp:wrapTopAndBottom/>
                <wp:docPr id="7" name="文本框 7"/>
                <wp:cNvGraphicFramePr/>
                <a:graphic xmlns:a="http://schemas.openxmlformats.org/drawingml/2006/main">
                  <a:graphicData uri="http://schemas.microsoft.com/office/word/2010/wordprocessingShape">
                    <wps:wsp>
                      <wps:cNvSpPr txBox="1"/>
                      <wps:spPr>
                        <a:xfrm>
                          <a:off x="0" y="0"/>
                          <a:ext cx="5631180" cy="7628890"/>
                        </a:xfrm>
                        <a:prstGeom prst="rect">
                          <a:avLst/>
                        </a:prstGeom>
                        <a:noFill/>
                        <a:ln w="12191" cap="flat" cmpd="sng">
                          <a:solidFill>
                            <a:srgbClr val="000000"/>
                          </a:solidFill>
                          <a:prstDash val="solid"/>
                          <a:miter/>
                          <a:headEnd type="none" w="med" len="med"/>
                          <a:tailEnd type="none" w="med" len="med"/>
                        </a:ln>
                      </wps:spPr>
                      <wps:txbx>
                        <w:txbxContent>
                          <w:p w14:paraId="1A09AF7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rPr>
                            </w:pPr>
                            <w:r>
                              <w:rPr>
                                <w:rFonts w:hint="eastAsia"/>
                              </w:rPr>
                              <w:t>本项目建设符合国家和</w:t>
                            </w:r>
                            <w:r>
                              <w:rPr>
                                <w:rFonts w:hint="eastAsia"/>
                                <w:lang w:eastAsia="zh-CN"/>
                              </w:rPr>
                              <w:t>兴隆县</w:t>
                            </w:r>
                            <w:r>
                              <w:rPr>
                                <w:rFonts w:hint="eastAsia"/>
                              </w:rPr>
                              <w:t>的产业政策要求。选址可行，布局合理，采取的各项环保治理措施技术可行、设施可靠，可使各污染物实现最大程度削减，实现达标排放，对环境的影响可满足相应功能区的要求。</w:t>
                            </w:r>
                          </w:p>
                          <w:p w14:paraId="4C3E6A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rPr>
                              <w:t>因此，综上所述，建设单位在认真落实环评中提出的各项污染治理措施和建议的基础上，从环保角度，评价认为工程的建设是可行的。</w:t>
                            </w:r>
                          </w:p>
                          <w:p w14:paraId="32982FA7">
                            <w:pPr>
                              <w:pStyle w:val="10"/>
                              <w:rPr>
                                <w:sz w:val="24"/>
                              </w:rPr>
                            </w:pPr>
                          </w:p>
                          <w:p w14:paraId="647A79E6">
                            <w:pPr>
                              <w:pStyle w:val="10"/>
                              <w:rPr>
                                <w:sz w:val="24"/>
                              </w:rPr>
                            </w:pPr>
                          </w:p>
                          <w:p w14:paraId="3CE6CBAD">
                            <w:pPr>
                              <w:pStyle w:val="10"/>
                              <w:rPr>
                                <w:sz w:val="24"/>
                              </w:rPr>
                            </w:pPr>
                          </w:p>
                          <w:p w14:paraId="498CB37C">
                            <w:pPr>
                              <w:pStyle w:val="10"/>
                              <w:rPr>
                                <w:sz w:val="24"/>
                              </w:rPr>
                            </w:pPr>
                          </w:p>
                          <w:p w14:paraId="69BFD191">
                            <w:pPr>
                              <w:pStyle w:val="10"/>
                              <w:rPr>
                                <w:sz w:val="24"/>
                              </w:rPr>
                            </w:pPr>
                          </w:p>
                          <w:p w14:paraId="21610566">
                            <w:pPr>
                              <w:pStyle w:val="10"/>
                              <w:rPr>
                                <w:sz w:val="24"/>
                              </w:rPr>
                            </w:pPr>
                          </w:p>
                          <w:p w14:paraId="08B6169D">
                            <w:pPr>
                              <w:pStyle w:val="10"/>
                              <w:rPr>
                                <w:sz w:val="24"/>
                              </w:rPr>
                            </w:pPr>
                          </w:p>
                          <w:p w14:paraId="40D3B444">
                            <w:pPr>
                              <w:pStyle w:val="10"/>
                              <w:rPr>
                                <w:sz w:val="24"/>
                              </w:rPr>
                            </w:pPr>
                          </w:p>
                          <w:p w14:paraId="368892D5">
                            <w:pPr>
                              <w:pStyle w:val="10"/>
                              <w:rPr>
                                <w:sz w:val="24"/>
                              </w:rPr>
                            </w:pPr>
                          </w:p>
                          <w:p w14:paraId="0922CA05">
                            <w:pPr>
                              <w:pStyle w:val="10"/>
                              <w:rPr>
                                <w:sz w:val="24"/>
                              </w:rPr>
                            </w:pPr>
                          </w:p>
                          <w:p w14:paraId="412E417D">
                            <w:pPr>
                              <w:pStyle w:val="10"/>
                              <w:rPr>
                                <w:sz w:val="24"/>
                              </w:rPr>
                            </w:pPr>
                          </w:p>
                          <w:p w14:paraId="64AD50FF">
                            <w:pPr>
                              <w:pStyle w:val="10"/>
                              <w:rPr>
                                <w:sz w:val="24"/>
                              </w:rPr>
                            </w:pPr>
                          </w:p>
                          <w:p w14:paraId="53706088">
                            <w:pPr>
                              <w:pStyle w:val="10"/>
                              <w:rPr>
                                <w:sz w:val="24"/>
                              </w:rPr>
                            </w:pPr>
                          </w:p>
                          <w:p w14:paraId="0F33D9B0">
                            <w:pPr>
                              <w:pStyle w:val="10"/>
                              <w:rPr>
                                <w:sz w:val="24"/>
                              </w:rPr>
                            </w:pPr>
                          </w:p>
                          <w:p w14:paraId="459FADF7">
                            <w:pPr>
                              <w:pStyle w:val="10"/>
                              <w:rPr>
                                <w:sz w:val="24"/>
                              </w:rPr>
                            </w:pPr>
                          </w:p>
                          <w:p w14:paraId="6D5F0C09">
                            <w:pPr>
                              <w:pStyle w:val="10"/>
                              <w:rPr>
                                <w:sz w:val="24"/>
                              </w:rPr>
                            </w:pPr>
                          </w:p>
                          <w:p w14:paraId="087E1671">
                            <w:pPr>
                              <w:pStyle w:val="10"/>
                              <w:spacing w:before="12"/>
                              <w:rPr>
                                <w:sz w:val="17"/>
                              </w:rPr>
                            </w:pPr>
                          </w:p>
                          <w:p w14:paraId="4B1BA969">
                            <w:pPr>
                              <w:spacing w:before="0"/>
                              <w:ind w:left="98" w:right="0" w:firstLine="0"/>
                              <w:jc w:val="left"/>
                              <w:rPr>
                                <w:rFonts w:hint="eastAsia" w:eastAsia="宋体"/>
                                <w:sz w:val="24"/>
                                <w:lang w:eastAsia="zh-CN"/>
                              </w:rPr>
                            </w:pPr>
                          </w:p>
                        </w:txbxContent>
                      </wps:txbx>
                      <wps:bodyPr lIns="0" tIns="0" rIns="0" bIns="0" upright="1"/>
                    </wps:wsp>
                  </a:graphicData>
                </a:graphic>
              </wp:anchor>
            </w:drawing>
          </mc:Choice>
          <mc:Fallback>
            <w:pict>
              <v:shape id="_x0000_s1026" o:spid="_x0000_s1026" o:spt="202" type="#_x0000_t202" style="position:absolute;left:0pt;margin-left:75.95pt;margin-top:14.5pt;height:600.7pt;width:443.4pt;mso-position-horizontal-relative:page;mso-wrap-distance-bottom:0pt;mso-wrap-distance-top:0pt;z-index:-251655168;mso-width-relative:page;mso-height-relative:page;" filled="f" stroked="t" coordsize="21600,21600" o:gfxdata="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Cc3+NgAAAAMAQAADwAA&#10;AAAAAAABACAAAAAiAAAAZHJzL2Rvd25yZXYueG1sUEsBAhQAFAAAAAgAh07iQOCPfCEWAgAAMwQA&#10;AA4AAAAAAAAAAQAgAAAAJwEAAGRycy9lMm9Eb2MueG1sUEsFBgAAAAAGAAYAWQEAAK8FAAAAAA==&#10;">
                <v:fill on="f" focussize="0,0"/>
                <v:stroke weight="0.95992125984252pt" color="#000000" joinstyle="miter"/>
                <v:imagedata o:title=""/>
                <o:lock v:ext="edit" aspectratio="f"/>
                <v:textbox inset="0mm,0mm,0mm,0mm">
                  <w:txbxContent>
                    <w:p w14:paraId="1A09AF7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rPr>
                      </w:pPr>
                      <w:r>
                        <w:rPr>
                          <w:rFonts w:hint="eastAsia"/>
                        </w:rPr>
                        <w:t>本项目建设符合国家和</w:t>
                      </w:r>
                      <w:r>
                        <w:rPr>
                          <w:rFonts w:hint="eastAsia"/>
                          <w:lang w:eastAsia="zh-CN"/>
                        </w:rPr>
                        <w:t>兴隆县</w:t>
                      </w:r>
                      <w:r>
                        <w:rPr>
                          <w:rFonts w:hint="eastAsia"/>
                        </w:rPr>
                        <w:t>的产业政策要求。选址可行，布局合理，采取的各项环保治理措施技术可行、设施可靠，可使各污染物实现最大程度削减，实现达标排放，对环境的影响可满足相应功能区的要求。</w:t>
                      </w:r>
                    </w:p>
                    <w:p w14:paraId="4C3E6A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rPr>
                        <w:t>因此，综上所述，建设单位在认真落实环评中提出的各项污染治理措施和建议的基础上，从环保角度，评价认为工程的建设是可行的。</w:t>
                      </w:r>
                    </w:p>
                    <w:p w14:paraId="32982FA7">
                      <w:pPr>
                        <w:pStyle w:val="10"/>
                        <w:rPr>
                          <w:sz w:val="24"/>
                        </w:rPr>
                      </w:pPr>
                    </w:p>
                    <w:p w14:paraId="647A79E6">
                      <w:pPr>
                        <w:pStyle w:val="10"/>
                        <w:rPr>
                          <w:sz w:val="24"/>
                        </w:rPr>
                      </w:pPr>
                    </w:p>
                    <w:p w14:paraId="3CE6CBAD">
                      <w:pPr>
                        <w:pStyle w:val="10"/>
                        <w:rPr>
                          <w:sz w:val="24"/>
                        </w:rPr>
                      </w:pPr>
                    </w:p>
                    <w:p w14:paraId="498CB37C">
                      <w:pPr>
                        <w:pStyle w:val="10"/>
                        <w:rPr>
                          <w:sz w:val="24"/>
                        </w:rPr>
                      </w:pPr>
                    </w:p>
                    <w:p w14:paraId="69BFD191">
                      <w:pPr>
                        <w:pStyle w:val="10"/>
                        <w:rPr>
                          <w:sz w:val="24"/>
                        </w:rPr>
                      </w:pPr>
                    </w:p>
                    <w:p w14:paraId="21610566">
                      <w:pPr>
                        <w:pStyle w:val="10"/>
                        <w:rPr>
                          <w:sz w:val="24"/>
                        </w:rPr>
                      </w:pPr>
                    </w:p>
                    <w:p w14:paraId="08B6169D">
                      <w:pPr>
                        <w:pStyle w:val="10"/>
                        <w:rPr>
                          <w:sz w:val="24"/>
                        </w:rPr>
                      </w:pPr>
                    </w:p>
                    <w:p w14:paraId="40D3B444">
                      <w:pPr>
                        <w:pStyle w:val="10"/>
                        <w:rPr>
                          <w:sz w:val="24"/>
                        </w:rPr>
                      </w:pPr>
                    </w:p>
                    <w:p w14:paraId="368892D5">
                      <w:pPr>
                        <w:pStyle w:val="10"/>
                        <w:rPr>
                          <w:sz w:val="24"/>
                        </w:rPr>
                      </w:pPr>
                    </w:p>
                    <w:p w14:paraId="0922CA05">
                      <w:pPr>
                        <w:pStyle w:val="10"/>
                        <w:rPr>
                          <w:sz w:val="24"/>
                        </w:rPr>
                      </w:pPr>
                    </w:p>
                    <w:p w14:paraId="412E417D">
                      <w:pPr>
                        <w:pStyle w:val="10"/>
                        <w:rPr>
                          <w:sz w:val="24"/>
                        </w:rPr>
                      </w:pPr>
                    </w:p>
                    <w:p w14:paraId="64AD50FF">
                      <w:pPr>
                        <w:pStyle w:val="10"/>
                        <w:rPr>
                          <w:sz w:val="24"/>
                        </w:rPr>
                      </w:pPr>
                    </w:p>
                    <w:p w14:paraId="53706088">
                      <w:pPr>
                        <w:pStyle w:val="10"/>
                        <w:rPr>
                          <w:sz w:val="24"/>
                        </w:rPr>
                      </w:pPr>
                    </w:p>
                    <w:p w14:paraId="0F33D9B0">
                      <w:pPr>
                        <w:pStyle w:val="10"/>
                        <w:rPr>
                          <w:sz w:val="24"/>
                        </w:rPr>
                      </w:pPr>
                    </w:p>
                    <w:p w14:paraId="459FADF7">
                      <w:pPr>
                        <w:pStyle w:val="10"/>
                        <w:rPr>
                          <w:sz w:val="24"/>
                        </w:rPr>
                      </w:pPr>
                    </w:p>
                    <w:p w14:paraId="6D5F0C09">
                      <w:pPr>
                        <w:pStyle w:val="10"/>
                        <w:rPr>
                          <w:sz w:val="24"/>
                        </w:rPr>
                      </w:pPr>
                    </w:p>
                    <w:p w14:paraId="087E1671">
                      <w:pPr>
                        <w:pStyle w:val="10"/>
                        <w:spacing w:before="12"/>
                        <w:rPr>
                          <w:sz w:val="17"/>
                        </w:rPr>
                      </w:pPr>
                    </w:p>
                    <w:p w14:paraId="4B1BA969">
                      <w:pPr>
                        <w:spacing w:before="0"/>
                        <w:ind w:left="98" w:right="0" w:firstLine="0"/>
                        <w:jc w:val="left"/>
                        <w:rPr>
                          <w:rFonts w:hint="eastAsia" w:eastAsia="宋体"/>
                          <w:sz w:val="24"/>
                          <w:lang w:eastAsia="zh-CN"/>
                        </w:rPr>
                      </w:pPr>
                    </w:p>
                  </w:txbxContent>
                </v:textbox>
                <w10:wrap type="topAndBottom"/>
              </v:shape>
            </w:pict>
          </mc:Fallback>
        </mc:AlternateContent>
      </w:r>
    </w:p>
    <w:p w14:paraId="6E4CBA90">
      <w:pPr>
        <w:rPr>
          <w:color w:val="auto"/>
        </w:rPr>
        <w:sectPr>
          <w:pgSz w:w="11906" w:h="16838"/>
          <w:pgMar w:top="1417" w:right="1247" w:bottom="141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DA69515">
      <w:pPr>
        <w:keepNext w:val="0"/>
        <w:keepLines w:val="0"/>
        <w:pageBreakBefore w:val="0"/>
        <w:widowControl w:val="0"/>
        <w:kinsoku/>
        <w:wordWrap/>
        <w:overflowPunct/>
        <w:topLinePunct w:val="0"/>
        <w:autoSpaceDE w:val="0"/>
        <w:autoSpaceDN w:val="0"/>
        <w:bidi w:val="0"/>
        <w:adjustRightInd/>
        <w:snapToGrid/>
        <w:spacing w:before="0"/>
        <w:ind w:left="0" w:right="0" w:firstLine="0"/>
        <w:jc w:val="left"/>
        <w:textAlignment w:val="auto"/>
        <w:rPr>
          <w:rFonts w:hint="eastAsia" w:eastAsia="宋体"/>
          <w:color w:val="auto"/>
          <w:sz w:val="30"/>
          <w:szCs w:val="30"/>
          <w:lang w:val="en-US" w:eastAsia="zh-CN"/>
        </w:rPr>
      </w:pPr>
      <w:r>
        <w:rPr>
          <w:rFonts w:hint="eastAsia" w:ascii="宋体" w:hAnsi="宋体" w:eastAsia="宋体" w:cs="宋体"/>
          <w:b/>
          <w:bCs/>
          <w:color w:val="auto"/>
          <w:sz w:val="30"/>
          <w:szCs w:val="30"/>
        </w:rPr>
        <w:t>附表</w:t>
      </w:r>
    </w:p>
    <w:p w14:paraId="2BBABC56">
      <w:pPr>
        <w:pStyle w:val="4"/>
        <w:bidi w:val="0"/>
        <w:rPr>
          <w:rFonts w:hint="eastAsia"/>
          <w:color w:val="auto"/>
        </w:rPr>
      </w:pPr>
      <w:r>
        <w:rPr>
          <w:rFonts w:hint="eastAsia"/>
          <w:color w:val="auto"/>
        </w:rPr>
        <w:t>建设项目污染物排放量汇总表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575"/>
        <w:gridCol w:w="1575"/>
        <w:gridCol w:w="1575"/>
        <w:gridCol w:w="1575"/>
        <w:gridCol w:w="1575"/>
        <w:gridCol w:w="1575"/>
        <w:gridCol w:w="1801"/>
        <w:gridCol w:w="1349"/>
      </w:tblGrid>
      <w:tr w14:paraId="12B9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57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A9AA620">
            <w:pPr>
              <w:bidi w:val="0"/>
              <w:jc w:val="center"/>
              <mc:AlternateContent>
                <mc:Choice Requires="wpsCustomData">
                  <wpsCustomData:diagonalParaType/>
                </mc:Choice>
              </mc:AlternateConten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分类</w:t>
            </w:r>
          </w:p>
          <w:p w14:paraId="7657CAA3">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1575" w:type="dxa"/>
            <w:vAlign w:val="center"/>
          </w:tcPr>
          <w:p w14:paraId="32FBC812">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575" w:type="dxa"/>
            <w:vAlign w:val="center"/>
          </w:tcPr>
          <w:p w14:paraId="3656263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现有工程排放量（固体废物产生量）①</w:t>
            </w:r>
          </w:p>
        </w:tc>
        <w:tc>
          <w:tcPr>
            <w:tcW w:w="1575" w:type="dxa"/>
            <w:vAlign w:val="center"/>
          </w:tcPr>
          <w:p w14:paraId="60856FC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现有工程许可排放量②</w:t>
            </w:r>
          </w:p>
        </w:tc>
        <w:tc>
          <w:tcPr>
            <w:tcW w:w="1575" w:type="dxa"/>
            <w:vAlign w:val="center"/>
          </w:tcPr>
          <w:p w14:paraId="4C94B7EA">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在建工程排放量（固体废物产生量）③</w:t>
            </w:r>
          </w:p>
        </w:tc>
        <w:tc>
          <w:tcPr>
            <w:tcW w:w="1575" w:type="dxa"/>
            <w:vAlign w:val="center"/>
          </w:tcPr>
          <w:p w14:paraId="286B2FD4">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本项目排放量（固体废物产生量）④</w:t>
            </w:r>
          </w:p>
        </w:tc>
        <w:tc>
          <w:tcPr>
            <w:tcW w:w="1575" w:type="dxa"/>
            <w:vAlign w:val="center"/>
          </w:tcPr>
          <w:p w14:paraId="0957FCD6">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以新带老削减量（新建项目不填）⑤</w:t>
            </w:r>
          </w:p>
        </w:tc>
        <w:tc>
          <w:tcPr>
            <w:tcW w:w="1801" w:type="dxa"/>
            <w:vAlign w:val="center"/>
          </w:tcPr>
          <w:p w14:paraId="570B923D">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本项目建成后全厂排放量（固体废物产生量）⑥</w:t>
            </w:r>
          </w:p>
        </w:tc>
        <w:tc>
          <w:tcPr>
            <w:tcW w:w="1349" w:type="dxa"/>
            <w:vAlign w:val="center"/>
          </w:tcPr>
          <w:p w14:paraId="2ABFA277">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变化量⑦</w:t>
            </w:r>
          </w:p>
        </w:tc>
      </w:tr>
      <w:tr w14:paraId="505D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Align w:val="center"/>
          </w:tcPr>
          <w:p w14:paraId="3DAEED42">
            <w:pPr>
              <w:pStyle w:val="29"/>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废气</w:t>
            </w:r>
          </w:p>
        </w:tc>
        <w:tc>
          <w:tcPr>
            <w:tcW w:w="1575" w:type="dxa"/>
            <w:vAlign w:val="center"/>
          </w:tcPr>
          <w:p w14:paraId="6ECC5D6C">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1575" w:type="dxa"/>
            <w:vAlign w:val="center"/>
          </w:tcPr>
          <w:p w14:paraId="0A8CC543">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rPr>
              <w:t>/</w:t>
            </w:r>
          </w:p>
        </w:tc>
        <w:tc>
          <w:tcPr>
            <w:tcW w:w="1575" w:type="dxa"/>
            <w:vAlign w:val="center"/>
          </w:tcPr>
          <w:p w14:paraId="49901DE0">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003ECB04">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75110EF6">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5.577</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575" w:type="dxa"/>
            <w:vAlign w:val="center"/>
          </w:tcPr>
          <w:p w14:paraId="08F0014A">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801" w:type="dxa"/>
            <w:vAlign w:val="center"/>
          </w:tcPr>
          <w:p w14:paraId="72519335">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5.577</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349" w:type="dxa"/>
            <w:vAlign w:val="center"/>
          </w:tcPr>
          <w:p w14:paraId="0EE6016A">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r>
      <w:tr w14:paraId="2003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Align w:val="center"/>
          </w:tcPr>
          <w:p w14:paraId="75CDAFD9">
            <w:pPr>
              <w:pStyle w:val="29"/>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废水</w:t>
            </w:r>
          </w:p>
        </w:tc>
        <w:tc>
          <w:tcPr>
            <w:tcW w:w="1575" w:type="dxa"/>
            <w:vAlign w:val="center"/>
          </w:tcPr>
          <w:p w14:paraId="31481BF2">
            <w:pPr>
              <w:spacing w:line="240" w:lineRule="auto"/>
              <w:ind w:left="0" w:leftChars="0" w:right="0" w:rightChars="0"/>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rPr>
              <w:t>生产废水</w:t>
            </w:r>
          </w:p>
        </w:tc>
        <w:tc>
          <w:tcPr>
            <w:tcW w:w="1575" w:type="dxa"/>
            <w:vAlign w:val="center"/>
          </w:tcPr>
          <w:p w14:paraId="12B3A953">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lang w:val="en-US"/>
              </w:rPr>
              <w:t>/</w:t>
            </w:r>
          </w:p>
        </w:tc>
        <w:tc>
          <w:tcPr>
            <w:tcW w:w="1575" w:type="dxa"/>
            <w:vAlign w:val="center"/>
          </w:tcPr>
          <w:p w14:paraId="1473AE98">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lang w:val="en-US"/>
              </w:rPr>
              <w:t>/</w:t>
            </w:r>
          </w:p>
        </w:tc>
        <w:tc>
          <w:tcPr>
            <w:tcW w:w="1575" w:type="dxa"/>
            <w:vAlign w:val="center"/>
          </w:tcPr>
          <w:p w14:paraId="327A9E8C">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rPr>
              <w:t>/</w:t>
            </w:r>
          </w:p>
        </w:tc>
        <w:tc>
          <w:tcPr>
            <w:tcW w:w="1575" w:type="dxa"/>
            <w:vAlign w:val="center"/>
          </w:tcPr>
          <w:p w14:paraId="5B396EC1">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575" w:type="dxa"/>
            <w:vAlign w:val="center"/>
          </w:tcPr>
          <w:p w14:paraId="5702B7E4">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801" w:type="dxa"/>
            <w:vAlign w:val="center"/>
          </w:tcPr>
          <w:p w14:paraId="3B243C6C">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1349" w:type="dxa"/>
            <w:vAlign w:val="center"/>
          </w:tcPr>
          <w:p w14:paraId="320AE142">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r>
      <w:tr w14:paraId="3DF2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14:paraId="4FB41B31">
            <w:pPr>
              <w:pStyle w:val="29"/>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一般工业固体废物</w:t>
            </w:r>
          </w:p>
        </w:tc>
        <w:tc>
          <w:tcPr>
            <w:tcW w:w="1575" w:type="dxa"/>
            <w:vAlign w:val="center"/>
          </w:tcPr>
          <w:p w14:paraId="13B13B65">
            <w:pPr>
              <w:spacing w:line="320" w:lineRule="exact"/>
              <w:ind w:left="0" w:leftChars="0" w:right="0" w:rightChars="0"/>
              <w:rPr>
                <w:rFonts w:hint="eastAsia"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kern w:val="24"/>
                <w:sz w:val="21"/>
                <w:szCs w:val="21"/>
              </w:rPr>
              <w:t>布袋除尘器除尘灰</w:t>
            </w:r>
          </w:p>
        </w:tc>
        <w:tc>
          <w:tcPr>
            <w:tcW w:w="1575" w:type="dxa"/>
            <w:vAlign w:val="center"/>
          </w:tcPr>
          <w:p w14:paraId="2983C710">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7969EE2B">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7E9345CA">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443E600D">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55.539</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575" w:type="dxa"/>
            <w:vAlign w:val="center"/>
          </w:tcPr>
          <w:p w14:paraId="2C2151B3">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801" w:type="dxa"/>
            <w:vAlign w:val="center"/>
          </w:tcPr>
          <w:p w14:paraId="1773A683">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55.539</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349" w:type="dxa"/>
            <w:vAlign w:val="center"/>
          </w:tcPr>
          <w:p w14:paraId="0E1AF358">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r>
      <w:tr w14:paraId="0486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14:paraId="3713E468">
            <w:pPr>
              <w:pStyle w:val="29"/>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rPr>
            </w:pPr>
          </w:p>
        </w:tc>
        <w:tc>
          <w:tcPr>
            <w:tcW w:w="1575" w:type="dxa"/>
            <w:vAlign w:val="center"/>
          </w:tcPr>
          <w:p w14:paraId="44EDD7E8">
            <w:pPr>
              <w:spacing w:line="320" w:lineRule="exact"/>
              <w:ind w:left="0" w:leftChars="0" w:right="0" w:rightChars="0"/>
              <w:rPr>
                <w:rFonts w:hint="default" w:ascii="Times New Roman" w:hAnsi="Times New Roman" w:cs="Times New Roman"/>
                <w:color w:val="auto"/>
                <w:kern w:val="24"/>
                <w:sz w:val="21"/>
                <w:szCs w:val="21"/>
              </w:rPr>
            </w:pPr>
            <w:r>
              <w:rPr>
                <w:rFonts w:hint="eastAsia" w:cs="Times New Roman"/>
                <w:b w:val="0"/>
                <w:bCs w:val="0"/>
                <w:color w:val="auto"/>
                <w:kern w:val="24"/>
                <w:sz w:val="21"/>
                <w:szCs w:val="21"/>
                <w:lang w:eastAsia="zh-CN"/>
              </w:rPr>
              <w:t>沉淀池底砂</w:t>
            </w:r>
          </w:p>
        </w:tc>
        <w:tc>
          <w:tcPr>
            <w:tcW w:w="1575" w:type="dxa"/>
            <w:vAlign w:val="center"/>
          </w:tcPr>
          <w:p w14:paraId="064A076E">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cs="Times New Roman"/>
                <w:color w:val="auto"/>
                <w:sz w:val="21"/>
                <w:szCs w:val="21"/>
                <w:lang w:val="en-US"/>
              </w:rPr>
              <w:t>/</w:t>
            </w:r>
          </w:p>
        </w:tc>
        <w:tc>
          <w:tcPr>
            <w:tcW w:w="1575" w:type="dxa"/>
            <w:vAlign w:val="center"/>
          </w:tcPr>
          <w:p w14:paraId="4C6C59FC">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cs="Times New Roman"/>
                <w:color w:val="auto"/>
                <w:sz w:val="21"/>
                <w:szCs w:val="21"/>
                <w:lang w:val="en-US"/>
              </w:rPr>
              <w:t>/</w:t>
            </w:r>
          </w:p>
        </w:tc>
        <w:tc>
          <w:tcPr>
            <w:tcW w:w="1575" w:type="dxa"/>
            <w:vAlign w:val="center"/>
          </w:tcPr>
          <w:p w14:paraId="31939D8A">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cs="Times New Roman"/>
                <w:color w:val="auto"/>
                <w:sz w:val="21"/>
                <w:szCs w:val="21"/>
                <w:lang w:val="en-US"/>
              </w:rPr>
              <w:t>/</w:t>
            </w:r>
          </w:p>
        </w:tc>
        <w:tc>
          <w:tcPr>
            <w:tcW w:w="1575" w:type="dxa"/>
            <w:vAlign w:val="center"/>
          </w:tcPr>
          <w:p w14:paraId="695540BA">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8.564</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575" w:type="dxa"/>
            <w:vAlign w:val="center"/>
          </w:tcPr>
          <w:p w14:paraId="3C62FB6B">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w:t>
            </w:r>
          </w:p>
        </w:tc>
        <w:tc>
          <w:tcPr>
            <w:tcW w:w="1801" w:type="dxa"/>
            <w:vAlign w:val="center"/>
          </w:tcPr>
          <w:p w14:paraId="5FE44B61">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8.564</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349" w:type="dxa"/>
            <w:vAlign w:val="center"/>
          </w:tcPr>
          <w:p w14:paraId="4E16BDBF">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w:t>
            </w:r>
          </w:p>
        </w:tc>
      </w:tr>
      <w:tr w14:paraId="5400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14:paraId="5004F5E2">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1"/>
                <w:szCs w:val="21"/>
                <w:vertAlign w:val="baseline"/>
              </w:rPr>
            </w:pPr>
          </w:p>
        </w:tc>
        <w:tc>
          <w:tcPr>
            <w:tcW w:w="1575" w:type="dxa"/>
            <w:vAlign w:val="center"/>
          </w:tcPr>
          <w:p w14:paraId="15212B70">
            <w:pPr>
              <w:spacing w:line="320" w:lineRule="exact"/>
              <w:ind w:left="0" w:leftChars="0" w:right="0" w:rightChars="0"/>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kern w:val="24"/>
                <w:sz w:val="21"/>
                <w:szCs w:val="21"/>
              </w:rPr>
              <w:t>职工生活</w:t>
            </w:r>
          </w:p>
        </w:tc>
        <w:tc>
          <w:tcPr>
            <w:tcW w:w="1575" w:type="dxa"/>
            <w:vAlign w:val="center"/>
          </w:tcPr>
          <w:p w14:paraId="7E19FF08">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5DD2960A">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4A0D9EDF">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5878AB7C">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575" w:type="dxa"/>
            <w:vAlign w:val="center"/>
          </w:tcPr>
          <w:p w14:paraId="12831BE5">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801" w:type="dxa"/>
            <w:vAlign w:val="center"/>
          </w:tcPr>
          <w:p w14:paraId="17FA6B32">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1.5</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349" w:type="dxa"/>
            <w:vAlign w:val="center"/>
          </w:tcPr>
          <w:p w14:paraId="4177BF05">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r>
      <w:tr w14:paraId="3D80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14:paraId="46FA17D8">
            <w:pPr>
              <w:pStyle w:val="29"/>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危险废物</w:t>
            </w:r>
          </w:p>
        </w:tc>
        <w:tc>
          <w:tcPr>
            <w:tcW w:w="1575" w:type="dxa"/>
            <w:vAlign w:val="center"/>
          </w:tcPr>
          <w:p w14:paraId="645A93F2">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废润滑油</w:t>
            </w:r>
          </w:p>
        </w:tc>
        <w:tc>
          <w:tcPr>
            <w:tcW w:w="1575" w:type="dxa"/>
            <w:vAlign w:val="center"/>
          </w:tcPr>
          <w:p w14:paraId="7FAC8519">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67A27411">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3A11A98B">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047BE6CA">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r>
              <w:rPr>
                <w:rFonts w:hint="eastAsia" w:cs="Times New Roman"/>
                <w:color w:val="auto"/>
                <w:sz w:val="21"/>
                <w:szCs w:val="21"/>
                <w:vertAlign w:val="baseline"/>
                <w:lang w:val="en-US" w:eastAsia="zh-CN"/>
              </w:rPr>
              <w:t>01</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575" w:type="dxa"/>
            <w:vAlign w:val="center"/>
          </w:tcPr>
          <w:p w14:paraId="71D5EE25">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801" w:type="dxa"/>
            <w:vAlign w:val="center"/>
          </w:tcPr>
          <w:p w14:paraId="2E01246F">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w:t>
            </w:r>
            <w:r>
              <w:rPr>
                <w:rFonts w:hint="eastAsia" w:cs="Times New Roman"/>
                <w:color w:val="auto"/>
                <w:sz w:val="21"/>
                <w:szCs w:val="21"/>
                <w:vertAlign w:val="baseline"/>
                <w:lang w:val="en-US" w:eastAsia="zh-CN"/>
              </w:rPr>
              <w:t>01</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349" w:type="dxa"/>
            <w:vAlign w:val="center"/>
          </w:tcPr>
          <w:p w14:paraId="43319506">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r>
      <w:tr w14:paraId="4AB0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14:paraId="2BA19047">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1"/>
                <w:szCs w:val="21"/>
                <w:vertAlign w:val="baseline"/>
              </w:rPr>
            </w:pPr>
          </w:p>
        </w:tc>
        <w:tc>
          <w:tcPr>
            <w:tcW w:w="1575" w:type="dxa"/>
            <w:vAlign w:val="center"/>
          </w:tcPr>
          <w:p w14:paraId="7A50D256">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废油桶</w:t>
            </w:r>
          </w:p>
        </w:tc>
        <w:tc>
          <w:tcPr>
            <w:tcW w:w="1575" w:type="dxa"/>
            <w:vAlign w:val="center"/>
          </w:tcPr>
          <w:p w14:paraId="51A01FD5">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27918B2A">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36EE04A0">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39AF83A3">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2个</w:t>
            </w:r>
            <w:r>
              <w:rPr>
                <w:rFonts w:hint="eastAsia"/>
                <w:color w:val="auto"/>
                <w:lang w:val="en-US" w:eastAsia="zh-CN"/>
              </w:rPr>
              <w:t>/</w:t>
            </w:r>
            <w:r>
              <w:rPr>
                <w:rFonts w:hint="eastAsia"/>
                <w:color w:val="auto"/>
                <w:sz w:val="21"/>
                <w:szCs w:val="21"/>
                <w:lang w:val="en-US" w:eastAsia="zh-CN"/>
              </w:rPr>
              <w:t>a</w:t>
            </w:r>
          </w:p>
        </w:tc>
        <w:tc>
          <w:tcPr>
            <w:tcW w:w="1575" w:type="dxa"/>
            <w:vAlign w:val="center"/>
          </w:tcPr>
          <w:p w14:paraId="7FE43B84">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801" w:type="dxa"/>
            <w:vAlign w:val="center"/>
          </w:tcPr>
          <w:p w14:paraId="1603CD3A">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2个</w:t>
            </w:r>
            <w:r>
              <w:rPr>
                <w:rFonts w:hint="eastAsia"/>
                <w:color w:val="auto"/>
                <w:lang w:val="en-US" w:eastAsia="zh-CN"/>
              </w:rPr>
              <w:t>/</w:t>
            </w:r>
            <w:r>
              <w:rPr>
                <w:rFonts w:hint="eastAsia"/>
                <w:color w:val="auto"/>
                <w:sz w:val="21"/>
                <w:szCs w:val="21"/>
                <w:lang w:val="en-US" w:eastAsia="zh-CN"/>
              </w:rPr>
              <w:t>a</w:t>
            </w:r>
          </w:p>
        </w:tc>
        <w:tc>
          <w:tcPr>
            <w:tcW w:w="1349" w:type="dxa"/>
            <w:vAlign w:val="center"/>
          </w:tcPr>
          <w:p w14:paraId="3F80D6BC">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r>
      <w:tr w14:paraId="6C49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14:paraId="79CEA66F">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1"/>
                <w:szCs w:val="21"/>
                <w:vertAlign w:val="baseline"/>
              </w:rPr>
            </w:pPr>
          </w:p>
        </w:tc>
        <w:tc>
          <w:tcPr>
            <w:tcW w:w="1575" w:type="dxa"/>
            <w:vAlign w:val="center"/>
          </w:tcPr>
          <w:p w14:paraId="0B05A691">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废旧含油抹布及劳保用品</w:t>
            </w:r>
          </w:p>
        </w:tc>
        <w:tc>
          <w:tcPr>
            <w:tcW w:w="1575" w:type="dxa"/>
            <w:vAlign w:val="center"/>
          </w:tcPr>
          <w:p w14:paraId="6F0622D6">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1C13DB11">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270F013D">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575" w:type="dxa"/>
            <w:vAlign w:val="center"/>
          </w:tcPr>
          <w:p w14:paraId="339A3AE5">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w:t>
            </w:r>
            <w:r>
              <w:rPr>
                <w:rFonts w:hint="eastAsia"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575" w:type="dxa"/>
            <w:vAlign w:val="center"/>
          </w:tcPr>
          <w:p w14:paraId="6BC98AC3">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c>
          <w:tcPr>
            <w:tcW w:w="1801" w:type="dxa"/>
            <w:vAlign w:val="center"/>
          </w:tcPr>
          <w:p w14:paraId="1E91B77C">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w:t>
            </w:r>
            <w:r>
              <w:rPr>
                <w:rFonts w:hint="eastAsia"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val="en-US" w:eastAsia="zh-CN"/>
              </w:rPr>
              <w:t>t</w:t>
            </w:r>
            <w:r>
              <w:rPr>
                <w:rFonts w:hint="eastAsia"/>
                <w:color w:val="auto"/>
                <w:lang w:val="en-US" w:eastAsia="zh-CN"/>
              </w:rPr>
              <w:t>/</w:t>
            </w:r>
            <w:r>
              <w:rPr>
                <w:rFonts w:hint="eastAsia"/>
                <w:color w:val="auto"/>
                <w:sz w:val="21"/>
                <w:szCs w:val="21"/>
                <w:lang w:val="en-US" w:eastAsia="zh-CN"/>
              </w:rPr>
              <w:t>a</w:t>
            </w:r>
          </w:p>
        </w:tc>
        <w:tc>
          <w:tcPr>
            <w:tcW w:w="1349" w:type="dxa"/>
            <w:vAlign w:val="center"/>
          </w:tcPr>
          <w:p w14:paraId="49A1CD31">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lang w:val="en-US"/>
              </w:rPr>
              <w:t>/</w:t>
            </w:r>
          </w:p>
        </w:tc>
      </w:tr>
    </w:tbl>
    <w:p w14:paraId="2DE95E65">
      <w:pPr>
        <w:rPr>
          <w:color w:val="auto"/>
        </w:rPr>
      </w:pPr>
      <w:r>
        <w:rPr>
          <w:color w:val="auto"/>
          <w:sz w:val="21"/>
        </w:rPr>
        <w:t>注：⑥=①+③+④-⑤；⑦=⑥-</w:t>
      </w:r>
      <w:r>
        <w:rPr>
          <w:rFonts w:hint="eastAsia"/>
          <w:color w:val="auto"/>
          <w:sz w:val="21"/>
        </w:rPr>
        <w:t>①</w:t>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99AEB">
    <w:pPr>
      <w:pStyle w:val="10"/>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3F25A">
    <w:pPr>
      <w:pStyle w:val="10"/>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14:paraId="496F7BFD">
                          <w:pPr>
                            <w:spacing w:before="189" w:line="339" w:lineRule="exact"/>
                            <w:ind w:left="20" w:right="0" w:firstLine="0"/>
                            <w:jc w:val="left"/>
                            <w:rPr>
                              <w:sz w:val="28"/>
                            </w:rPr>
                          </w:pPr>
                          <w:r>
                            <w:rPr>
                              <w:sz w:val="28"/>
                            </w:rPr>
                            <w:t>—</w:t>
                          </w:r>
                          <w:r>
                            <w:fldChar w:fldCharType="begin"/>
                          </w:r>
                          <w:r>
                            <w:rPr>
                              <w:sz w:val="26"/>
                            </w:rPr>
                            <w:instrText xml:space="preserve"> PAGE </w:instrText>
                          </w:r>
                          <w:r>
                            <w:fldChar w:fldCharType="separate"/>
                          </w:r>
                          <w:r>
                            <w:t>10</w:t>
                          </w:r>
                          <w:r>
                            <w:fldChar w:fldCharType="end"/>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79.7pt;height:26.45pt;width:63.1pt;mso-position-horizontal-relative:page;mso-position-vertical-relative:page;z-index:-251657216;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xrI5fbAAAADQEAAA8AAAAAAAAAAQAgAAAAIgAAAGRycy9kb3ducmV2LnhtbFBL&#10;AQIUABQAAAAIAIdO4kDALrIougEAAHEDAAAOAAAAAAAAAAEAIAAAACoBAABkcnMvZTJvRG9jLnht&#10;bFBLBQYAAAAABgAGAFkBAABWBQAAAAA=&#10;">
              <v:fill on="f" focussize="0,0"/>
              <v:stroke on="f"/>
              <v:imagedata o:title=""/>
              <o:lock v:ext="edit" aspectratio="f"/>
              <v:textbox inset="0mm,0mm,0mm,0mm">
                <w:txbxContent>
                  <w:p w14:paraId="496F7BFD">
                    <w:pPr>
                      <w:spacing w:before="189" w:line="339" w:lineRule="exact"/>
                      <w:ind w:left="20" w:right="0" w:firstLine="0"/>
                      <w:jc w:val="left"/>
                      <w:rPr>
                        <w:sz w:val="28"/>
                      </w:rPr>
                    </w:pPr>
                    <w:r>
                      <w:rPr>
                        <w:sz w:val="28"/>
                      </w:rPr>
                      <w:t>—</w:t>
                    </w:r>
                    <w:r>
                      <w:fldChar w:fldCharType="begin"/>
                    </w:r>
                    <w:r>
                      <w:rPr>
                        <w:sz w:val="26"/>
                      </w:rPr>
                      <w:instrText xml:space="preserve"> PAGE </w:instrText>
                    </w:r>
                    <w:r>
                      <w:fldChar w:fldCharType="separate"/>
                    </w:r>
                    <w:r>
                      <w:t>10</w:t>
                    </w:r>
                    <w:r>
                      <w:fldChar w:fldCharType="end"/>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19E9D">
    <w:pPr>
      <w:pStyle w:val="10"/>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posOffset>2929255</wp:posOffset>
              </wp:positionH>
              <wp:positionV relativeFrom="paragraph">
                <wp:posOffset>-200025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15E61">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0.65pt;margin-top:-15.75pt;height:144pt;width:144pt;mso-position-horizontal-relative:margin;mso-wrap-style:none;z-index:251665408;mso-width-relative:page;mso-height-relative:page;" filled="f" stroked="f" coordsize="21600,21600" o:gfxdata="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XNgXbZAAAACwEAAA8AAAAAAAAAAQAgAAAAIgAAAGRycy9kb3ducmV2Lnht&#10;bFBLAQIUABQAAAAIAIdO4kCpqK+VMQIAAGMEAAAOAAAAAAAAAAEAIAAAACgBAABkcnMvZTJvRG9j&#10;LnhtbFBLBQYAAAAABgAGAFkBAADLBQAAAAA=&#10;">
              <v:fill on="f" focussize="0,0"/>
              <v:stroke on="f" weight="0.5pt"/>
              <v:imagedata o:title=""/>
              <o:lock v:ext="edit" aspectratio="f"/>
              <v:textbox inset="0mm,0mm,0mm,0mm" style="mso-fit-shape-to-text:t;">
                <w:txbxContent>
                  <w:p w14:paraId="50515E61">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4804C">
    <w:pPr>
      <w:pStyle w:val="10"/>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posOffset>2821305</wp:posOffset>
              </wp:positionH>
              <wp:positionV relativeFrom="paragraph">
                <wp:posOffset>-390525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D7E77">
                          <w:pPr>
                            <w:pStyle w:val="1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2.15pt;margin-top:-30.75pt;height:144pt;width:144pt;mso-position-horizontal-relative:margin;mso-wrap-style:none;z-index:251662336;mso-width-relative:page;mso-height-relative:page;" filled="f" stroked="f" coordsize="21600,21600" o:gfxdata="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Ww2LYAAAACwEAAA8AAAAAAAAAAQAgAAAAIgAAAGRycy9kb3ducmV2Lnht&#10;bFBLAQIUABQAAAAIAIdO4kAClSD0MgIAAGEEAAAOAAAAAAAAAAEAIAAAACcBAABkcnMvZTJvRG9j&#10;LnhtbFBLBQYAAAAABgAGAFkBAADLBQAAAAA=&#10;">
              <v:fill on="f" focussize="0,0"/>
              <v:stroke on="f" weight="0.5pt"/>
              <v:imagedata o:title=""/>
              <o:lock v:ext="edit" aspectratio="f"/>
              <v:textbox inset="0mm,0mm,0mm,0mm" style="mso-fit-shape-to-text:t;">
                <w:txbxContent>
                  <w:p w14:paraId="4A7D7E77">
                    <w:pPr>
                      <w:pStyle w:val="1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50ED7">
    <w:pPr>
      <w:pStyle w:val="10"/>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14:paraId="4B864304">
                          <w:pPr>
                            <w:spacing w:before="0" w:line="321" w:lineRule="exact"/>
                            <w:ind w:left="20" w:right="0" w:firstLine="0"/>
                            <w:jc w:val="left"/>
                            <w:rPr>
                              <w:sz w:val="28"/>
                            </w:rPr>
                          </w:pPr>
                          <w:r>
                            <w:rPr>
                              <w:sz w:val="28"/>
                            </w:rPr>
                            <w:t>—</w:t>
                          </w:r>
                          <w:r>
                            <w:fldChar w:fldCharType="begin"/>
                          </w:r>
                          <w:r>
                            <w:rPr>
                              <w:sz w:val="26"/>
                            </w:rPr>
                            <w:instrText xml:space="preserve"> PAGE </w:instrText>
                          </w:r>
                          <w:r>
                            <w:fldChar w:fldCharType="separate"/>
                          </w:r>
                          <w:r>
                            <w:t>8</w:t>
                          </w:r>
                          <w:r>
                            <w:fldChar w:fldCharType="end"/>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90.2pt;height:16.05pt;width:56.6pt;mso-position-horizontal-relative:page;mso-position-vertical-relative:page;z-index:-251656192;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MQWGJe6AQAAcQMAAA4AAAAAAAAAAQAgAAAAKQEAAGRycy9lMm9Eb2MueG1s&#10;UEsFBgAAAAAGAAYAWQEAAFUFAAAAAA==&#10;">
              <v:fill on="f" focussize="0,0"/>
              <v:stroke on="f"/>
              <v:imagedata o:title=""/>
              <o:lock v:ext="edit" aspectratio="f"/>
              <v:textbox inset="0mm,0mm,0mm,0mm">
                <w:txbxContent>
                  <w:p w14:paraId="4B864304">
                    <w:pPr>
                      <w:spacing w:before="0" w:line="321" w:lineRule="exact"/>
                      <w:ind w:left="20" w:right="0" w:firstLine="0"/>
                      <w:jc w:val="left"/>
                      <w:rPr>
                        <w:sz w:val="28"/>
                      </w:rPr>
                    </w:pPr>
                    <w:r>
                      <w:rPr>
                        <w:sz w:val="28"/>
                      </w:rPr>
                      <w:t>—</w:t>
                    </w:r>
                    <w:r>
                      <w:fldChar w:fldCharType="begin"/>
                    </w:r>
                    <w:r>
                      <w:rPr>
                        <w:sz w:val="26"/>
                      </w:rPr>
                      <w:instrText xml:space="preserve"> PAGE </w:instrText>
                    </w:r>
                    <w:r>
                      <w:fldChar w:fldCharType="separate"/>
                    </w:r>
                    <w:r>
                      <w:t>8</w:t>
                    </w:r>
                    <w:r>
                      <w:fldChar w:fldCharType="end"/>
                    </w:r>
                    <w:r>
                      <w:rPr>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14FA3"/>
    <w:multiLevelType w:val="singleLevel"/>
    <w:tmpl w:val="A3714FA3"/>
    <w:lvl w:ilvl="0" w:tentative="0">
      <w:start w:val="4"/>
      <w:numFmt w:val="chineseCounting"/>
      <w:suff w:val="nothing"/>
      <w:lvlText w:val="（%1）"/>
      <w:lvlJc w:val="left"/>
      <w:rPr>
        <w:rFonts w:hint="eastAsia"/>
      </w:rPr>
    </w:lvl>
  </w:abstractNum>
  <w:abstractNum w:abstractNumId="1">
    <w:nsid w:val="C270ED12"/>
    <w:multiLevelType w:val="singleLevel"/>
    <w:tmpl w:val="C270ED12"/>
    <w:lvl w:ilvl="0" w:tentative="0">
      <w:start w:val="1"/>
      <w:numFmt w:val="decimal"/>
      <w:suff w:val="nothing"/>
      <w:lvlText w:val="（%1）"/>
      <w:lvlJc w:val="left"/>
    </w:lvl>
  </w:abstractNum>
  <w:abstractNum w:abstractNumId="2">
    <w:nsid w:val="58A55536"/>
    <w:multiLevelType w:val="multilevel"/>
    <w:tmpl w:val="58A55536"/>
    <w:lvl w:ilvl="0" w:tentative="0">
      <w:start w:val="1"/>
      <w:numFmt w:val="chineseCounting"/>
      <w:suff w:val="space"/>
      <w:lvlText w:val="第%1章"/>
      <w:lvlJc w:val="left"/>
      <w:pPr>
        <w:tabs>
          <w:tab w:val="left" w:pos="420"/>
        </w:tabs>
        <w:ind w:left="0" w:firstLine="0"/>
      </w:pPr>
      <w:rPr>
        <w:rFonts w:hint="eastAsia" w:ascii="Times New Roman" w:hAnsi="Times New Roman" w:eastAsia="黑体" w:cs="宋体"/>
        <w:sz w:val="30"/>
      </w:rPr>
    </w:lvl>
    <w:lvl w:ilvl="1" w:tentative="0">
      <w:start w:val="1"/>
      <w:numFmt w:val="decimal"/>
      <w:isLgl/>
      <w:suff w:val="space"/>
      <w:lvlText w:val="%1.%2"/>
      <w:lvlJc w:val="left"/>
      <w:pPr>
        <w:tabs>
          <w:tab w:val="left" w:pos="0"/>
        </w:tabs>
        <w:ind w:left="0" w:firstLine="0"/>
      </w:pPr>
      <w:rPr>
        <w:rFonts w:hint="eastAsia" w:ascii="Times New Roman" w:hAnsi="Times New Roman" w:eastAsia="黑体" w:cs="宋体"/>
        <w:sz w:val="28"/>
      </w:rPr>
    </w:lvl>
    <w:lvl w:ilvl="2" w:tentative="0">
      <w:start w:val="1"/>
      <w:numFmt w:val="decimal"/>
      <w:isLgl/>
      <w:suff w:val="space"/>
      <w:lvlText w:val="%1.%2.%3"/>
      <w:lvlJc w:val="left"/>
      <w:pPr>
        <w:tabs>
          <w:tab w:val="left" w:pos="1837"/>
        </w:tabs>
        <w:ind w:left="1417" w:firstLine="0"/>
      </w:pPr>
      <w:rPr>
        <w:rFonts w:hint="eastAsia" w:ascii="Times New Roman" w:hAnsi="Times New Roman" w:eastAsia="黑体" w:cs="宋体"/>
        <w:sz w:val="24"/>
      </w:rPr>
    </w:lvl>
    <w:lvl w:ilvl="3" w:tentative="0">
      <w:start w:val="1"/>
      <w:numFmt w:val="decimal"/>
      <w:suff w:val="nothing"/>
      <w:lvlText w:val="（%4）"/>
      <w:lvlJc w:val="left"/>
      <w:pPr>
        <w:tabs>
          <w:tab w:val="left" w:pos="1129"/>
        </w:tabs>
        <w:ind w:left="1559" w:hanging="850"/>
      </w:pPr>
      <w:rPr>
        <w:rFonts w:hint="eastAsia" w:ascii="宋体" w:hAnsi="宋体" w:eastAsia="宋体" w:cs="宋体"/>
        <w:lang w:val="en-US"/>
      </w:rPr>
    </w:lvl>
    <w:lvl w:ilvl="4" w:tentative="0">
      <w:start w:val="1"/>
      <w:numFmt w:val="decimal"/>
      <w:lvlText w:val="%5"/>
      <w:lvlJc w:val="left"/>
      <w:pPr>
        <w:tabs>
          <w:tab w:val="left" w:pos="420"/>
        </w:tabs>
        <w:ind w:left="991" w:hanging="991"/>
      </w:pPr>
      <w:rPr>
        <w:rFonts w:hint="eastAsia" w:ascii="宋体" w:hAnsi="宋体" w:eastAsia="宋体" w:cs="宋体"/>
      </w:rPr>
    </w:lvl>
    <w:lvl w:ilvl="5" w:tentative="0">
      <w:start w:val="1"/>
      <w:numFmt w:val="decimal"/>
      <w:lvlRestart w:val="1"/>
      <w:isLgl/>
      <w:suff w:val="space"/>
      <w:lvlText w:val="图%1-%6 "/>
      <w:lvlJc w:val="center"/>
      <w:pPr>
        <w:tabs>
          <w:tab w:val="left" w:pos="420"/>
        </w:tabs>
        <w:ind w:left="1134" w:hanging="1134"/>
      </w:pPr>
      <w:rPr>
        <w:rFonts w:hint="eastAsia" w:ascii="宋体" w:hAnsi="宋体" w:eastAsia="宋体" w:cs="宋体"/>
        <w:sz w:val="21"/>
      </w:rPr>
    </w:lvl>
    <w:lvl w:ilvl="6" w:tentative="0">
      <w:start w:val="1"/>
      <w:numFmt w:val="decimal"/>
      <w:lvlRestart w:val="1"/>
      <w:pStyle w:val="32"/>
      <w:isLgl/>
      <w:suff w:val="space"/>
      <w:lvlText w:val="表%1-%7 "/>
      <w:lvlJc w:val="center"/>
      <w:pPr>
        <w:tabs>
          <w:tab w:val="left" w:pos="0"/>
        </w:tabs>
        <w:ind w:left="0" w:firstLine="0"/>
      </w:pPr>
      <w:rPr>
        <w:rFonts w:hint="eastAsia" w:ascii="宋体" w:hAnsi="宋体" w:eastAsia="宋体" w:cs="宋体"/>
        <w:sz w:val="21"/>
      </w:rPr>
    </w:lvl>
    <w:lvl w:ilvl="7" w:tentative="0">
      <w:start w:val="1"/>
      <w:numFmt w:val="decimal"/>
      <w:lvlText w:val="%1.%2.%3.%4.%5.%6.%7.%8."/>
      <w:lvlJc w:val="left"/>
      <w:pPr>
        <w:tabs>
          <w:tab w:val="left" w:pos="420"/>
        </w:tabs>
        <w:ind w:left="1418" w:hanging="1418"/>
      </w:pPr>
      <w:rPr>
        <w:rFonts w:hint="eastAsia" w:ascii="宋体" w:hAnsi="宋体" w:eastAsia="宋体" w:cs="宋体"/>
      </w:rPr>
    </w:lvl>
    <w:lvl w:ilvl="8" w:tentative="0">
      <w:start w:val="1"/>
      <w:numFmt w:val="decimal"/>
      <w:lvlText w:val="%1.%2.%3.%4.%5.%6.%7.%8.%9."/>
      <w:lvlJc w:val="left"/>
      <w:pPr>
        <w:ind w:left="1558" w:hanging="1558"/>
      </w:pPr>
      <w:rPr>
        <w:rFonts w:hint="eastAsia"/>
      </w:rPr>
    </w:lvl>
  </w:abstractNum>
  <w:abstractNum w:abstractNumId="3">
    <w:nsid w:val="63A84639"/>
    <w:multiLevelType w:val="singleLevel"/>
    <w:tmpl w:val="63A84639"/>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wODY4NzlkYWQyZDA4ODliZTllYWI3NWY5MWIyYTAifQ=="/>
  </w:docVars>
  <w:rsids>
    <w:rsidRoot w:val="70C072DF"/>
    <w:rsid w:val="003B29D7"/>
    <w:rsid w:val="004E6A26"/>
    <w:rsid w:val="004F2974"/>
    <w:rsid w:val="007A048B"/>
    <w:rsid w:val="007A5B82"/>
    <w:rsid w:val="007C6A0E"/>
    <w:rsid w:val="007C6A60"/>
    <w:rsid w:val="007F6D44"/>
    <w:rsid w:val="008C5E75"/>
    <w:rsid w:val="008F01D6"/>
    <w:rsid w:val="009613AE"/>
    <w:rsid w:val="009E387E"/>
    <w:rsid w:val="00EC27C5"/>
    <w:rsid w:val="010F3B4F"/>
    <w:rsid w:val="0130202D"/>
    <w:rsid w:val="013C488E"/>
    <w:rsid w:val="015B09D1"/>
    <w:rsid w:val="01781D3C"/>
    <w:rsid w:val="017B1F22"/>
    <w:rsid w:val="017E4BC6"/>
    <w:rsid w:val="01983F4A"/>
    <w:rsid w:val="01997A12"/>
    <w:rsid w:val="01A70250"/>
    <w:rsid w:val="01AB56AD"/>
    <w:rsid w:val="01BF64E7"/>
    <w:rsid w:val="01C26331"/>
    <w:rsid w:val="01CC3898"/>
    <w:rsid w:val="01CD61E7"/>
    <w:rsid w:val="01D17056"/>
    <w:rsid w:val="01DF1CD2"/>
    <w:rsid w:val="01E531C7"/>
    <w:rsid w:val="01EA4E81"/>
    <w:rsid w:val="02024605"/>
    <w:rsid w:val="02073E83"/>
    <w:rsid w:val="020948C7"/>
    <w:rsid w:val="021428C3"/>
    <w:rsid w:val="022F7A07"/>
    <w:rsid w:val="02380E83"/>
    <w:rsid w:val="023E0E0E"/>
    <w:rsid w:val="024575EA"/>
    <w:rsid w:val="02870DA1"/>
    <w:rsid w:val="02B00B1D"/>
    <w:rsid w:val="02C77F03"/>
    <w:rsid w:val="02EC3966"/>
    <w:rsid w:val="02F0698F"/>
    <w:rsid w:val="02F565BF"/>
    <w:rsid w:val="0310629C"/>
    <w:rsid w:val="031721C9"/>
    <w:rsid w:val="031B2C7F"/>
    <w:rsid w:val="032D2244"/>
    <w:rsid w:val="032D4680"/>
    <w:rsid w:val="0333356F"/>
    <w:rsid w:val="03444DFD"/>
    <w:rsid w:val="034B06A1"/>
    <w:rsid w:val="03543E46"/>
    <w:rsid w:val="035D26F0"/>
    <w:rsid w:val="035F2367"/>
    <w:rsid w:val="03701B27"/>
    <w:rsid w:val="03791753"/>
    <w:rsid w:val="03963AA0"/>
    <w:rsid w:val="03A72616"/>
    <w:rsid w:val="03B15C72"/>
    <w:rsid w:val="03D22785"/>
    <w:rsid w:val="03D35F4A"/>
    <w:rsid w:val="04096297"/>
    <w:rsid w:val="040E6AE2"/>
    <w:rsid w:val="041062A1"/>
    <w:rsid w:val="04144AF9"/>
    <w:rsid w:val="042E28CE"/>
    <w:rsid w:val="04310277"/>
    <w:rsid w:val="0434557A"/>
    <w:rsid w:val="04361CBD"/>
    <w:rsid w:val="043628D7"/>
    <w:rsid w:val="04427E6B"/>
    <w:rsid w:val="04584B8C"/>
    <w:rsid w:val="04847BEF"/>
    <w:rsid w:val="048644E4"/>
    <w:rsid w:val="04866C21"/>
    <w:rsid w:val="04A41CBB"/>
    <w:rsid w:val="04BE1C36"/>
    <w:rsid w:val="04BF6ECA"/>
    <w:rsid w:val="04C74740"/>
    <w:rsid w:val="04CD39E4"/>
    <w:rsid w:val="04D109C8"/>
    <w:rsid w:val="04D53784"/>
    <w:rsid w:val="04DA180B"/>
    <w:rsid w:val="0524541B"/>
    <w:rsid w:val="052C4049"/>
    <w:rsid w:val="052D40C7"/>
    <w:rsid w:val="05440E00"/>
    <w:rsid w:val="0554337B"/>
    <w:rsid w:val="0571165A"/>
    <w:rsid w:val="05B1291D"/>
    <w:rsid w:val="06083934"/>
    <w:rsid w:val="06197A96"/>
    <w:rsid w:val="061B508D"/>
    <w:rsid w:val="062A4116"/>
    <w:rsid w:val="062A627F"/>
    <w:rsid w:val="062E3F53"/>
    <w:rsid w:val="064328C1"/>
    <w:rsid w:val="0659211F"/>
    <w:rsid w:val="065A00EC"/>
    <w:rsid w:val="066D2FE7"/>
    <w:rsid w:val="06AF1B3D"/>
    <w:rsid w:val="06DA652A"/>
    <w:rsid w:val="06E06F1E"/>
    <w:rsid w:val="06F103EA"/>
    <w:rsid w:val="06F74957"/>
    <w:rsid w:val="070438CA"/>
    <w:rsid w:val="070E3451"/>
    <w:rsid w:val="071E0B0D"/>
    <w:rsid w:val="072810B7"/>
    <w:rsid w:val="07316351"/>
    <w:rsid w:val="073B7344"/>
    <w:rsid w:val="074A3486"/>
    <w:rsid w:val="074E46E5"/>
    <w:rsid w:val="07504551"/>
    <w:rsid w:val="076071A2"/>
    <w:rsid w:val="07684412"/>
    <w:rsid w:val="07804ACA"/>
    <w:rsid w:val="07BB5ED1"/>
    <w:rsid w:val="07DC73BA"/>
    <w:rsid w:val="082F3398"/>
    <w:rsid w:val="08314E8C"/>
    <w:rsid w:val="08442D89"/>
    <w:rsid w:val="086573CC"/>
    <w:rsid w:val="08796A6E"/>
    <w:rsid w:val="0881510D"/>
    <w:rsid w:val="089C423A"/>
    <w:rsid w:val="089F6D4A"/>
    <w:rsid w:val="08A52590"/>
    <w:rsid w:val="08B57D52"/>
    <w:rsid w:val="08C21F0A"/>
    <w:rsid w:val="08CA7EC1"/>
    <w:rsid w:val="08CE4D4C"/>
    <w:rsid w:val="08D82012"/>
    <w:rsid w:val="08E75A69"/>
    <w:rsid w:val="08FD2E52"/>
    <w:rsid w:val="090637E0"/>
    <w:rsid w:val="09344406"/>
    <w:rsid w:val="09470C0F"/>
    <w:rsid w:val="094D1D96"/>
    <w:rsid w:val="095D1038"/>
    <w:rsid w:val="095D707E"/>
    <w:rsid w:val="09621342"/>
    <w:rsid w:val="09643AA2"/>
    <w:rsid w:val="09693ED7"/>
    <w:rsid w:val="09694DEE"/>
    <w:rsid w:val="097F122F"/>
    <w:rsid w:val="09803CC6"/>
    <w:rsid w:val="098307F8"/>
    <w:rsid w:val="09C9771A"/>
    <w:rsid w:val="09CD29F0"/>
    <w:rsid w:val="09D004DE"/>
    <w:rsid w:val="09D44C26"/>
    <w:rsid w:val="09E162A4"/>
    <w:rsid w:val="09F87452"/>
    <w:rsid w:val="09F87ECE"/>
    <w:rsid w:val="09FE1C30"/>
    <w:rsid w:val="09FF5874"/>
    <w:rsid w:val="0A201C15"/>
    <w:rsid w:val="0A3730E6"/>
    <w:rsid w:val="0A3C7ED1"/>
    <w:rsid w:val="0A4A614B"/>
    <w:rsid w:val="0A5462DA"/>
    <w:rsid w:val="0A5639A1"/>
    <w:rsid w:val="0A6358DF"/>
    <w:rsid w:val="0A6811CC"/>
    <w:rsid w:val="0A8C7F0D"/>
    <w:rsid w:val="0A920774"/>
    <w:rsid w:val="0AC11DA1"/>
    <w:rsid w:val="0AD50FCD"/>
    <w:rsid w:val="0AE6642C"/>
    <w:rsid w:val="0AEC3AE2"/>
    <w:rsid w:val="0AF147AE"/>
    <w:rsid w:val="0AF3601D"/>
    <w:rsid w:val="0AFD1B35"/>
    <w:rsid w:val="0AFE022A"/>
    <w:rsid w:val="0B1B3A45"/>
    <w:rsid w:val="0B1F775F"/>
    <w:rsid w:val="0B3F0007"/>
    <w:rsid w:val="0B435FC5"/>
    <w:rsid w:val="0B606B49"/>
    <w:rsid w:val="0B612A67"/>
    <w:rsid w:val="0B75338B"/>
    <w:rsid w:val="0B9422AA"/>
    <w:rsid w:val="0BCF03E6"/>
    <w:rsid w:val="0BE5202E"/>
    <w:rsid w:val="0BE56302"/>
    <w:rsid w:val="0BF445AA"/>
    <w:rsid w:val="0C1600CD"/>
    <w:rsid w:val="0C183F25"/>
    <w:rsid w:val="0C3920C9"/>
    <w:rsid w:val="0C464B57"/>
    <w:rsid w:val="0C4820C8"/>
    <w:rsid w:val="0C537AF9"/>
    <w:rsid w:val="0C630F5D"/>
    <w:rsid w:val="0C666EE8"/>
    <w:rsid w:val="0C6A5818"/>
    <w:rsid w:val="0C71051B"/>
    <w:rsid w:val="0C7C707C"/>
    <w:rsid w:val="0C8D4E4E"/>
    <w:rsid w:val="0C96366B"/>
    <w:rsid w:val="0CAB3105"/>
    <w:rsid w:val="0CC840F1"/>
    <w:rsid w:val="0CDB0415"/>
    <w:rsid w:val="0CE32705"/>
    <w:rsid w:val="0CF62067"/>
    <w:rsid w:val="0CFE5C28"/>
    <w:rsid w:val="0D1347C9"/>
    <w:rsid w:val="0D1433B4"/>
    <w:rsid w:val="0D1E6B59"/>
    <w:rsid w:val="0D395546"/>
    <w:rsid w:val="0D491F36"/>
    <w:rsid w:val="0D545856"/>
    <w:rsid w:val="0D562138"/>
    <w:rsid w:val="0D8C4BF5"/>
    <w:rsid w:val="0D934BA5"/>
    <w:rsid w:val="0D9E0052"/>
    <w:rsid w:val="0DA04D1D"/>
    <w:rsid w:val="0DA47C15"/>
    <w:rsid w:val="0DB50173"/>
    <w:rsid w:val="0DBF34D9"/>
    <w:rsid w:val="0DCB5759"/>
    <w:rsid w:val="0DD222FB"/>
    <w:rsid w:val="0DDA20CD"/>
    <w:rsid w:val="0DF31625"/>
    <w:rsid w:val="0E017799"/>
    <w:rsid w:val="0E0758E8"/>
    <w:rsid w:val="0E381922"/>
    <w:rsid w:val="0E3B4019"/>
    <w:rsid w:val="0E454AA4"/>
    <w:rsid w:val="0E5A5ECE"/>
    <w:rsid w:val="0E5C4439"/>
    <w:rsid w:val="0E637C83"/>
    <w:rsid w:val="0E785E2F"/>
    <w:rsid w:val="0E7C2FF5"/>
    <w:rsid w:val="0E846C05"/>
    <w:rsid w:val="0E865F2D"/>
    <w:rsid w:val="0E9702A7"/>
    <w:rsid w:val="0EA7153E"/>
    <w:rsid w:val="0EFD5D55"/>
    <w:rsid w:val="0F086ECC"/>
    <w:rsid w:val="0F200BA5"/>
    <w:rsid w:val="0F317386"/>
    <w:rsid w:val="0F385EAE"/>
    <w:rsid w:val="0F3A6504"/>
    <w:rsid w:val="0F3E73CB"/>
    <w:rsid w:val="0F491466"/>
    <w:rsid w:val="0F4F66F5"/>
    <w:rsid w:val="0F534827"/>
    <w:rsid w:val="0F750904"/>
    <w:rsid w:val="0F8029A7"/>
    <w:rsid w:val="0F847472"/>
    <w:rsid w:val="0FB20B0E"/>
    <w:rsid w:val="0FB35AD6"/>
    <w:rsid w:val="0FE21FC0"/>
    <w:rsid w:val="0FE24C18"/>
    <w:rsid w:val="0FED14FF"/>
    <w:rsid w:val="100145BA"/>
    <w:rsid w:val="10027803"/>
    <w:rsid w:val="100B3A49"/>
    <w:rsid w:val="100F7EC2"/>
    <w:rsid w:val="1014559D"/>
    <w:rsid w:val="1016241F"/>
    <w:rsid w:val="10240C99"/>
    <w:rsid w:val="105570A4"/>
    <w:rsid w:val="106D30A7"/>
    <w:rsid w:val="10704A9C"/>
    <w:rsid w:val="10880902"/>
    <w:rsid w:val="109F4779"/>
    <w:rsid w:val="10AC27E6"/>
    <w:rsid w:val="10B61973"/>
    <w:rsid w:val="10B92C9E"/>
    <w:rsid w:val="10E05B62"/>
    <w:rsid w:val="10F73F6D"/>
    <w:rsid w:val="11641A0B"/>
    <w:rsid w:val="116A25C6"/>
    <w:rsid w:val="116F168B"/>
    <w:rsid w:val="11917A49"/>
    <w:rsid w:val="11C64A1E"/>
    <w:rsid w:val="11C7664A"/>
    <w:rsid w:val="11CE2299"/>
    <w:rsid w:val="11CE785D"/>
    <w:rsid w:val="11E265C8"/>
    <w:rsid w:val="11F241B5"/>
    <w:rsid w:val="11FE1BC3"/>
    <w:rsid w:val="120257B9"/>
    <w:rsid w:val="120B344E"/>
    <w:rsid w:val="12185214"/>
    <w:rsid w:val="121B67E3"/>
    <w:rsid w:val="12302510"/>
    <w:rsid w:val="123F24B6"/>
    <w:rsid w:val="123F2B38"/>
    <w:rsid w:val="124103AD"/>
    <w:rsid w:val="126455E1"/>
    <w:rsid w:val="126C55E0"/>
    <w:rsid w:val="12880D67"/>
    <w:rsid w:val="128A2D8D"/>
    <w:rsid w:val="12BC0080"/>
    <w:rsid w:val="12D3520E"/>
    <w:rsid w:val="12D52957"/>
    <w:rsid w:val="12D702DC"/>
    <w:rsid w:val="12DE3450"/>
    <w:rsid w:val="12FC28AF"/>
    <w:rsid w:val="131071EC"/>
    <w:rsid w:val="131B5CEA"/>
    <w:rsid w:val="134573D7"/>
    <w:rsid w:val="13754789"/>
    <w:rsid w:val="137548DD"/>
    <w:rsid w:val="137B62EE"/>
    <w:rsid w:val="137C16CC"/>
    <w:rsid w:val="1384164C"/>
    <w:rsid w:val="13865216"/>
    <w:rsid w:val="138947D5"/>
    <w:rsid w:val="13942B57"/>
    <w:rsid w:val="139905F4"/>
    <w:rsid w:val="139F119B"/>
    <w:rsid w:val="13A02B44"/>
    <w:rsid w:val="13A15937"/>
    <w:rsid w:val="13AB01C8"/>
    <w:rsid w:val="13C4349E"/>
    <w:rsid w:val="13CD0406"/>
    <w:rsid w:val="13DE755B"/>
    <w:rsid w:val="13EE4BAE"/>
    <w:rsid w:val="13F55B02"/>
    <w:rsid w:val="14131ED2"/>
    <w:rsid w:val="141410C7"/>
    <w:rsid w:val="14164C3D"/>
    <w:rsid w:val="142017A8"/>
    <w:rsid w:val="144201B5"/>
    <w:rsid w:val="14425CF9"/>
    <w:rsid w:val="14526F92"/>
    <w:rsid w:val="146B3C76"/>
    <w:rsid w:val="14772C03"/>
    <w:rsid w:val="14BE093C"/>
    <w:rsid w:val="14BF5E4E"/>
    <w:rsid w:val="15190370"/>
    <w:rsid w:val="152F32A7"/>
    <w:rsid w:val="15325F73"/>
    <w:rsid w:val="154E799C"/>
    <w:rsid w:val="15617392"/>
    <w:rsid w:val="156751B5"/>
    <w:rsid w:val="15724254"/>
    <w:rsid w:val="158028EF"/>
    <w:rsid w:val="15805AFB"/>
    <w:rsid w:val="15870498"/>
    <w:rsid w:val="158E7323"/>
    <w:rsid w:val="159028C3"/>
    <w:rsid w:val="159C7B7A"/>
    <w:rsid w:val="159D39B2"/>
    <w:rsid w:val="15A14246"/>
    <w:rsid w:val="15F344B9"/>
    <w:rsid w:val="15F42994"/>
    <w:rsid w:val="15FE0E43"/>
    <w:rsid w:val="160548EB"/>
    <w:rsid w:val="161F5422"/>
    <w:rsid w:val="16241D54"/>
    <w:rsid w:val="162A437D"/>
    <w:rsid w:val="162A7F87"/>
    <w:rsid w:val="162D6677"/>
    <w:rsid w:val="16370B43"/>
    <w:rsid w:val="163B3F82"/>
    <w:rsid w:val="1659754A"/>
    <w:rsid w:val="16744B61"/>
    <w:rsid w:val="16796F40"/>
    <w:rsid w:val="168E092F"/>
    <w:rsid w:val="16973125"/>
    <w:rsid w:val="169A52C3"/>
    <w:rsid w:val="16A2763D"/>
    <w:rsid w:val="16AF794A"/>
    <w:rsid w:val="16CB6312"/>
    <w:rsid w:val="16EE0651"/>
    <w:rsid w:val="16F15647"/>
    <w:rsid w:val="17157AD6"/>
    <w:rsid w:val="172D7238"/>
    <w:rsid w:val="173B2460"/>
    <w:rsid w:val="173B28CC"/>
    <w:rsid w:val="17532217"/>
    <w:rsid w:val="177525DB"/>
    <w:rsid w:val="177A1028"/>
    <w:rsid w:val="177D02CF"/>
    <w:rsid w:val="179347B7"/>
    <w:rsid w:val="179B1A70"/>
    <w:rsid w:val="17C32E6E"/>
    <w:rsid w:val="17CC4404"/>
    <w:rsid w:val="17CD5897"/>
    <w:rsid w:val="17DD6E92"/>
    <w:rsid w:val="17DE2139"/>
    <w:rsid w:val="17E0757B"/>
    <w:rsid w:val="17ED6297"/>
    <w:rsid w:val="17F376A2"/>
    <w:rsid w:val="17F44A9D"/>
    <w:rsid w:val="180A2C18"/>
    <w:rsid w:val="180B437A"/>
    <w:rsid w:val="1822344C"/>
    <w:rsid w:val="182E7D99"/>
    <w:rsid w:val="18650404"/>
    <w:rsid w:val="18694BA3"/>
    <w:rsid w:val="1875452B"/>
    <w:rsid w:val="187B4DE9"/>
    <w:rsid w:val="1896720F"/>
    <w:rsid w:val="18A13F9F"/>
    <w:rsid w:val="18A81EA5"/>
    <w:rsid w:val="18BB29A0"/>
    <w:rsid w:val="18E01740"/>
    <w:rsid w:val="18F80C08"/>
    <w:rsid w:val="190626C0"/>
    <w:rsid w:val="1908724B"/>
    <w:rsid w:val="19087264"/>
    <w:rsid w:val="19265074"/>
    <w:rsid w:val="19547081"/>
    <w:rsid w:val="19634946"/>
    <w:rsid w:val="19C05ED6"/>
    <w:rsid w:val="19C86728"/>
    <w:rsid w:val="19E3709D"/>
    <w:rsid w:val="19F27427"/>
    <w:rsid w:val="19F62DB4"/>
    <w:rsid w:val="1A1919AC"/>
    <w:rsid w:val="1A1F77AE"/>
    <w:rsid w:val="1A7848DD"/>
    <w:rsid w:val="1A9C5209"/>
    <w:rsid w:val="1AC27DBD"/>
    <w:rsid w:val="1AC33C02"/>
    <w:rsid w:val="1AC4759E"/>
    <w:rsid w:val="1AD27F8C"/>
    <w:rsid w:val="1AE4673C"/>
    <w:rsid w:val="1AE54F7D"/>
    <w:rsid w:val="1AF66FA6"/>
    <w:rsid w:val="1AF902F7"/>
    <w:rsid w:val="1B2642E7"/>
    <w:rsid w:val="1B453A4B"/>
    <w:rsid w:val="1B51784A"/>
    <w:rsid w:val="1B5D4240"/>
    <w:rsid w:val="1B7D6E27"/>
    <w:rsid w:val="1B7E496B"/>
    <w:rsid w:val="1BA96C99"/>
    <w:rsid w:val="1BAC64A0"/>
    <w:rsid w:val="1BAE471C"/>
    <w:rsid w:val="1BED00B1"/>
    <w:rsid w:val="1C3438CB"/>
    <w:rsid w:val="1C372819"/>
    <w:rsid w:val="1C3B617B"/>
    <w:rsid w:val="1C4E0B38"/>
    <w:rsid w:val="1C5760A7"/>
    <w:rsid w:val="1C7F2875"/>
    <w:rsid w:val="1C821221"/>
    <w:rsid w:val="1C8D4BF0"/>
    <w:rsid w:val="1C915908"/>
    <w:rsid w:val="1C986D78"/>
    <w:rsid w:val="1C9F0025"/>
    <w:rsid w:val="1CAF352F"/>
    <w:rsid w:val="1CD6638E"/>
    <w:rsid w:val="1CE16015"/>
    <w:rsid w:val="1CE4509E"/>
    <w:rsid w:val="1CEE5495"/>
    <w:rsid w:val="1D0131D6"/>
    <w:rsid w:val="1D147C3C"/>
    <w:rsid w:val="1D215B33"/>
    <w:rsid w:val="1D2E5DBC"/>
    <w:rsid w:val="1D313726"/>
    <w:rsid w:val="1D3E7523"/>
    <w:rsid w:val="1D5559AC"/>
    <w:rsid w:val="1D721E4D"/>
    <w:rsid w:val="1D7B3113"/>
    <w:rsid w:val="1D903820"/>
    <w:rsid w:val="1D950ACC"/>
    <w:rsid w:val="1DA87555"/>
    <w:rsid w:val="1DAA2524"/>
    <w:rsid w:val="1DB27F42"/>
    <w:rsid w:val="1DBB05FA"/>
    <w:rsid w:val="1DBB1E87"/>
    <w:rsid w:val="1DE14097"/>
    <w:rsid w:val="1DF3407A"/>
    <w:rsid w:val="1DFF4FC5"/>
    <w:rsid w:val="1E095E00"/>
    <w:rsid w:val="1E0C2AA2"/>
    <w:rsid w:val="1E105ED6"/>
    <w:rsid w:val="1E404269"/>
    <w:rsid w:val="1E66464C"/>
    <w:rsid w:val="1E677411"/>
    <w:rsid w:val="1E7B206D"/>
    <w:rsid w:val="1E856B32"/>
    <w:rsid w:val="1E93373D"/>
    <w:rsid w:val="1E9B2A6E"/>
    <w:rsid w:val="1EEB6DE5"/>
    <w:rsid w:val="1F097D9B"/>
    <w:rsid w:val="1F2745B1"/>
    <w:rsid w:val="1F4579C6"/>
    <w:rsid w:val="1F612934"/>
    <w:rsid w:val="1F622B50"/>
    <w:rsid w:val="1F6C3B61"/>
    <w:rsid w:val="1F705BCF"/>
    <w:rsid w:val="1F7C3DC6"/>
    <w:rsid w:val="1F823A4E"/>
    <w:rsid w:val="1F830826"/>
    <w:rsid w:val="1F946AF0"/>
    <w:rsid w:val="1FA84B98"/>
    <w:rsid w:val="1FAA5F0C"/>
    <w:rsid w:val="1FB55C8F"/>
    <w:rsid w:val="1FB57B5F"/>
    <w:rsid w:val="1FB76759"/>
    <w:rsid w:val="1FE072E8"/>
    <w:rsid w:val="1FE62A8C"/>
    <w:rsid w:val="1FFD1E4E"/>
    <w:rsid w:val="1FFE3AFC"/>
    <w:rsid w:val="200A1A89"/>
    <w:rsid w:val="201E42F2"/>
    <w:rsid w:val="203408A9"/>
    <w:rsid w:val="203472FD"/>
    <w:rsid w:val="2038380C"/>
    <w:rsid w:val="203A5829"/>
    <w:rsid w:val="20432B49"/>
    <w:rsid w:val="20436F19"/>
    <w:rsid w:val="204A31E3"/>
    <w:rsid w:val="204D4D20"/>
    <w:rsid w:val="20520518"/>
    <w:rsid w:val="20554159"/>
    <w:rsid w:val="205707E8"/>
    <w:rsid w:val="20684F8D"/>
    <w:rsid w:val="207150E2"/>
    <w:rsid w:val="20744161"/>
    <w:rsid w:val="207B0755"/>
    <w:rsid w:val="207F470B"/>
    <w:rsid w:val="20832012"/>
    <w:rsid w:val="209216FB"/>
    <w:rsid w:val="209C10CC"/>
    <w:rsid w:val="209E1461"/>
    <w:rsid w:val="20A951E7"/>
    <w:rsid w:val="20AD6251"/>
    <w:rsid w:val="20B678B3"/>
    <w:rsid w:val="20B704B1"/>
    <w:rsid w:val="20BB1F7C"/>
    <w:rsid w:val="20C1373E"/>
    <w:rsid w:val="20C72311"/>
    <w:rsid w:val="20D45368"/>
    <w:rsid w:val="20D71AF6"/>
    <w:rsid w:val="20DA4E93"/>
    <w:rsid w:val="20DC4C86"/>
    <w:rsid w:val="20E65546"/>
    <w:rsid w:val="2107723C"/>
    <w:rsid w:val="210E6FAB"/>
    <w:rsid w:val="21182154"/>
    <w:rsid w:val="211C3B61"/>
    <w:rsid w:val="212A1F25"/>
    <w:rsid w:val="212E10AB"/>
    <w:rsid w:val="213B1589"/>
    <w:rsid w:val="214227F2"/>
    <w:rsid w:val="216E1000"/>
    <w:rsid w:val="21704E8D"/>
    <w:rsid w:val="21752688"/>
    <w:rsid w:val="21760603"/>
    <w:rsid w:val="218E5A61"/>
    <w:rsid w:val="219B19EF"/>
    <w:rsid w:val="21A135BD"/>
    <w:rsid w:val="21A81C38"/>
    <w:rsid w:val="21EE7C5C"/>
    <w:rsid w:val="22061F6D"/>
    <w:rsid w:val="223B484A"/>
    <w:rsid w:val="223E6428"/>
    <w:rsid w:val="223F36FD"/>
    <w:rsid w:val="224B67CE"/>
    <w:rsid w:val="224F0F28"/>
    <w:rsid w:val="225D485C"/>
    <w:rsid w:val="227B2A6C"/>
    <w:rsid w:val="228D0920"/>
    <w:rsid w:val="22902940"/>
    <w:rsid w:val="22924FA0"/>
    <w:rsid w:val="2294500C"/>
    <w:rsid w:val="22A808FD"/>
    <w:rsid w:val="22BF7717"/>
    <w:rsid w:val="22C578F4"/>
    <w:rsid w:val="22CC574F"/>
    <w:rsid w:val="22E24AA5"/>
    <w:rsid w:val="231436E2"/>
    <w:rsid w:val="23352016"/>
    <w:rsid w:val="233E4166"/>
    <w:rsid w:val="23891832"/>
    <w:rsid w:val="238F0B58"/>
    <w:rsid w:val="23902379"/>
    <w:rsid w:val="239B2DC6"/>
    <w:rsid w:val="23B85926"/>
    <w:rsid w:val="23D74C27"/>
    <w:rsid w:val="23F25038"/>
    <w:rsid w:val="24140FBA"/>
    <w:rsid w:val="24167792"/>
    <w:rsid w:val="241812B2"/>
    <w:rsid w:val="24294678"/>
    <w:rsid w:val="24323B53"/>
    <w:rsid w:val="244877C7"/>
    <w:rsid w:val="246748F4"/>
    <w:rsid w:val="24690A1B"/>
    <w:rsid w:val="24697F45"/>
    <w:rsid w:val="24822FFA"/>
    <w:rsid w:val="249E4ED3"/>
    <w:rsid w:val="24A14BA5"/>
    <w:rsid w:val="24BD3089"/>
    <w:rsid w:val="24CC4DE7"/>
    <w:rsid w:val="24DE5953"/>
    <w:rsid w:val="24ED2DA2"/>
    <w:rsid w:val="24FD4361"/>
    <w:rsid w:val="24FE5A74"/>
    <w:rsid w:val="250F1AC0"/>
    <w:rsid w:val="25125AAB"/>
    <w:rsid w:val="25170913"/>
    <w:rsid w:val="251C302F"/>
    <w:rsid w:val="252D6129"/>
    <w:rsid w:val="252E327E"/>
    <w:rsid w:val="252F0402"/>
    <w:rsid w:val="253D0FD6"/>
    <w:rsid w:val="254A39AA"/>
    <w:rsid w:val="254E45B4"/>
    <w:rsid w:val="25697422"/>
    <w:rsid w:val="257011C1"/>
    <w:rsid w:val="258A7C30"/>
    <w:rsid w:val="25926D8C"/>
    <w:rsid w:val="25DB0B28"/>
    <w:rsid w:val="25EC7137"/>
    <w:rsid w:val="25F02B78"/>
    <w:rsid w:val="25FA078F"/>
    <w:rsid w:val="26000FF7"/>
    <w:rsid w:val="26107FF6"/>
    <w:rsid w:val="2625042B"/>
    <w:rsid w:val="263763EC"/>
    <w:rsid w:val="264803D1"/>
    <w:rsid w:val="265768AB"/>
    <w:rsid w:val="26582CCB"/>
    <w:rsid w:val="265F313E"/>
    <w:rsid w:val="26616540"/>
    <w:rsid w:val="2666622C"/>
    <w:rsid w:val="266D0FD7"/>
    <w:rsid w:val="26895504"/>
    <w:rsid w:val="268E0574"/>
    <w:rsid w:val="26B02E2F"/>
    <w:rsid w:val="26BF4F8F"/>
    <w:rsid w:val="26C55365"/>
    <w:rsid w:val="2713324B"/>
    <w:rsid w:val="27236FA9"/>
    <w:rsid w:val="2726419F"/>
    <w:rsid w:val="276B428C"/>
    <w:rsid w:val="276B466B"/>
    <w:rsid w:val="27855196"/>
    <w:rsid w:val="27971D08"/>
    <w:rsid w:val="279C4854"/>
    <w:rsid w:val="27AB04F5"/>
    <w:rsid w:val="27B437FD"/>
    <w:rsid w:val="27CB11DA"/>
    <w:rsid w:val="27E549A4"/>
    <w:rsid w:val="27F63A5F"/>
    <w:rsid w:val="283A49AF"/>
    <w:rsid w:val="2859582E"/>
    <w:rsid w:val="28706230"/>
    <w:rsid w:val="2882067D"/>
    <w:rsid w:val="2897327F"/>
    <w:rsid w:val="28B22524"/>
    <w:rsid w:val="28B36925"/>
    <w:rsid w:val="28DD46C8"/>
    <w:rsid w:val="290F1654"/>
    <w:rsid w:val="292D14D3"/>
    <w:rsid w:val="293D522B"/>
    <w:rsid w:val="293E0AF6"/>
    <w:rsid w:val="2942199D"/>
    <w:rsid w:val="29556C92"/>
    <w:rsid w:val="295F5B4D"/>
    <w:rsid w:val="296256FE"/>
    <w:rsid w:val="29631CE4"/>
    <w:rsid w:val="29673545"/>
    <w:rsid w:val="296B0369"/>
    <w:rsid w:val="2973779E"/>
    <w:rsid w:val="297757D2"/>
    <w:rsid w:val="29833952"/>
    <w:rsid w:val="29956933"/>
    <w:rsid w:val="29A202DA"/>
    <w:rsid w:val="29A6415B"/>
    <w:rsid w:val="29D96321"/>
    <w:rsid w:val="29E4152A"/>
    <w:rsid w:val="29FA61B7"/>
    <w:rsid w:val="2A00293B"/>
    <w:rsid w:val="2A23578E"/>
    <w:rsid w:val="2A36189D"/>
    <w:rsid w:val="2A3F20FF"/>
    <w:rsid w:val="2A4433F5"/>
    <w:rsid w:val="2A48703F"/>
    <w:rsid w:val="2A4B7774"/>
    <w:rsid w:val="2A7E4919"/>
    <w:rsid w:val="2A8B304F"/>
    <w:rsid w:val="2A9E0664"/>
    <w:rsid w:val="2AA22664"/>
    <w:rsid w:val="2AAF3B29"/>
    <w:rsid w:val="2AD614D8"/>
    <w:rsid w:val="2AD77AC8"/>
    <w:rsid w:val="2AD94568"/>
    <w:rsid w:val="2AD96B38"/>
    <w:rsid w:val="2AEC192B"/>
    <w:rsid w:val="2AFB6660"/>
    <w:rsid w:val="2B025A56"/>
    <w:rsid w:val="2B0D36F2"/>
    <w:rsid w:val="2B20072F"/>
    <w:rsid w:val="2B27265A"/>
    <w:rsid w:val="2B337A43"/>
    <w:rsid w:val="2B351C87"/>
    <w:rsid w:val="2B643882"/>
    <w:rsid w:val="2BAC2D9B"/>
    <w:rsid w:val="2BBA7AA0"/>
    <w:rsid w:val="2BD41585"/>
    <w:rsid w:val="2BD94622"/>
    <w:rsid w:val="2BEF4305"/>
    <w:rsid w:val="2BF501B5"/>
    <w:rsid w:val="2C0A53FC"/>
    <w:rsid w:val="2C1B40B9"/>
    <w:rsid w:val="2C2B4E88"/>
    <w:rsid w:val="2C3D23EB"/>
    <w:rsid w:val="2C5741A9"/>
    <w:rsid w:val="2C665F1D"/>
    <w:rsid w:val="2C6B0EB6"/>
    <w:rsid w:val="2C726068"/>
    <w:rsid w:val="2C882B2F"/>
    <w:rsid w:val="2C8849D2"/>
    <w:rsid w:val="2CD152FD"/>
    <w:rsid w:val="2CEA194F"/>
    <w:rsid w:val="2CFE4BC7"/>
    <w:rsid w:val="2D0225BC"/>
    <w:rsid w:val="2D0F076F"/>
    <w:rsid w:val="2D3E2F42"/>
    <w:rsid w:val="2D4C7487"/>
    <w:rsid w:val="2D5D0EF4"/>
    <w:rsid w:val="2D692503"/>
    <w:rsid w:val="2D6B5E09"/>
    <w:rsid w:val="2D7129AB"/>
    <w:rsid w:val="2D74510F"/>
    <w:rsid w:val="2D822CB5"/>
    <w:rsid w:val="2DAC1986"/>
    <w:rsid w:val="2DDB0EA1"/>
    <w:rsid w:val="2DDC5B91"/>
    <w:rsid w:val="2DF80F67"/>
    <w:rsid w:val="2DF83201"/>
    <w:rsid w:val="2DFE695E"/>
    <w:rsid w:val="2E0676FB"/>
    <w:rsid w:val="2E094853"/>
    <w:rsid w:val="2E1A1EFB"/>
    <w:rsid w:val="2E3B2D81"/>
    <w:rsid w:val="2E3F6F72"/>
    <w:rsid w:val="2E4C602E"/>
    <w:rsid w:val="2E5E593C"/>
    <w:rsid w:val="2E6010DB"/>
    <w:rsid w:val="2E672A53"/>
    <w:rsid w:val="2E81258D"/>
    <w:rsid w:val="2E867105"/>
    <w:rsid w:val="2E8B7CF2"/>
    <w:rsid w:val="2E9F76B9"/>
    <w:rsid w:val="2EA03F09"/>
    <w:rsid w:val="2EB769C0"/>
    <w:rsid w:val="2EB80B71"/>
    <w:rsid w:val="2EC17817"/>
    <w:rsid w:val="2ECB49E3"/>
    <w:rsid w:val="2ECE213F"/>
    <w:rsid w:val="2EE1349E"/>
    <w:rsid w:val="2EE455F4"/>
    <w:rsid w:val="2EFE6E57"/>
    <w:rsid w:val="2F116330"/>
    <w:rsid w:val="2F3A1589"/>
    <w:rsid w:val="2F706B21"/>
    <w:rsid w:val="2F9175DE"/>
    <w:rsid w:val="2F9335EF"/>
    <w:rsid w:val="2FA95E04"/>
    <w:rsid w:val="2FAA26D7"/>
    <w:rsid w:val="2FB7295A"/>
    <w:rsid w:val="2FCB75EC"/>
    <w:rsid w:val="2FE75B13"/>
    <w:rsid w:val="2FEE2AB7"/>
    <w:rsid w:val="300256B0"/>
    <w:rsid w:val="300E3F39"/>
    <w:rsid w:val="302E3742"/>
    <w:rsid w:val="303F4025"/>
    <w:rsid w:val="303F65A5"/>
    <w:rsid w:val="304A3195"/>
    <w:rsid w:val="30572840"/>
    <w:rsid w:val="306955CD"/>
    <w:rsid w:val="30821CA8"/>
    <w:rsid w:val="30886E28"/>
    <w:rsid w:val="30A274CC"/>
    <w:rsid w:val="30B944A7"/>
    <w:rsid w:val="30CF530C"/>
    <w:rsid w:val="30EF3FA3"/>
    <w:rsid w:val="30FF4CBE"/>
    <w:rsid w:val="310A4BC5"/>
    <w:rsid w:val="311636F5"/>
    <w:rsid w:val="312E3ECA"/>
    <w:rsid w:val="312F0B30"/>
    <w:rsid w:val="3149511C"/>
    <w:rsid w:val="314A6602"/>
    <w:rsid w:val="314B2CC0"/>
    <w:rsid w:val="317F0D74"/>
    <w:rsid w:val="31852832"/>
    <w:rsid w:val="31A47534"/>
    <w:rsid w:val="31AC3F7C"/>
    <w:rsid w:val="31BE4652"/>
    <w:rsid w:val="31C138CE"/>
    <w:rsid w:val="31C86D3F"/>
    <w:rsid w:val="31D3442B"/>
    <w:rsid w:val="31E0155B"/>
    <w:rsid w:val="32080D01"/>
    <w:rsid w:val="321444D2"/>
    <w:rsid w:val="321D6941"/>
    <w:rsid w:val="32456F1F"/>
    <w:rsid w:val="324D08CC"/>
    <w:rsid w:val="32576BEC"/>
    <w:rsid w:val="32700042"/>
    <w:rsid w:val="327A50D0"/>
    <w:rsid w:val="3287545E"/>
    <w:rsid w:val="329F4D36"/>
    <w:rsid w:val="32A620BE"/>
    <w:rsid w:val="32A70078"/>
    <w:rsid w:val="32B2796C"/>
    <w:rsid w:val="32BD5A26"/>
    <w:rsid w:val="32E609CD"/>
    <w:rsid w:val="32F01853"/>
    <w:rsid w:val="32F778A8"/>
    <w:rsid w:val="33131498"/>
    <w:rsid w:val="331323E8"/>
    <w:rsid w:val="332410FC"/>
    <w:rsid w:val="332A102B"/>
    <w:rsid w:val="335C6B0B"/>
    <w:rsid w:val="33735D51"/>
    <w:rsid w:val="33956942"/>
    <w:rsid w:val="33B343A5"/>
    <w:rsid w:val="33BC16FA"/>
    <w:rsid w:val="33C242B3"/>
    <w:rsid w:val="33CF2395"/>
    <w:rsid w:val="33D7556C"/>
    <w:rsid w:val="33E621BC"/>
    <w:rsid w:val="33EE3584"/>
    <w:rsid w:val="33F06186"/>
    <w:rsid w:val="33FE1FCC"/>
    <w:rsid w:val="34085961"/>
    <w:rsid w:val="3410208A"/>
    <w:rsid w:val="341503A0"/>
    <w:rsid w:val="34196184"/>
    <w:rsid w:val="34236772"/>
    <w:rsid w:val="3423702D"/>
    <w:rsid w:val="342D55EF"/>
    <w:rsid w:val="34354D44"/>
    <w:rsid w:val="34386E58"/>
    <w:rsid w:val="346420E3"/>
    <w:rsid w:val="34657707"/>
    <w:rsid w:val="34683DE0"/>
    <w:rsid w:val="346E0B44"/>
    <w:rsid w:val="346E2D63"/>
    <w:rsid w:val="348F0C9F"/>
    <w:rsid w:val="34901042"/>
    <w:rsid w:val="34CC6105"/>
    <w:rsid w:val="34E6379E"/>
    <w:rsid w:val="34E63992"/>
    <w:rsid w:val="34F327DB"/>
    <w:rsid w:val="34F41443"/>
    <w:rsid w:val="35141A67"/>
    <w:rsid w:val="35223F28"/>
    <w:rsid w:val="354C7E2F"/>
    <w:rsid w:val="355056CF"/>
    <w:rsid w:val="355376D8"/>
    <w:rsid w:val="35602DC6"/>
    <w:rsid w:val="35701134"/>
    <w:rsid w:val="35A31BDC"/>
    <w:rsid w:val="35AD26CB"/>
    <w:rsid w:val="35CF4CE4"/>
    <w:rsid w:val="35DC4006"/>
    <w:rsid w:val="35E05D71"/>
    <w:rsid w:val="35F27DF5"/>
    <w:rsid w:val="35F46787"/>
    <w:rsid w:val="36045D5D"/>
    <w:rsid w:val="362B0398"/>
    <w:rsid w:val="363D4041"/>
    <w:rsid w:val="36474277"/>
    <w:rsid w:val="365767DE"/>
    <w:rsid w:val="367C48B3"/>
    <w:rsid w:val="368B1959"/>
    <w:rsid w:val="3698069D"/>
    <w:rsid w:val="36B32839"/>
    <w:rsid w:val="36F30B97"/>
    <w:rsid w:val="36F55828"/>
    <w:rsid w:val="36FA49F8"/>
    <w:rsid w:val="36FC0EBC"/>
    <w:rsid w:val="370136A2"/>
    <w:rsid w:val="37052D23"/>
    <w:rsid w:val="37072442"/>
    <w:rsid w:val="37192FE5"/>
    <w:rsid w:val="371A5D19"/>
    <w:rsid w:val="372F46FB"/>
    <w:rsid w:val="37486271"/>
    <w:rsid w:val="375D4F27"/>
    <w:rsid w:val="37AA7F1A"/>
    <w:rsid w:val="38031B23"/>
    <w:rsid w:val="38273865"/>
    <w:rsid w:val="384D1BAF"/>
    <w:rsid w:val="38657C26"/>
    <w:rsid w:val="388075BE"/>
    <w:rsid w:val="389649BE"/>
    <w:rsid w:val="38A6795C"/>
    <w:rsid w:val="38B23C73"/>
    <w:rsid w:val="38B54C39"/>
    <w:rsid w:val="38C10FEC"/>
    <w:rsid w:val="38CA7646"/>
    <w:rsid w:val="38D471D8"/>
    <w:rsid w:val="38DE710F"/>
    <w:rsid w:val="390E4F3A"/>
    <w:rsid w:val="39206765"/>
    <w:rsid w:val="39254A8A"/>
    <w:rsid w:val="393544D3"/>
    <w:rsid w:val="39407179"/>
    <w:rsid w:val="39470146"/>
    <w:rsid w:val="394915ED"/>
    <w:rsid w:val="39567255"/>
    <w:rsid w:val="39605B9F"/>
    <w:rsid w:val="39633758"/>
    <w:rsid w:val="396D744F"/>
    <w:rsid w:val="396F51DE"/>
    <w:rsid w:val="39706D97"/>
    <w:rsid w:val="39813E88"/>
    <w:rsid w:val="39887572"/>
    <w:rsid w:val="398B1767"/>
    <w:rsid w:val="39942080"/>
    <w:rsid w:val="39A90C69"/>
    <w:rsid w:val="39CA7ACC"/>
    <w:rsid w:val="3A034BFB"/>
    <w:rsid w:val="3A182CAB"/>
    <w:rsid w:val="3A325BDD"/>
    <w:rsid w:val="3A4075E4"/>
    <w:rsid w:val="3A534578"/>
    <w:rsid w:val="3A6D3E36"/>
    <w:rsid w:val="3AA506E7"/>
    <w:rsid w:val="3AA55243"/>
    <w:rsid w:val="3AAE4AD7"/>
    <w:rsid w:val="3ABE7C14"/>
    <w:rsid w:val="3ADD4E0B"/>
    <w:rsid w:val="3AEF10E2"/>
    <w:rsid w:val="3AF1364D"/>
    <w:rsid w:val="3AFA7A62"/>
    <w:rsid w:val="3B190A2E"/>
    <w:rsid w:val="3B383D5C"/>
    <w:rsid w:val="3B3A17B2"/>
    <w:rsid w:val="3B4900E0"/>
    <w:rsid w:val="3B55580C"/>
    <w:rsid w:val="3B596268"/>
    <w:rsid w:val="3B5D3939"/>
    <w:rsid w:val="3B801925"/>
    <w:rsid w:val="3B8B2DE7"/>
    <w:rsid w:val="3B8D351E"/>
    <w:rsid w:val="3B9A5E35"/>
    <w:rsid w:val="3B9D409E"/>
    <w:rsid w:val="3BAE1C24"/>
    <w:rsid w:val="3BB07701"/>
    <w:rsid w:val="3BB83EF6"/>
    <w:rsid w:val="3BEB637B"/>
    <w:rsid w:val="3C1517A9"/>
    <w:rsid w:val="3C2422A7"/>
    <w:rsid w:val="3C3311C4"/>
    <w:rsid w:val="3C3E4D80"/>
    <w:rsid w:val="3C5B6581"/>
    <w:rsid w:val="3C5B795E"/>
    <w:rsid w:val="3C6846F8"/>
    <w:rsid w:val="3C6C14F2"/>
    <w:rsid w:val="3CA26D1E"/>
    <w:rsid w:val="3CBA29FF"/>
    <w:rsid w:val="3CE23684"/>
    <w:rsid w:val="3CEB7A29"/>
    <w:rsid w:val="3CEE0407"/>
    <w:rsid w:val="3D0227B2"/>
    <w:rsid w:val="3D072A0F"/>
    <w:rsid w:val="3D213FB0"/>
    <w:rsid w:val="3D356938"/>
    <w:rsid w:val="3D4D256E"/>
    <w:rsid w:val="3D5040C0"/>
    <w:rsid w:val="3D5551D5"/>
    <w:rsid w:val="3D6938FF"/>
    <w:rsid w:val="3D75106C"/>
    <w:rsid w:val="3D7E2B09"/>
    <w:rsid w:val="3D815431"/>
    <w:rsid w:val="3D891EC0"/>
    <w:rsid w:val="3D9737D8"/>
    <w:rsid w:val="3D9B78AE"/>
    <w:rsid w:val="3DBD621C"/>
    <w:rsid w:val="3DC111F8"/>
    <w:rsid w:val="3DCF0A17"/>
    <w:rsid w:val="3DDD0651"/>
    <w:rsid w:val="3DE83426"/>
    <w:rsid w:val="3DF707C4"/>
    <w:rsid w:val="3E0175A7"/>
    <w:rsid w:val="3E046747"/>
    <w:rsid w:val="3E215670"/>
    <w:rsid w:val="3E2D6630"/>
    <w:rsid w:val="3E2E265B"/>
    <w:rsid w:val="3E800442"/>
    <w:rsid w:val="3EBE47C4"/>
    <w:rsid w:val="3ED77E65"/>
    <w:rsid w:val="3EDA2EFE"/>
    <w:rsid w:val="3EE80219"/>
    <w:rsid w:val="3EEC4BD0"/>
    <w:rsid w:val="3EED44C9"/>
    <w:rsid w:val="3EED6ADC"/>
    <w:rsid w:val="3F1408E3"/>
    <w:rsid w:val="3F484C9A"/>
    <w:rsid w:val="3F4B2ABB"/>
    <w:rsid w:val="3F5814B1"/>
    <w:rsid w:val="3FA635C7"/>
    <w:rsid w:val="3FAE461E"/>
    <w:rsid w:val="3FB27883"/>
    <w:rsid w:val="3FB7641E"/>
    <w:rsid w:val="3FB773D6"/>
    <w:rsid w:val="3FBC498B"/>
    <w:rsid w:val="3FC15D9F"/>
    <w:rsid w:val="3FC83D82"/>
    <w:rsid w:val="3FCA603C"/>
    <w:rsid w:val="3FCD5600"/>
    <w:rsid w:val="3FCF30E0"/>
    <w:rsid w:val="3FD95FBA"/>
    <w:rsid w:val="401B6B49"/>
    <w:rsid w:val="4021297B"/>
    <w:rsid w:val="40292439"/>
    <w:rsid w:val="403432DB"/>
    <w:rsid w:val="403C0F19"/>
    <w:rsid w:val="403C3459"/>
    <w:rsid w:val="40432B93"/>
    <w:rsid w:val="406832D3"/>
    <w:rsid w:val="4080486B"/>
    <w:rsid w:val="40A423B7"/>
    <w:rsid w:val="40AD45C2"/>
    <w:rsid w:val="40B4228A"/>
    <w:rsid w:val="40B73790"/>
    <w:rsid w:val="40B86B4F"/>
    <w:rsid w:val="40CD5D59"/>
    <w:rsid w:val="40D25CB3"/>
    <w:rsid w:val="40D27116"/>
    <w:rsid w:val="40D541DD"/>
    <w:rsid w:val="40E45C72"/>
    <w:rsid w:val="40E50CB3"/>
    <w:rsid w:val="40F263AB"/>
    <w:rsid w:val="40F87797"/>
    <w:rsid w:val="40F97CA5"/>
    <w:rsid w:val="41034C04"/>
    <w:rsid w:val="41262696"/>
    <w:rsid w:val="413F7566"/>
    <w:rsid w:val="417F3572"/>
    <w:rsid w:val="41836C6C"/>
    <w:rsid w:val="418B5D48"/>
    <w:rsid w:val="41AA395D"/>
    <w:rsid w:val="41C31810"/>
    <w:rsid w:val="41C536AE"/>
    <w:rsid w:val="41CA38BB"/>
    <w:rsid w:val="41E579D9"/>
    <w:rsid w:val="41FD3BED"/>
    <w:rsid w:val="421107CE"/>
    <w:rsid w:val="421C4943"/>
    <w:rsid w:val="423D7815"/>
    <w:rsid w:val="42612DAE"/>
    <w:rsid w:val="42693412"/>
    <w:rsid w:val="42763E37"/>
    <w:rsid w:val="42845C90"/>
    <w:rsid w:val="429531FF"/>
    <w:rsid w:val="429B0475"/>
    <w:rsid w:val="429C50C8"/>
    <w:rsid w:val="42A04B97"/>
    <w:rsid w:val="42A05C2F"/>
    <w:rsid w:val="42A2573F"/>
    <w:rsid w:val="42DF5ACD"/>
    <w:rsid w:val="42F74566"/>
    <w:rsid w:val="42F850A9"/>
    <w:rsid w:val="43181235"/>
    <w:rsid w:val="4321079F"/>
    <w:rsid w:val="4395328B"/>
    <w:rsid w:val="43A2205F"/>
    <w:rsid w:val="43AC124D"/>
    <w:rsid w:val="43AD4639"/>
    <w:rsid w:val="43B32A25"/>
    <w:rsid w:val="43BB4E95"/>
    <w:rsid w:val="43C26E3A"/>
    <w:rsid w:val="43E0621E"/>
    <w:rsid w:val="43F45EF6"/>
    <w:rsid w:val="440C763D"/>
    <w:rsid w:val="440E6381"/>
    <w:rsid w:val="443B041F"/>
    <w:rsid w:val="4444405D"/>
    <w:rsid w:val="4447528B"/>
    <w:rsid w:val="44885DA8"/>
    <w:rsid w:val="449D755E"/>
    <w:rsid w:val="449F1529"/>
    <w:rsid w:val="44A02D53"/>
    <w:rsid w:val="44C429C4"/>
    <w:rsid w:val="44F0268B"/>
    <w:rsid w:val="44F030FB"/>
    <w:rsid w:val="44FF7429"/>
    <w:rsid w:val="450255C1"/>
    <w:rsid w:val="4503151A"/>
    <w:rsid w:val="451B73EF"/>
    <w:rsid w:val="451C2363"/>
    <w:rsid w:val="451E6299"/>
    <w:rsid w:val="4528448B"/>
    <w:rsid w:val="45476567"/>
    <w:rsid w:val="454C4A22"/>
    <w:rsid w:val="456879E6"/>
    <w:rsid w:val="45732BF6"/>
    <w:rsid w:val="45915587"/>
    <w:rsid w:val="4597109E"/>
    <w:rsid w:val="459879FF"/>
    <w:rsid w:val="45BC0877"/>
    <w:rsid w:val="45CA7611"/>
    <w:rsid w:val="45CC3389"/>
    <w:rsid w:val="45D366BC"/>
    <w:rsid w:val="460A4ADB"/>
    <w:rsid w:val="46174895"/>
    <w:rsid w:val="461D7690"/>
    <w:rsid w:val="46214C06"/>
    <w:rsid w:val="46231672"/>
    <w:rsid w:val="463C0496"/>
    <w:rsid w:val="46454C44"/>
    <w:rsid w:val="464C207C"/>
    <w:rsid w:val="46552BB4"/>
    <w:rsid w:val="467114CD"/>
    <w:rsid w:val="46747559"/>
    <w:rsid w:val="467B1446"/>
    <w:rsid w:val="46AB007A"/>
    <w:rsid w:val="46B10133"/>
    <w:rsid w:val="46B1257F"/>
    <w:rsid w:val="46FC1F6D"/>
    <w:rsid w:val="474D23A4"/>
    <w:rsid w:val="476109B9"/>
    <w:rsid w:val="47614574"/>
    <w:rsid w:val="476607C4"/>
    <w:rsid w:val="47710F52"/>
    <w:rsid w:val="477F10FD"/>
    <w:rsid w:val="47863AF0"/>
    <w:rsid w:val="47AA4081"/>
    <w:rsid w:val="47BD4C91"/>
    <w:rsid w:val="47CF152A"/>
    <w:rsid w:val="47CF4917"/>
    <w:rsid w:val="47E45AFD"/>
    <w:rsid w:val="47EE55FE"/>
    <w:rsid w:val="47F82E3A"/>
    <w:rsid w:val="47FF54B7"/>
    <w:rsid w:val="482243B2"/>
    <w:rsid w:val="482A3AB2"/>
    <w:rsid w:val="482F13B2"/>
    <w:rsid w:val="48473E15"/>
    <w:rsid w:val="484A2E6A"/>
    <w:rsid w:val="484B5204"/>
    <w:rsid w:val="486024AF"/>
    <w:rsid w:val="48643B50"/>
    <w:rsid w:val="4866004B"/>
    <w:rsid w:val="48685C23"/>
    <w:rsid w:val="488749EA"/>
    <w:rsid w:val="48881F9B"/>
    <w:rsid w:val="489D3DD6"/>
    <w:rsid w:val="48B20ECC"/>
    <w:rsid w:val="48B252EE"/>
    <w:rsid w:val="48B87813"/>
    <w:rsid w:val="48C437AE"/>
    <w:rsid w:val="48C94D37"/>
    <w:rsid w:val="48CC5889"/>
    <w:rsid w:val="48CD4A8D"/>
    <w:rsid w:val="48D24A6F"/>
    <w:rsid w:val="48E755AD"/>
    <w:rsid w:val="48F3553B"/>
    <w:rsid w:val="490513DF"/>
    <w:rsid w:val="49130784"/>
    <w:rsid w:val="491906B5"/>
    <w:rsid w:val="491E2793"/>
    <w:rsid w:val="49561729"/>
    <w:rsid w:val="496D6134"/>
    <w:rsid w:val="49726CAA"/>
    <w:rsid w:val="499D150F"/>
    <w:rsid w:val="49A155B9"/>
    <w:rsid w:val="49BA6DA5"/>
    <w:rsid w:val="49CF234E"/>
    <w:rsid w:val="49EB31B0"/>
    <w:rsid w:val="4A022285"/>
    <w:rsid w:val="4A0C299A"/>
    <w:rsid w:val="4A1D69F7"/>
    <w:rsid w:val="4A3C5106"/>
    <w:rsid w:val="4A56217E"/>
    <w:rsid w:val="4A946E8B"/>
    <w:rsid w:val="4A9A5BCE"/>
    <w:rsid w:val="4AA152D6"/>
    <w:rsid w:val="4AAA3FA2"/>
    <w:rsid w:val="4AC27E2B"/>
    <w:rsid w:val="4B0646A9"/>
    <w:rsid w:val="4B132011"/>
    <w:rsid w:val="4B134C65"/>
    <w:rsid w:val="4B234E97"/>
    <w:rsid w:val="4B294A7B"/>
    <w:rsid w:val="4B375B6A"/>
    <w:rsid w:val="4B375E72"/>
    <w:rsid w:val="4B3C261D"/>
    <w:rsid w:val="4B3C2D5F"/>
    <w:rsid w:val="4B4424CA"/>
    <w:rsid w:val="4B5E27BB"/>
    <w:rsid w:val="4B652BE6"/>
    <w:rsid w:val="4B921ADD"/>
    <w:rsid w:val="4BAD1850"/>
    <w:rsid w:val="4BB723E6"/>
    <w:rsid w:val="4BBC45C4"/>
    <w:rsid w:val="4BC11859"/>
    <w:rsid w:val="4BD554C7"/>
    <w:rsid w:val="4BDA6C37"/>
    <w:rsid w:val="4BE45C1A"/>
    <w:rsid w:val="4BF1091E"/>
    <w:rsid w:val="4C026B7B"/>
    <w:rsid w:val="4C1B6610"/>
    <w:rsid w:val="4C1D22BE"/>
    <w:rsid w:val="4C297B4D"/>
    <w:rsid w:val="4C39104D"/>
    <w:rsid w:val="4C3B2F10"/>
    <w:rsid w:val="4C42248B"/>
    <w:rsid w:val="4C46727F"/>
    <w:rsid w:val="4C4D196D"/>
    <w:rsid w:val="4C5E0092"/>
    <w:rsid w:val="4C6838F7"/>
    <w:rsid w:val="4C731ACC"/>
    <w:rsid w:val="4C997D3D"/>
    <w:rsid w:val="4CAF1FCE"/>
    <w:rsid w:val="4CC90820"/>
    <w:rsid w:val="4CCD36CE"/>
    <w:rsid w:val="4CF24658"/>
    <w:rsid w:val="4D066D5F"/>
    <w:rsid w:val="4D235DDA"/>
    <w:rsid w:val="4D2D7CEC"/>
    <w:rsid w:val="4D387820"/>
    <w:rsid w:val="4D65367C"/>
    <w:rsid w:val="4D745D3A"/>
    <w:rsid w:val="4D7F7E4C"/>
    <w:rsid w:val="4DA34A01"/>
    <w:rsid w:val="4DB257BE"/>
    <w:rsid w:val="4DBD6E08"/>
    <w:rsid w:val="4DC325E8"/>
    <w:rsid w:val="4DC3647A"/>
    <w:rsid w:val="4DF92C07"/>
    <w:rsid w:val="4E0076CF"/>
    <w:rsid w:val="4E081C70"/>
    <w:rsid w:val="4E156F12"/>
    <w:rsid w:val="4E2252E8"/>
    <w:rsid w:val="4E230CCB"/>
    <w:rsid w:val="4E2316C1"/>
    <w:rsid w:val="4E232FE7"/>
    <w:rsid w:val="4E9B36FB"/>
    <w:rsid w:val="4EA210F0"/>
    <w:rsid w:val="4EA61958"/>
    <w:rsid w:val="4EB93583"/>
    <w:rsid w:val="4EBA77BC"/>
    <w:rsid w:val="4EBC4DE5"/>
    <w:rsid w:val="4EBD7CB9"/>
    <w:rsid w:val="4EDF68A0"/>
    <w:rsid w:val="4EE5759D"/>
    <w:rsid w:val="4EEA0110"/>
    <w:rsid w:val="4EEE1082"/>
    <w:rsid w:val="4EF24A59"/>
    <w:rsid w:val="4EFD42A2"/>
    <w:rsid w:val="4F044359"/>
    <w:rsid w:val="4F0D17E2"/>
    <w:rsid w:val="4F0E2009"/>
    <w:rsid w:val="4F15423E"/>
    <w:rsid w:val="4F170A44"/>
    <w:rsid w:val="4F2F4C4D"/>
    <w:rsid w:val="4F4733C6"/>
    <w:rsid w:val="4F4D5006"/>
    <w:rsid w:val="4F743109"/>
    <w:rsid w:val="4F7B4E34"/>
    <w:rsid w:val="4F8D1DDB"/>
    <w:rsid w:val="4F992CE1"/>
    <w:rsid w:val="4FA952DD"/>
    <w:rsid w:val="4FB30952"/>
    <w:rsid w:val="4FB920ED"/>
    <w:rsid w:val="4FBC5D37"/>
    <w:rsid w:val="4FBD56D7"/>
    <w:rsid w:val="4FE6612F"/>
    <w:rsid w:val="4FF25B6B"/>
    <w:rsid w:val="4FF5060C"/>
    <w:rsid w:val="4FF512DD"/>
    <w:rsid w:val="501120A0"/>
    <w:rsid w:val="501F3AD0"/>
    <w:rsid w:val="50284213"/>
    <w:rsid w:val="50325DDE"/>
    <w:rsid w:val="503F1423"/>
    <w:rsid w:val="50411F53"/>
    <w:rsid w:val="50443847"/>
    <w:rsid w:val="50656CE4"/>
    <w:rsid w:val="50662108"/>
    <w:rsid w:val="506B6A3E"/>
    <w:rsid w:val="506E5957"/>
    <w:rsid w:val="509C2344"/>
    <w:rsid w:val="50B72A66"/>
    <w:rsid w:val="50C16F5D"/>
    <w:rsid w:val="50E93C92"/>
    <w:rsid w:val="50EE1AB7"/>
    <w:rsid w:val="50FD2F66"/>
    <w:rsid w:val="50FE565E"/>
    <w:rsid w:val="51060294"/>
    <w:rsid w:val="5165220B"/>
    <w:rsid w:val="51781F68"/>
    <w:rsid w:val="5198162F"/>
    <w:rsid w:val="51B26A76"/>
    <w:rsid w:val="51F522CD"/>
    <w:rsid w:val="51F543E5"/>
    <w:rsid w:val="51FD6E5E"/>
    <w:rsid w:val="520A3DA5"/>
    <w:rsid w:val="521161C7"/>
    <w:rsid w:val="523D65E3"/>
    <w:rsid w:val="5242150F"/>
    <w:rsid w:val="524904CB"/>
    <w:rsid w:val="526D40CB"/>
    <w:rsid w:val="52827746"/>
    <w:rsid w:val="5290710F"/>
    <w:rsid w:val="52965D28"/>
    <w:rsid w:val="529A6F11"/>
    <w:rsid w:val="52A83CA0"/>
    <w:rsid w:val="52B5369C"/>
    <w:rsid w:val="52C374F9"/>
    <w:rsid w:val="52DF73C6"/>
    <w:rsid w:val="52E96B63"/>
    <w:rsid w:val="5302332C"/>
    <w:rsid w:val="530E125C"/>
    <w:rsid w:val="531F3F58"/>
    <w:rsid w:val="532760E0"/>
    <w:rsid w:val="53400F13"/>
    <w:rsid w:val="5342131B"/>
    <w:rsid w:val="534D2711"/>
    <w:rsid w:val="539A3E54"/>
    <w:rsid w:val="539D5A17"/>
    <w:rsid w:val="53A92A23"/>
    <w:rsid w:val="53D112F1"/>
    <w:rsid w:val="53DC7BF5"/>
    <w:rsid w:val="53ED0FD2"/>
    <w:rsid w:val="53F0701A"/>
    <w:rsid w:val="53FC0A30"/>
    <w:rsid w:val="540E2DBF"/>
    <w:rsid w:val="540E7C15"/>
    <w:rsid w:val="54241C6C"/>
    <w:rsid w:val="54284A9E"/>
    <w:rsid w:val="542E3DC6"/>
    <w:rsid w:val="543C6AC9"/>
    <w:rsid w:val="544376B7"/>
    <w:rsid w:val="54897C13"/>
    <w:rsid w:val="548A303D"/>
    <w:rsid w:val="54A64DA5"/>
    <w:rsid w:val="54B14F44"/>
    <w:rsid w:val="54CD6308"/>
    <w:rsid w:val="54E23E46"/>
    <w:rsid w:val="54EF47D7"/>
    <w:rsid w:val="54F008F3"/>
    <w:rsid w:val="54FB127F"/>
    <w:rsid w:val="54FC2AFD"/>
    <w:rsid w:val="5504494F"/>
    <w:rsid w:val="550610E7"/>
    <w:rsid w:val="55230B88"/>
    <w:rsid w:val="55241A8C"/>
    <w:rsid w:val="55294422"/>
    <w:rsid w:val="552B70F1"/>
    <w:rsid w:val="5537586C"/>
    <w:rsid w:val="554979C5"/>
    <w:rsid w:val="554C682F"/>
    <w:rsid w:val="555448C1"/>
    <w:rsid w:val="556E3096"/>
    <w:rsid w:val="557E22AD"/>
    <w:rsid w:val="559749DA"/>
    <w:rsid w:val="55B41744"/>
    <w:rsid w:val="55CC1BA0"/>
    <w:rsid w:val="55D41B8A"/>
    <w:rsid w:val="55D74268"/>
    <w:rsid w:val="55DF382B"/>
    <w:rsid w:val="55F93F18"/>
    <w:rsid w:val="56002BC9"/>
    <w:rsid w:val="560466F3"/>
    <w:rsid w:val="56460D82"/>
    <w:rsid w:val="56470BA1"/>
    <w:rsid w:val="56735208"/>
    <w:rsid w:val="56A772B3"/>
    <w:rsid w:val="56AF2797"/>
    <w:rsid w:val="56B80DEF"/>
    <w:rsid w:val="56EF28F1"/>
    <w:rsid w:val="57035492"/>
    <w:rsid w:val="570760B1"/>
    <w:rsid w:val="571323DB"/>
    <w:rsid w:val="57450AC8"/>
    <w:rsid w:val="57592E39"/>
    <w:rsid w:val="57904AF7"/>
    <w:rsid w:val="57967106"/>
    <w:rsid w:val="579F2863"/>
    <w:rsid w:val="57A35FBE"/>
    <w:rsid w:val="57A813E0"/>
    <w:rsid w:val="57B40121"/>
    <w:rsid w:val="57D20938"/>
    <w:rsid w:val="57D61E46"/>
    <w:rsid w:val="57E300FB"/>
    <w:rsid w:val="58005096"/>
    <w:rsid w:val="58121734"/>
    <w:rsid w:val="581F517B"/>
    <w:rsid w:val="5836431D"/>
    <w:rsid w:val="586D36E2"/>
    <w:rsid w:val="5887183A"/>
    <w:rsid w:val="58C57621"/>
    <w:rsid w:val="58CA32ED"/>
    <w:rsid w:val="58CD4C0C"/>
    <w:rsid w:val="58DE69FE"/>
    <w:rsid w:val="58E46627"/>
    <w:rsid w:val="58EB5D3D"/>
    <w:rsid w:val="59231DA9"/>
    <w:rsid w:val="592E0343"/>
    <w:rsid w:val="592F62F2"/>
    <w:rsid w:val="593C147F"/>
    <w:rsid w:val="593D36FF"/>
    <w:rsid w:val="593E431B"/>
    <w:rsid w:val="59600A9D"/>
    <w:rsid w:val="59715A31"/>
    <w:rsid w:val="59974C2A"/>
    <w:rsid w:val="59C13893"/>
    <w:rsid w:val="59CB2BE4"/>
    <w:rsid w:val="59CE55BD"/>
    <w:rsid w:val="59D60DD6"/>
    <w:rsid w:val="59E94823"/>
    <w:rsid w:val="59EB15DC"/>
    <w:rsid w:val="59FE1E93"/>
    <w:rsid w:val="5A1F01E9"/>
    <w:rsid w:val="5A6315BF"/>
    <w:rsid w:val="5A673607"/>
    <w:rsid w:val="5A932654"/>
    <w:rsid w:val="5A9D6C4B"/>
    <w:rsid w:val="5AC8016B"/>
    <w:rsid w:val="5AD3514A"/>
    <w:rsid w:val="5AF36582"/>
    <w:rsid w:val="5B032D3A"/>
    <w:rsid w:val="5B1F2D3B"/>
    <w:rsid w:val="5B23404F"/>
    <w:rsid w:val="5B5230C9"/>
    <w:rsid w:val="5B585F50"/>
    <w:rsid w:val="5B615A43"/>
    <w:rsid w:val="5BA3445B"/>
    <w:rsid w:val="5BB24268"/>
    <w:rsid w:val="5BC3368C"/>
    <w:rsid w:val="5BF21E46"/>
    <w:rsid w:val="5BF7752A"/>
    <w:rsid w:val="5C121F02"/>
    <w:rsid w:val="5C2072CA"/>
    <w:rsid w:val="5C47784A"/>
    <w:rsid w:val="5C5C26C7"/>
    <w:rsid w:val="5C881E88"/>
    <w:rsid w:val="5CB008AA"/>
    <w:rsid w:val="5CB304B4"/>
    <w:rsid w:val="5CB44C4A"/>
    <w:rsid w:val="5CB731FE"/>
    <w:rsid w:val="5CC00D94"/>
    <w:rsid w:val="5CC25859"/>
    <w:rsid w:val="5CCF6D40"/>
    <w:rsid w:val="5CE60FE0"/>
    <w:rsid w:val="5CF42D05"/>
    <w:rsid w:val="5CFD7971"/>
    <w:rsid w:val="5D0D7C63"/>
    <w:rsid w:val="5D214DB0"/>
    <w:rsid w:val="5D2935C9"/>
    <w:rsid w:val="5D410717"/>
    <w:rsid w:val="5D57264F"/>
    <w:rsid w:val="5D684E57"/>
    <w:rsid w:val="5D965358"/>
    <w:rsid w:val="5DA22FE1"/>
    <w:rsid w:val="5DB25110"/>
    <w:rsid w:val="5DB60FCD"/>
    <w:rsid w:val="5DBD23EB"/>
    <w:rsid w:val="5DD35C3B"/>
    <w:rsid w:val="5DD91BF2"/>
    <w:rsid w:val="5DDF1DA2"/>
    <w:rsid w:val="5DF242B0"/>
    <w:rsid w:val="5DF31989"/>
    <w:rsid w:val="5DF40434"/>
    <w:rsid w:val="5DF923F7"/>
    <w:rsid w:val="5E0A6DD3"/>
    <w:rsid w:val="5E106AE2"/>
    <w:rsid w:val="5E123BAB"/>
    <w:rsid w:val="5E2777A8"/>
    <w:rsid w:val="5E3341D6"/>
    <w:rsid w:val="5E3779F3"/>
    <w:rsid w:val="5E753AE6"/>
    <w:rsid w:val="5E9A7010"/>
    <w:rsid w:val="5E9B0D9D"/>
    <w:rsid w:val="5EA4485E"/>
    <w:rsid w:val="5EBA7607"/>
    <w:rsid w:val="5EC107DB"/>
    <w:rsid w:val="5EC903CC"/>
    <w:rsid w:val="5EF74406"/>
    <w:rsid w:val="5EF81DB0"/>
    <w:rsid w:val="5EFE4EF3"/>
    <w:rsid w:val="5F142AE2"/>
    <w:rsid w:val="5F2220A7"/>
    <w:rsid w:val="5F5B6489"/>
    <w:rsid w:val="5F6074C8"/>
    <w:rsid w:val="5F721090"/>
    <w:rsid w:val="5F8A6CBB"/>
    <w:rsid w:val="5F8E2CFD"/>
    <w:rsid w:val="5F901D32"/>
    <w:rsid w:val="5FA4227F"/>
    <w:rsid w:val="5FA54EB5"/>
    <w:rsid w:val="5FA87DCF"/>
    <w:rsid w:val="5FCB610D"/>
    <w:rsid w:val="5FCC1DD6"/>
    <w:rsid w:val="5FDD1778"/>
    <w:rsid w:val="5FDE0EF8"/>
    <w:rsid w:val="5FEA7441"/>
    <w:rsid w:val="5FFF4803"/>
    <w:rsid w:val="60025431"/>
    <w:rsid w:val="600676AE"/>
    <w:rsid w:val="600F0636"/>
    <w:rsid w:val="604A7B5C"/>
    <w:rsid w:val="604F2B80"/>
    <w:rsid w:val="605D69A9"/>
    <w:rsid w:val="60624676"/>
    <w:rsid w:val="6077262F"/>
    <w:rsid w:val="60A21ECB"/>
    <w:rsid w:val="60B03DB0"/>
    <w:rsid w:val="60B84CB2"/>
    <w:rsid w:val="60BE632B"/>
    <w:rsid w:val="60D06885"/>
    <w:rsid w:val="60DD16F7"/>
    <w:rsid w:val="60E55B88"/>
    <w:rsid w:val="60F644D7"/>
    <w:rsid w:val="60FE7737"/>
    <w:rsid w:val="61166246"/>
    <w:rsid w:val="612134B6"/>
    <w:rsid w:val="61243C27"/>
    <w:rsid w:val="612C5DB7"/>
    <w:rsid w:val="612D3A0E"/>
    <w:rsid w:val="612E2915"/>
    <w:rsid w:val="614103B6"/>
    <w:rsid w:val="6148208B"/>
    <w:rsid w:val="61610800"/>
    <w:rsid w:val="616C7B32"/>
    <w:rsid w:val="617A57CD"/>
    <w:rsid w:val="618266EC"/>
    <w:rsid w:val="61A00C49"/>
    <w:rsid w:val="61B51448"/>
    <w:rsid w:val="61C33A20"/>
    <w:rsid w:val="61DD582B"/>
    <w:rsid w:val="61F33CF6"/>
    <w:rsid w:val="61FC23A1"/>
    <w:rsid w:val="6210396F"/>
    <w:rsid w:val="621347B5"/>
    <w:rsid w:val="62244662"/>
    <w:rsid w:val="625129CB"/>
    <w:rsid w:val="627C02EB"/>
    <w:rsid w:val="62875A21"/>
    <w:rsid w:val="62931667"/>
    <w:rsid w:val="629903AA"/>
    <w:rsid w:val="62B00E9C"/>
    <w:rsid w:val="62C16878"/>
    <w:rsid w:val="62D3042C"/>
    <w:rsid w:val="62F05C52"/>
    <w:rsid w:val="62F83E73"/>
    <w:rsid w:val="630266B5"/>
    <w:rsid w:val="6305336F"/>
    <w:rsid w:val="631314A5"/>
    <w:rsid w:val="63175116"/>
    <w:rsid w:val="634050B8"/>
    <w:rsid w:val="634465BB"/>
    <w:rsid w:val="63467632"/>
    <w:rsid w:val="63531976"/>
    <w:rsid w:val="6358704C"/>
    <w:rsid w:val="636D4FBB"/>
    <w:rsid w:val="636D7117"/>
    <w:rsid w:val="636D7D38"/>
    <w:rsid w:val="637141C0"/>
    <w:rsid w:val="63757AC3"/>
    <w:rsid w:val="63943403"/>
    <w:rsid w:val="639A5BFB"/>
    <w:rsid w:val="63A4487B"/>
    <w:rsid w:val="63B75BAD"/>
    <w:rsid w:val="63B95269"/>
    <w:rsid w:val="63BA71FA"/>
    <w:rsid w:val="63CC5B48"/>
    <w:rsid w:val="63D44EBA"/>
    <w:rsid w:val="63E6279E"/>
    <w:rsid w:val="63E72F98"/>
    <w:rsid w:val="63F73535"/>
    <w:rsid w:val="63FA78B8"/>
    <w:rsid w:val="63FF62EC"/>
    <w:rsid w:val="641368F7"/>
    <w:rsid w:val="642C4CCD"/>
    <w:rsid w:val="64365043"/>
    <w:rsid w:val="6447696F"/>
    <w:rsid w:val="644840EA"/>
    <w:rsid w:val="6454113E"/>
    <w:rsid w:val="6477161A"/>
    <w:rsid w:val="647B1823"/>
    <w:rsid w:val="647C57AC"/>
    <w:rsid w:val="649B3578"/>
    <w:rsid w:val="649E1F3D"/>
    <w:rsid w:val="64A517EA"/>
    <w:rsid w:val="64CD6C07"/>
    <w:rsid w:val="650C1051"/>
    <w:rsid w:val="65113944"/>
    <w:rsid w:val="652B2F64"/>
    <w:rsid w:val="6534354C"/>
    <w:rsid w:val="653502E3"/>
    <w:rsid w:val="6548741E"/>
    <w:rsid w:val="65596112"/>
    <w:rsid w:val="655E6453"/>
    <w:rsid w:val="65661D7F"/>
    <w:rsid w:val="65684B79"/>
    <w:rsid w:val="65AC79A1"/>
    <w:rsid w:val="65B21F42"/>
    <w:rsid w:val="65B877E2"/>
    <w:rsid w:val="65B97472"/>
    <w:rsid w:val="65BC7A28"/>
    <w:rsid w:val="65C37CCB"/>
    <w:rsid w:val="65C96E82"/>
    <w:rsid w:val="66076751"/>
    <w:rsid w:val="660E2823"/>
    <w:rsid w:val="66105161"/>
    <w:rsid w:val="66213BDA"/>
    <w:rsid w:val="66267F04"/>
    <w:rsid w:val="66274871"/>
    <w:rsid w:val="662D25EF"/>
    <w:rsid w:val="663738B0"/>
    <w:rsid w:val="66436672"/>
    <w:rsid w:val="6669126B"/>
    <w:rsid w:val="666B7B8B"/>
    <w:rsid w:val="667409F1"/>
    <w:rsid w:val="66847DD1"/>
    <w:rsid w:val="66A65A19"/>
    <w:rsid w:val="66B7405C"/>
    <w:rsid w:val="66BA337C"/>
    <w:rsid w:val="66BB0C85"/>
    <w:rsid w:val="66C230AB"/>
    <w:rsid w:val="66D75883"/>
    <w:rsid w:val="66E230F2"/>
    <w:rsid w:val="66E42DE4"/>
    <w:rsid w:val="66F55CEC"/>
    <w:rsid w:val="670E6BFA"/>
    <w:rsid w:val="67151420"/>
    <w:rsid w:val="671561AF"/>
    <w:rsid w:val="67346180"/>
    <w:rsid w:val="67356A7A"/>
    <w:rsid w:val="6742707B"/>
    <w:rsid w:val="6747066A"/>
    <w:rsid w:val="6747166D"/>
    <w:rsid w:val="674A7795"/>
    <w:rsid w:val="674E6F80"/>
    <w:rsid w:val="676F1DA1"/>
    <w:rsid w:val="67751199"/>
    <w:rsid w:val="6799349A"/>
    <w:rsid w:val="67BD2776"/>
    <w:rsid w:val="67C51125"/>
    <w:rsid w:val="67C55899"/>
    <w:rsid w:val="68071CFC"/>
    <w:rsid w:val="68105D3A"/>
    <w:rsid w:val="682D0ACB"/>
    <w:rsid w:val="68312343"/>
    <w:rsid w:val="68421A39"/>
    <w:rsid w:val="68525D40"/>
    <w:rsid w:val="6857334B"/>
    <w:rsid w:val="68660FC4"/>
    <w:rsid w:val="68663648"/>
    <w:rsid w:val="687A355C"/>
    <w:rsid w:val="688338FA"/>
    <w:rsid w:val="688F0616"/>
    <w:rsid w:val="68A02E39"/>
    <w:rsid w:val="68C00F85"/>
    <w:rsid w:val="68D57467"/>
    <w:rsid w:val="690427C7"/>
    <w:rsid w:val="690B0613"/>
    <w:rsid w:val="69144619"/>
    <w:rsid w:val="69241CDB"/>
    <w:rsid w:val="693C5B9E"/>
    <w:rsid w:val="695706BC"/>
    <w:rsid w:val="695D4175"/>
    <w:rsid w:val="69605E8E"/>
    <w:rsid w:val="69677BEF"/>
    <w:rsid w:val="69725CCE"/>
    <w:rsid w:val="69B30558"/>
    <w:rsid w:val="69C431D7"/>
    <w:rsid w:val="69DB51A1"/>
    <w:rsid w:val="69E22344"/>
    <w:rsid w:val="69E95A4D"/>
    <w:rsid w:val="69EA57F3"/>
    <w:rsid w:val="69F159C0"/>
    <w:rsid w:val="69F63F45"/>
    <w:rsid w:val="69F668E5"/>
    <w:rsid w:val="6A0935D0"/>
    <w:rsid w:val="6A272BE0"/>
    <w:rsid w:val="6A342306"/>
    <w:rsid w:val="6A3A03BE"/>
    <w:rsid w:val="6A3B1FCA"/>
    <w:rsid w:val="6A63707A"/>
    <w:rsid w:val="6A6F61C2"/>
    <w:rsid w:val="6A7770D3"/>
    <w:rsid w:val="6A7B6440"/>
    <w:rsid w:val="6A9E4A45"/>
    <w:rsid w:val="6AA20E56"/>
    <w:rsid w:val="6AD42767"/>
    <w:rsid w:val="6ADA351B"/>
    <w:rsid w:val="6ADE4476"/>
    <w:rsid w:val="6AF74BFB"/>
    <w:rsid w:val="6B1057A2"/>
    <w:rsid w:val="6B141386"/>
    <w:rsid w:val="6B2B4174"/>
    <w:rsid w:val="6B3C0B82"/>
    <w:rsid w:val="6B5B0B62"/>
    <w:rsid w:val="6B5D28FD"/>
    <w:rsid w:val="6B67262E"/>
    <w:rsid w:val="6B7B0283"/>
    <w:rsid w:val="6B7F0F3C"/>
    <w:rsid w:val="6B86433A"/>
    <w:rsid w:val="6BA41179"/>
    <w:rsid w:val="6BDB1A80"/>
    <w:rsid w:val="6BEC314A"/>
    <w:rsid w:val="6C1A1FB0"/>
    <w:rsid w:val="6C4055AC"/>
    <w:rsid w:val="6C4C56DA"/>
    <w:rsid w:val="6C576DC9"/>
    <w:rsid w:val="6C603586"/>
    <w:rsid w:val="6C683B8B"/>
    <w:rsid w:val="6C725D7C"/>
    <w:rsid w:val="6C7319BA"/>
    <w:rsid w:val="6C9F319B"/>
    <w:rsid w:val="6CB92023"/>
    <w:rsid w:val="6CBB0ED2"/>
    <w:rsid w:val="6CC14C2E"/>
    <w:rsid w:val="6CDA1E38"/>
    <w:rsid w:val="6CE24DF9"/>
    <w:rsid w:val="6CEC658F"/>
    <w:rsid w:val="6CF01C01"/>
    <w:rsid w:val="6CFE1EBC"/>
    <w:rsid w:val="6D1F412E"/>
    <w:rsid w:val="6D2A1D0E"/>
    <w:rsid w:val="6D3248A9"/>
    <w:rsid w:val="6D342975"/>
    <w:rsid w:val="6D634ED1"/>
    <w:rsid w:val="6D682FBB"/>
    <w:rsid w:val="6D8B2EF8"/>
    <w:rsid w:val="6D8D244B"/>
    <w:rsid w:val="6D8E6FF3"/>
    <w:rsid w:val="6D8F68C7"/>
    <w:rsid w:val="6D917D4E"/>
    <w:rsid w:val="6DA62C68"/>
    <w:rsid w:val="6DAF7052"/>
    <w:rsid w:val="6DB20942"/>
    <w:rsid w:val="6DBE5969"/>
    <w:rsid w:val="6DCC0F69"/>
    <w:rsid w:val="6DF675BF"/>
    <w:rsid w:val="6E112941"/>
    <w:rsid w:val="6E666CE2"/>
    <w:rsid w:val="6E75535D"/>
    <w:rsid w:val="6E923B69"/>
    <w:rsid w:val="6E961A0E"/>
    <w:rsid w:val="6EA74A4E"/>
    <w:rsid w:val="6EA81701"/>
    <w:rsid w:val="6ED30A2C"/>
    <w:rsid w:val="6EDF6730"/>
    <w:rsid w:val="6F242E67"/>
    <w:rsid w:val="6F321977"/>
    <w:rsid w:val="6F4C5CBA"/>
    <w:rsid w:val="6F565E02"/>
    <w:rsid w:val="6F606DEC"/>
    <w:rsid w:val="6F784FD0"/>
    <w:rsid w:val="6F933F63"/>
    <w:rsid w:val="6F960AB5"/>
    <w:rsid w:val="6F967EBC"/>
    <w:rsid w:val="6FF33BF6"/>
    <w:rsid w:val="6FF74004"/>
    <w:rsid w:val="700673A7"/>
    <w:rsid w:val="7023494A"/>
    <w:rsid w:val="702C34CE"/>
    <w:rsid w:val="702C4AD4"/>
    <w:rsid w:val="70340662"/>
    <w:rsid w:val="704D0C33"/>
    <w:rsid w:val="70501AAC"/>
    <w:rsid w:val="707D0908"/>
    <w:rsid w:val="70820698"/>
    <w:rsid w:val="70995C1E"/>
    <w:rsid w:val="70A96E6B"/>
    <w:rsid w:val="70B07332"/>
    <w:rsid w:val="70B47FFB"/>
    <w:rsid w:val="70C072DF"/>
    <w:rsid w:val="70C91F90"/>
    <w:rsid w:val="70D13D08"/>
    <w:rsid w:val="70D74A4A"/>
    <w:rsid w:val="70D90808"/>
    <w:rsid w:val="70DE66F8"/>
    <w:rsid w:val="71162EC4"/>
    <w:rsid w:val="713A5A10"/>
    <w:rsid w:val="713F23B2"/>
    <w:rsid w:val="715B42C8"/>
    <w:rsid w:val="715C22A4"/>
    <w:rsid w:val="716D33C3"/>
    <w:rsid w:val="71905118"/>
    <w:rsid w:val="719D0DBB"/>
    <w:rsid w:val="71A11A70"/>
    <w:rsid w:val="71A70961"/>
    <w:rsid w:val="71AE0F1D"/>
    <w:rsid w:val="71B11913"/>
    <w:rsid w:val="71B66302"/>
    <w:rsid w:val="71B956B1"/>
    <w:rsid w:val="71BE59CD"/>
    <w:rsid w:val="71C83D38"/>
    <w:rsid w:val="71CC7A2F"/>
    <w:rsid w:val="71E209EC"/>
    <w:rsid w:val="722B48C9"/>
    <w:rsid w:val="723716A4"/>
    <w:rsid w:val="724920EB"/>
    <w:rsid w:val="724F3EF6"/>
    <w:rsid w:val="724F3FE8"/>
    <w:rsid w:val="726F32F8"/>
    <w:rsid w:val="726F58A4"/>
    <w:rsid w:val="727C09AE"/>
    <w:rsid w:val="7282555E"/>
    <w:rsid w:val="729868BE"/>
    <w:rsid w:val="72B71D81"/>
    <w:rsid w:val="72BC6EE0"/>
    <w:rsid w:val="72D0115F"/>
    <w:rsid w:val="72D02E26"/>
    <w:rsid w:val="72DF715D"/>
    <w:rsid w:val="72FA0FBE"/>
    <w:rsid w:val="731D66FC"/>
    <w:rsid w:val="734D5DAB"/>
    <w:rsid w:val="738045CA"/>
    <w:rsid w:val="73806A78"/>
    <w:rsid w:val="738E673E"/>
    <w:rsid w:val="73A906D0"/>
    <w:rsid w:val="73CA3598"/>
    <w:rsid w:val="73E22E72"/>
    <w:rsid w:val="73EC4240"/>
    <w:rsid w:val="73F4320A"/>
    <w:rsid w:val="73FE04F6"/>
    <w:rsid w:val="7407523A"/>
    <w:rsid w:val="740E3F87"/>
    <w:rsid w:val="7419357D"/>
    <w:rsid w:val="74416D5F"/>
    <w:rsid w:val="74422C88"/>
    <w:rsid w:val="74434801"/>
    <w:rsid w:val="744550FD"/>
    <w:rsid w:val="745C3963"/>
    <w:rsid w:val="748368E1"/>
    <w:rsid w:val="7499378D"/>
    <w:rsid w:val="74A7012D"/>
    <w:rsid w:val="74AF33D5"/>
    <w:rsid w:val="74B37C6B"/>
    <w:rsid w:val="74B4579C"/>
    <w:rsid w:val="74C5750A"/>
    <w:rsid w:val="74C83A51"/>
    <w:rsid w:val="74E53EDE"/>
    <w:rsid w:val="74F65EDD"/>
    <w:rsid w:val="750A4A6E"/>
    <w:rsid w:val="75170001"/>
    <w:rsid w:val="751F2C26"/>
    <w:rsid w:val="75315DCC"/>
    <w:rsid w:val="753D191A"/>
    <w:rsid w:val="75460F29"/>
    <w:rsid w:val="75684B73"/>
    <w:rsid w:val="75810A96"/>
    <w:rsid w:val="75A924F0"/>
    <w:rsid w:val="75B117FF"/>
    <w:rsid w:val="75B157DB"/>
    <w:rsid w:val="75B76289"/>
    <w:rsid w:val="75C62B3C"/>
    <w:rsid w:val="75DE5A15"/>
    <w:rsid w:val="75E008F4"/>
    <w:rsid w:val="75EE1CC8"/>
    <w:rsid w:val="75FB3C1E"/>
    <w:rsid w:val="76014096"/>
    <w:rsid w:val="762A0C62"/>
    <w:rsid w:val="76321B15"/>
    <w:rsid w:val="76340856"/>
    <w:rsid w:val="76374A03"/>
    <w:rsid w:val="763B2791"/>
    <w:rsid w:val="763C280E"/>
    <w:rsid w:val="76527306"/>
    <w:rsid w:val="76553A11"/>
    <w:rsid w:val="766970F1"/>
    <w:rsid w:val="76827135"/>
    <w:rsid w:val="7696674B"/>
    <w:rsid w:val="76CF3266"/>
    <w:rsid w:val="76D13937"/>
    <w:rsid w:val="76D21F53"/>
    <w:rsid w:val="771002CF"/>
    <w:rsid w:val="7718642C"/>
    <w:rsid w:val="772142AE"/>
    <w:rsid w:val="773005A2"/>
    <w:rsid w:val="773A27BB"/>
    <w:rsid w:val="77464A80"/>
    <w:rsid w:val="774744F0"/>
    <w:rsid w:val="775518D9"/>
    <w:rsid w:val="775C064A"/>
    <w:rsid w:val="77630196"/>
    <w:rsid w:val="77685156"/>
    <w:rsid w:val="77696900"/>
    <w:rsid w:val="77801D60"/>
    <w:rsid w:val="779066E1"/>
    <w:rsid w:val="77907834"/>
    <w:rsid w:val="77946703"/>
    <w:rsid w:val="77C748D1"/>
    <w:rsid w:val="77E91D55"/>
    <w:rsid w:val="77F53A38"/>
    <w:rsid w:val="780B7928"/>
    <w:rsid w:val="78250187"/>
    <w:rsid w:val="78356A09"/>
    <w:rsid w:val="784A5842"/>
    <w:rsid w:val="784B3181"/>
    <w:rsid w:val="78656587"/>
    <w:rsid w:val="786F5449"/>
    <w:rsid w:val="7875549E"/>
    <w:rsid w:val="788C2381"/>
    <w:rsid w:val="78A67DFD"/>
    <w:rsid w:val="78A83AD1"/>
    <w:rsid w:val="78AC205A"/>
    <w:rsid w:val="78B048FE"/>
    <w:rsid w:val="78B16958"/>
    <w:rsid w:val="78B85C21"/>
    <w:rsid w:val="78C536F6"/>
    <w:rsid w:val="78CC308F"/>
    <w:rsid w:val="78CF6082"/>
    <w:rsid w:val="7916341B"/>
    <w:rsid w:val="79270C8E"/>
    <w:rsid w:val="79324F53"/>
    <w:rsid w:val="793560CF"/>
    <w:rsid w:val="794074DB"/>
    <w:rsid w:val="794B57AF"/>
    <w:rsid w:val="7957661C"/>
    <w:rsid w:val="795A5E3E"/>
    <w:rsid w:val="7971651A"/>
    <w:rsid w:val="797C7466"/>
    <w:rsid w:val="79A57791"/>
    <w:rsid w:val="7A2057D1"/>
    <w:rsid w:val="7A5B1E4D"/>
    <w:rsid w:val="7A5D1E7E"/>
    <w:rsid w:val="7A5D33C1"/>
    <w:rsid w:val="7A696669"/>
    <w:rsid w:val="7A6C569D"/>
    <w:rsid w:val="7A803BF0"/>
    <w:rsid w:val="7A837645"/>
    <w:rsid w:val="7A877B83"/>
    <w:rsid w:val="7A9F49BB"/>
    <w:rsid w:val="7AAE65CA"/>
    <w:rsid w:val="7AB97A03"/>
    <w:rsid w:val="7AC01183"/>
    <w:rsid w:val="7AE1504D"/>
    <w:rsid w:val="7AE40352"/>
    <w:rsid w:val="7AF732A6"/>
    <w:rsid w:val="7AFE270B"/>
    <w:rsid w:val="7B1D5512"/>
    <w:rsid w:val="7B352964"/>
    <w:rsid w:val="7B414C22"/>
    <w:rsid w:val="7B46397F"/>
    <w:rsid w:val="7B4F6B1D"/>
    <w:rsid w:val="7B503C6F"/>
    <w:rsid w:val="7B571043"/>
    <w:rsid w:val="7B5B79C7"/>
    <w:rsid w:val="7B7B6EB9"/>
    <w:rsid w:val="7B804E7D"/>
    <w:rsid w:val="7B922966"/>
    <w:rsid w:val="7BAC739B"/>
    <w:rsid w:val="7BC62C4E"/>
    <w:rsid w:val="7BE00264"/>
    <w:rsid w:val="7BF94414"/>
    <w:rsid w:val="7C115C78"/>
    <w:rsid w:val="7C1E59E5"/>
    <w:rsid w:val="7C261A2A"/>
    <w:rsid w:val="7C316DC3"/>
    <w:rsid w:val="7C4557F7"/>
    <w:rsid w:val="7C565FED"/>
    <w:rsid w:val="7C65238D"/>
    <w:rsid w:val="7C7B7965"/>
    <w:rsid w:val="7C7E049B"/>
    <w:rsid w:val="7C8E2B34"/>
    <w:rsid w:val="7C96697E"/>
    <w:rsid w:val="7C97597F"/>
    <w:rsid w:val="7CA469F2"/>
    <w:rsid w:val="7CAF2B93"/>
    <w:rsid w:val="7CC43741"/>
    <w:rsid w:val="7CCD1604"/>
    <w:rsid w:val="7CCE00F9"/>
    <w:rsid w:val="7CDB6A8F"/>
    <w:rsid w:val="7CDC5E74"/>
    <w:rsid w:val="7CE57DB8"/>
    <w:rsid w:val="7CFD3D08"/>
    <w:rsid w:val="7D053C59"/>
    <w:rsid w:val="7D1E7507"/>
    <w:rsid w:val="7D2779E2"/>
    <w:rsid w:val="7D501352"/>
    <w:rsid w:val="7D62202E"/>
    <w:rsid w:val="7D6322F8"/>
    <w:rsid w:val="7D727123"/>
    <w:rsid w:val="7D7D3AA8"/>
    <w:rsid w:val="7D8D6EF0"/>
    <w:rsid w:val="7D9B4E14"/>
    <w:rsid w:val="7DA77B15"/>
    <w:rsid w:val="7DBB30A0"/>
    <w:rsid w:val="7DC91637"/>
    <w:rsid w:val="7DE052D0"/>
    <w:rsid w:val="7DE73640"/>
    <w:rsid w:val="7DEC1126"/>
    <w:rsid w:val="7DF9675F"/>
    <w:rsid w:val="7E0964C2"/>
    <w:rsid w:val="7E144DDE"/>
    <w:rsid w:val="7E1C0ACF"/>
    <w:rsid w:val="7E1D563D"/>
    <w:rsid w:val="7E3306B5"/>
    <w:rsid w:val="7E3900B9"/>
    <w:rsid w:val="7E5A07BA"/>
    <w:rsid w:val="7E747F26"/>
    <w:rsid w:val="7E901135"/>
    <w:rsid w:val="7E911470"/>
    <w:rsid w:val="7E974DBA"/>
    <w:rsid w:val="7E9A50CB"/>
    <w:rsid w:val="7EA667AD"/>
    <w:rsid w:val="7EB12A21"/>
    <w:rsid w:val="7ECD7A5C"/>
    <w:rsid w:val="7ED242B9"/>
    <w:rsid w:val="7EDF2A25"/>
    <w:rsid w:val="7EE1047F"/>
    <w:rsid w:val="7EE471A2"/>
    <w:rsid w:val="7EE73D8C"/>
    <w:rsid w:val="7EEA0E63"/>
    <w:rsid w:val="7EFE4F20"/>
    <w:rsid w:val="7F1C7E1B"/>
    <w:rsid w:val="7F214D5A"/>
    <w:rsid w:val="7F27025C"/>
    <w:rsid w:val="7F3A1B77"/>
    <w:rsid w:val="7F5B09C0"/>
    <w:rsid w:val="7F6D3349"/>
    <w:rsid w:val="7F722683"/>
    <w:rsid w:val="7F8705E2"/>
    <w:rsid w:val="7F9704E4"/>
    <w:rsid w:val="7FA27788"/>
    <w:rsid w:val="7FAA60AB"/>
    <w:rsid w:val="7FB328E9"/>
    <w:rsid w:val="7FBE4ECA"/>
    <w:rsid w:val="7FDC7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pacing w:before="0" w:after="0" w:line="400" w:lineRule="exact"/>
      <w:ind w:left="0" w:right="0"/>
      <w:jc w:val="center"/>
    </w:pPr>
    <w:rPr>
      <w:rFonts w:ascii="Times New Roman" w:hAnsi="Times New Roman" w:eastAsia="宋体" w:cs="宋体"/>
      <w:sz w:val="24"/>
      <w:szCs w:val="24"/>
      <w:lang w:val="zh-CN" w:eastAsia="zh-CN" w:bidi="zh-CN"/>
    </w:rPr>
  </w:style>
  <w:style w:type="paragraph" w:styleId="4">
    <w:name w:val="heading 1"/>
    <w:basedOn w:val="1"/>
    <w:next w:val="1"/>
    <w:link w:val="38"/>
    <w:autoRedefine/>
    <w:qFormat/>
    <w:uiPriority w:val="1"/>
    <w:pPr>
      <w:spacing w:after="50" w:afterLines="50"/>
      <w:ind w:left="0" w:right="0"/>
      <w:jc w:val="center"/>
      <w:outlineLvl w:val="0"/>
    </w:pPr>
    <w:rPr>
      <w:rFonts w:cs="Times New Roman"/>
      <w:b/>
      <w:bCs/>
      <w:sz w:val="32"/>
      <w:szCs w:val="32"/>
    </w:rPr>
  </w:style>
  <w:style w:type="paragraph" w:styleId="5">
    <w:name w:val="heading 2"/>
    <w:basedOn w:val="1"/>
    <w:next w:val="1"/>
    <w:autoRedefine/>
    <w:qFormat/>
    <w:uiPriority w:val="0"/>
    <w:pPr>
      <w:keepLines/>
      <w:spacing w:beforeLines="50" w:afterLines="50" w:line="360" w:lineRule="auto"/>
      <w:ind w:firstLine="480"/>
      <w:jc w:val="left"/>
      <w:outlineLvl w:val="1"/>
    </w:pPr>
    <w:rPr>
      <w:rFonts w:ascii="宋体" w:hAnsi="宋体" w:eastAsia="黑体"/>
      <w:bCs/>
      <w:szCs w:val="28"/>
    </w:rPr>
  </w:style>
  <w:style w:type="paragraph" w:styleId="6">
    <w:name w:val="heading 4"/>
    <w:basedOn w:val="1"/>
    <w:next w:val="1"/>
    <w:autoRedefine/>
    <w:qFormat/>
    <w:uiPriority w:val="0"/>
    <w:pPr>
      <w:keepNext/>
      <w:keepLines/>
      <w:spacing w:before="280" w:after="290" w:line="374" w:lineRule="auto"/>
      <w:outlineLvl w:val="3"/>
    </w:pPr>
    <w:rPr>
      <w:rFonts w:ascii="Arial" w:hAnsi="Arial" w:eastAsia="黑体"/>
      <w:b/>
      <w:bCs/>
      <w:sz w:val="28"/>
      <w:szCs w:val="28"/>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customStyle="1" w:styleId="2">
    <w:name w:val="Default"/>
    <w:basedOn w:val="3"/>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纯文本1"/>
    <w:basedOn w:val="1"/>
    <w:autoRedefine/>
    <w:qFormat/>
    <w:uiPriority w:val="0"/>
    <w:pPr>
      <w:adjustRightInd w:val="0"/>
    </w:pPr>
    <w:rPr>
      <w:rFonts w:ascii="宋体" w:hAnsi="Courier New"/>
      <w:szCs w:val="20"/>
    </w:rPr>
  </w:style>
  <w:style w:type="paragraph" w:styleId="7">
    <w:name w:val="Normal Indent"/>
    <w:basedOn w:val="1"/>
    <w:next w:val="6"/>
    <w:autoRedefine/>
    <w:qFormat/>
    <w:uiPriority w:val="0"/>
    <w:pPr>
      <w:adjustRightInd w:val="0"/>
      <w:snapToGrid w:val="0"/>
      <w:spacing w:line="360" w:lineRule="auto"/>
      <w:ind w:firstLine="420"/>
    </w:pPr>
    <w:rPr>
      <w:rFonts w:eastAsia="楷体_GB2312"/>
      <w:spacing w:val="8"/>
      <w:kern w:val="0"/>
    </w:rPr>
  </w:style>
  <w:style w:type="paragraph" w:styleId="8">
    <w:name w:val="caption"/>
    <w:basedOn w:val="1"/>
    <w:next w:val="1"/>
    <w:autoRedefine/>
    <w:qFormat/>
    <w:uiPriority w:val="99"/>
    <w:pPr>
      <w:overflowPunct w:val="0"/>
      <w:topLinePunct/>
      <w:autoSpaceDE w:val="0"/>
      <w:autoSpaceDN w:val="0"/>
      <w:adjustRightInd w:val="0"/>
      <w:snapToGrid w:val="0"/>
      <w:spacing w:before="120" w:line="312" w:lineRule="auto"/>
      <w:jc w:val="center"/>
      <w:textAlignment w:val="baseline"/>
    </w:pPr>
    <w:rPr>
      <w:rFonts w:ascii="Arial" w:hAnsi="Arial" w:eastAsia="黑体" w:cs="Arial"/>
      <w:b/>
      <w:bCs/>
      <w:spacing w:val="6"/>
      <w:kern w:val="0"/>
    </w:rPr>
  </w:style>
  <w:style w:type="paragraph" w:styleId="9">
    <w:name w:val="annotation text"/>
    <w:basedOn w:val="1"/>
    <w:autoRedefine/>
    <w:qFormat/>
    <w:uiPriority w:val="0"/>
    <w:pPr>
      <w:adjustRightInd w:val="0"/>
      <w:snapToGrid w:val="0"/>
      <w:spacing w:line="360" w:lineRule="auto"/>
      <w:jc w:val="left"/>
    </w:pPr>
    <w:rPr>
      <w:rFonts w:eastAsia="楷体_GB2312"/>
      <w:spacing w:val="8"/>
      <w:kern w:val="0"/>
      <w:szCs w:val="24"/>
    </w:rPr>
  </w:style>
  <w:style w:type="paragraph" w:styleId="10">
    <w:name w:val="Body Text"/>
    <w:basedOn w:val="1"/>
    <w:next w:val="11"/>
    <w:link w:val="31"/>
    <w:autoRedefine/>
    <w:qFormat/>
    <w:uiPriority w:val="1"/>
    <w:rPr>
      <w:rFonts w:ascii="黑体" w:hAnsi="黑体" w:eastAsia="黑体" w:cs="黑体"/>
      <w:sz w:val="30"/>
      <w:szCs w:val="30"/>
      <w:lang w:val="zh-CN" w:eastAsia="zh-CN" w:bidi="zh-CN"/>
    </w:rPr>
  </w:style>
  <w:style w:type="paragraph" w:customStyle="1" w:styleId="1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2">
    <w:name w:val="Body Text Indent"/>
    <w:basedOn w:val="1"/>
    <w:next w:val="8"/>
    <w:autoRedefine/>
    <w:qFormat/>
    <w:uiPriority w:val="99"/>
    <w:pPr>
      <w:spacing w:after="120"/>
      <w:ind w:left="420" w:leftChars="200"/>
    </w:pPr>
    <w:rPr>
      <w:kern w:val="0"/>
      <w:sz w:val="24"/>
      <w:szCs w:val="24"/>
    </w:rPr>
  </w:style>
  <w:style w:type="paragraph" w:styleId="13">
    <w:name w:val="Block Text"/>
    <w:basedOn w:val="1"/>
    <w:next w:val="1"/>
    <w:autoRedefine/>
    <w:qFormat/>
    <w:uiPriority w:val="0"/>
    <w:pPr>
      <w:ind w:left="480" w:right="-1414"/>
      <w:jc w:val="left"/>
    </w:pPr>
    <w:rPr>
      <w:rFonts w:ascii="仿宋_GB2312"/>
    </w:rPr>
  </w:style>
  <w:style w:type="paragraph" w:styleId="14">
    <w:name w:val="Date"/>
    <w:basedOn w:val="1"/>
    <w:next w:val="1"/>
    <w:autoRedefine/>
    <w:qFormat/>
    <w:uiPriority w:val="0"/>
    <w:pPr>
      <w:spacing w:line="240" w:lineRule="auto"/>
      <w:ind w:firstLine="0" w:firstLineChars="0"/>
    </w:pPr>
    <w:rPr>
      <w:rFonts w:ascii="宋体"/>
      <w:sz w:val="28"/>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2"/>
    <w:basedOn w:val="1"/>
    <w:next w:val="1"/>
    <w:autoRedefine/>
    <w:qFormat/>
    <w:uiPriority w:val="0"/>
    <w:pPr>
      <w:ind w:left="240"/>
    </w:pPr>
    <w:rPr>
      <w:rFonts w:ascii="Calibri" w:hAnsi="Calibri"/>
      <w:smallCaps/>
      <w:sz w:val="20"/>
    </w:rPr>
  </w:style>
  <w:style w:type="paragraph" w:styleId="18">
    <w:name w:val="Body Text 2"/>
    <w:basedOn w:val="1"/>
    <w:autoRedefine/>
    <w:qFormat/>
    <w:uiPriority w:val="0"/>
    <w:pPr>
      <w:jc w:val="center"/>
    </w:pPr>
  </w:style>
  <w:style w:type="paragraph" w:styleId="19">
    <w:name w:val="Normal (Web)"/>
    <w:basedOn w:val="1"/>
    <w:next w:val="1"/>
    <w:autoRedefine/>
    <w:unhideWhenUsed/>
    <w:qFormat/>
    <w:uiPriority w:val="0"/>
    <w:pPr>
      <w:spacing w:before="100" w:beforeAutospacing="1" w:after="100" w:afterAutospacing="1"/>
    </w:pPr>
  </w:style>
  <w:style w:type="paragraph" w:styleId="20">
    <w:name w:val="Body Text First Indent 2"/>
    <w:basedOn w:val="12"/>
    <w:next w:val="1"/>
    <w:autoRedefine/>
    <w:qFormat/>
    <w:uiPriority w:val="99"/>
    <w:pPr>
      <w:ind w:firstLine="420" w:firstLineChars="200"/>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autoRedefine/>
    <w:qFormat/>
    <w:uiPriority w:val="0"/>
    <w:rPr>
      <w:rFonts w:eastAsia="仿宋"/>
      <w:b/>
      <w:bCs/>
      <w:sz w:val="24"/>
    </w:rPr>
  </w:style>
  <w:style w:type="character" w:styleId="25">
    <w:name w:val="Hyperlink"/>
    <w:basedOn w:val="23"/>
    <w:autoRedefine/>
    <w:qFormat/>
    <w:uiPriority w:val="0"/>
    <w:rPr>
      <w:color w:val="0000FF"/>
      <w:u w:val="single"/>
    </w:rPr>
  </w:style>
  <w:style w:type="paragraph" w:customStyle="1" w:styleId="26">
    <w:name w:val="样式 样式 样式 四号 左侧:  1.53 厘米 + 首行缩进:  2 字符 + 居中 左侧:  2 字符 首行缩进:  2..."/>
    <w:basedOn w:val="27"/>
    <w:autoRedefine/>
    <w:qFormat/>
    <w:uiPriority w:val="0"/>
    <w:pPr>
      <w:adjustRightInd w:val="0"/>
      <w:spacing w:line="240" w:lineRule="auto"/>
      <w:ind w:left="200" w:leftChars="200" w:firstLine="0" w:firstLineChars="0"/>
      <w:jc w:val="center"/>
    </w:pPr>
    <w:rPr>
      <w:w w:val="90"/>
      <w:sz w:val="28"/>
    </w:rPr>
  </w:style>
  <w:style w:type="paragraph" w:customStyle="1" w:styleId="27">
    <w:name w:val="样式 样式 四号 左侧:  1.53 厘米 + 首行缩进:  2 字符"/>
    <w:basedOn w:val="28"/>
    <w:autoRedefine/>
    <w:qFormat/>
    <w:uiPriority w:val="0"/>
    <w:pPr>
      <w:ind w:left="200" w:leftChars="200"/>
    </w:pPr>
    <w:rPr>
      <w:szCs w:val="20"/>
    </w:rPr>
  </w:style>
  <w:style w:type="paragraph" w:customStyle="1" w:styleId="28">
    <w:name w:val="样式 四号 左侧:  1.53 厘米"/>
    <w:basedOn w:val="1"/>
    <w:autoRedefine/>
    <w:qFormat/>
    <w:uiPriority w:val="0"/>
    <w:pPr>
      <w:adjustRightInd w:val="0"/>
    </w:pPr>
    <w:rPr>
      <w:w w:val="90"/>
      <w:sz w:val="28"/>
      <w:szCs w:val="28"/>
    </w:rPr>
  </w:style>
  <w:style w:type="paragraph" w:customStyle="1" w:styleId="29">
    <w:name w:val="Table Paragraph"/>
    <w:basedOn w:val="1"/>
    <w:autoRedefine/>
    <w:qFormat/>
    <w:uiPriority w:val="1"/>
    <w:rPr>
      <w:rFonts w:ascii="宋体" w:hAnsi="宋体" w:eastAsia="宋体" w:cs="宋体"/>
      <w:lang w:val="zh-CN" w:eastAsia="zh-CN" w:bidi="zh-CN"/>
    </w:rPr>
  </w:style>
  <w:style w:type="paragraph" w:customStyle="1" w:styleId="30">
    <w:name w:val="lh-正文-报告表"/>
    <w:basedOn w:val="1"/>
    <w:autoRedefine/>
    <w:qFormat/>
    <w:uiPriority w:val="0"/>
    <w:pPr>
      <w:spacing w:line="360" w:lineRule="auto"/>
      <w:ind w:firstLine="480" w:firstLineChars="200"/>
    </w:pPr>
    <w:rPr>
      <w:kern w:val="0"/>
      <w:sz w:val="24"/>
      <w:szCs w:val="21"/>
    </w:rPr>
  </w:style>
  <w:style w:type="character" w:customStyle="1" w:styleId="31">
    <w:name w:val="正文文本 Char"/>
    <w:link w:val="10"/>
    <w:autoRedefine/>
    <w:qFormat/>
    <w:uiPriority w:val="0"/>
    <w:rPr>
      <w:rFonts w:ascii="黑体" w:hAnsi="黑体" w:eastAsia="黑体" w:cs="黑体"/>
      <w:sz w:val="30"/>
      <w:szCs w:val="30"/>
      <w:lang w:val="zh-CN" w:eastAsia="zh-CN" w:bidi="zh-CN"/>
    </w:rPr>
  </w:style>
  <w:style w:type="paragraph" w:customStyle="1" w:styleId="32">
    <w:name w:val="0表-序号"/>
    <w:next w:val="1"/>
    <w:autoRedefine/>
    <w:qFormat/>
    <w:uiPriority w:val="0"/>
    <w:pPr>
      <w:numPr>
        <w:ilvl w:val="6"/>
        <w:numId w:val="1"/>
      </w:numPr>
      <w:jc w:val="center"/>
    </w:pPr>
    <w:rPr>
      <w:rFonts w:ascii="Times New Roman" w:hAnsi="Times New Roman" w:eastAsia="宋体" w:cs="Times New Roman"/>
      <w:b/>
      <w:sz w:val="21"/>
      <w:lang w:val="en-US" w:eastAsia="zh-CN" w:bidi="ar-SA"/>
    </w:rPr>
  </w:style>
  <w:style w:type="paragraph" w:customStyle="1" w:styleId="33">
    <w:name w:val="报告标题3"/>
    <w:basedOn w:val="1"/>
    <w:autoRedefine/>
    <w:qFormat/>
    <w:uiPriority w:val="0"/>
    <w:pPr>
      <w:keepNext/>
      <w:keepLines/>
      <w:outlineLvl w:val="2"/>
    </w:pPr>
    <w:rPr>
      <w:rFonts w:ascii="Times New Roman" w:hAnsi="Times New Roman"/>
      <w:b/>
      <w:color w:val="000000"/>
      <w:kern w:val="1"/>
      <w:sz w:val="32"/>
    </w:rPr>
  </w:style>
  <w:style w:type="paragraph" w:customStyle="1" w:styleId="34">
    <w:name w:val="表内2014"/>
    <w:basedOn w:val="1"/>
    <w:autoRedefine/>
    <w:qFormat/>
    <w:uiPriority w:val="99"/>
    <w:pPr>
      <w:snapToGrid w:val="0"/>
      <w:spacing w:line="240" w:lineRule="auto"/>
      <w:ind w:firstLine="0" w:firstLineChars="0"/>
      <w:jc w:val="center"/>
    </w:pPr>
    <w:rPr>
      <w:sz w:val="21"/>
      <w:szCs w:val="21"/>
    </w:rPr>
  </w:style>
  <w:style w:type="character" w:customStyle="1" w:styleId="35">
    <w:name w:val="font11"/>
    <w:basedOn w:val="23"/>
    <w:autoRedefine/>
    <w:qFormat/>
    <w:uiPriority w:val="0"/>
    <w:rPr>
      <w:rFonts w:hint="eastAsia" w:ascii="宋体" w:hAnsi="宋体" w:eastAsia="宋体" w:cs="宋体"/>
      <w:color w:val="000000"/>
      <w:sz w:val="21"/>
      <w:szCs w:val="21"/>
      <w:u w:val="none"/>
    </w:rPr>
  </w:style>
  <w:style w:type="character" w:customStyle="1" w:styleId="36">
    <w:name w:val="font21"/>
    <w:basedOn w:val="23"/>
    <w:autoRedefine/>
    <w:qFormat/>
    <w:uiPriority w:val="0"/>
    <w:rPr>
      <w:rFonts w:hint="eastAsia" w:ascii="宋体" w:hAnsi="宋体" w:eastAsia="宋体" w:cs="宋体"/>
      <w:color w:val="000000"/>
      <w:sz w:val="21"/>
      <w:szCs w:val="21"/>
      <w:u w:val="none"/>
    </w:rPr>
  </w:style>
  <w:style w:type="paragraph" w:customStyle="1" w:styleId="37">
    <w:name w:val="报告正文"/>
    <w:basedOn w:val="1"/>
    <w:autoRedefine/>
    <w:qFormat/>
    <w:uiPriority w:val="0"/>
    <w:pPr>
      <w:spacing w:line="360" w:lineRule="auto"/>
      <w:ind w:firstLine="482"/>
    </w:pPr>
    <w:rPr>
      <w:rFonts w:ascii="”“Times New Roman”“" w:hAnsi="”“Times New Roman”“" w:eastAsia="Courier New" w:cs="Times New Roman"/>
      <w:kern w:val="0"/>
      <w:szCs w:val="21"/>
    </w:rPr>
  </w:style>
  <w:style w:type="character" w:customStyle="1" w:styleId="38">
    <w:name w:val="标题 1 Char"/>
    <w:link w:val="4"/>
    <w:autoRedefine/>
    <w:qFormat/>
    <w:uiPriority w:val="1"/>
    <w:rPr>
      <w:rFonts w:cs="Times New Roman"/>
      <w:b/>
      <w:bCs/>
      <w:sz w:val="32"/>
      <w:szCs w:val="32"/>
    </w:rPr>
  </w:style>
  <w:style w:type="paragraph" w:customStyle="1" w:styleId="39">
    <w:name w:val="lh-表格文字-报告表"/>
    <w:autoRedefine/>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40">
    <w:name w:val="图表11111"/>
    <w:basedOn w:val="41"/>
    <w:autoRedefine/>
    <w:qFormat/>
    <w:uiPriority w:val="0"/>
  </w:style>
  <w:style w:type="paragraph" w:customStyle="1" w:styleId="41">
    <w:name w:val="图表"/>
    <w:basedOn w:val="1"/>
    <w:autoRedefine/>
    <w:qFormat/>
    <w:uiPriority w:val="0"/>
    <w:pPr>
      <w:spacing w:line="360" w:lineRule="auto"/>
      <w:jc w:val="center"/>
    </w:pPr>
    <w:rPr>
      <w:rFonts w:eastAsia="黑体"/>
      <w:color w:val="000000"/>
      <w:sz w:val="24"/>
    </w:rPr>
  </w:style>
  <w:style w:type="paragraph" w:customStyle="1" w:styleId="42">
    <w:name w:val="表格1"/>
    <w:basedOn w:val="43"/>
    <w:autoRedefine/>
    <w:qFormat/>
    <w:uiPriority w:val="0"/>
  </w:style>
  <w:style w:type="paragraph" w:customStyle="1" w:styleId="43">
    <w:name w:val="表格"/>
    <w:basedOn w:val="1"/>
    <w:next w:val="1"/>
    <w:autoRedefine/>
    <w:qFormat/>
    <w:uiPriority w:val="0"/>
    <w:pPr>
      <w:adjustRightInd w:val="0"/>
      <w:snapToGrid w:val="0"/>
      <w:spacing w:line="300" w:lineRule="exact"/>
    </w:pPr>
    <w:rPr>
      <w:sz w:val="21"/>
    </w:rPr>
  </w:style>
  <w:style w:type="table" w:customStyle="1" w:styleId="44">
    <w:name w:val="Table Normal"/>
    <w:autoRedefine/>
    <w:semiHidden/>
    <w:unhideWhenUsed/>
    <w:qFormat/>
    <w:uiPriority w:val="2"/>
    <w:tblPr>
      <w:tblCellMar>
        <w:top w:w="0" w:type="dxa"/>
        <w:left w:w="0" w:type="dxa"/>
        <w:bottom w:w="0" w:type="dxa"/>
        <w:right w:w="0" w:type="dxa"/>
      </w:tblCellMar>
    </w:tblPr>
  </w:style>
  <w:style w:type="character" w:customStyle="1" w:styleId="45">
    <w:name w:val="font91"/>
    <w:basedOn w:val="23"/>
    <w:autoRedefine/>
    <w:qFormat/>
    <w:uiPriority w:val="0"/>
    <w:rPr>
      <w:rFonts w:hint="eastAsia" w:ascii="宋体" w:hAnsi="宋体" w:eastAsia="宋体" w:cs="宋体"/>
      <w:color w:val="000000"/>
      <w:sz w:val="20"/>
      <w:szCs w:val="20"/>
      <w:u w:val="none"/>
      <w:vertAlign w:val="superscript"/>
    </w:rPr>
  </w:style>
  <w:style w:type="character" w:customStyle="1" w:styleId="46">
    <w:name w:val="font01"/>
    <w:basedOn w:val="23"/>
    <w:autoRedefine/>
    <w:qFormat/>
    <w:uiPriority w:val="0"/>
    <w:rPr>
      <w:rFonts w:hint="eastAsia" w:ascii="宋体" w:hAnsi="宋体" w:eastAsia="宋体" w:cs="宋体"/>
      <w:color w:val="000000"/>
      <w:sz w:val="20"/>
      <w:szCs w:val="20"/>
      <w:u w:val="none"/>
      <w:vertAlign w:val="subscript"/>
    </w:rPr>
  </w:style>
  <w:style w:type="character" w:customStyle="1" w:styleId="47">
    <w:name w:val="font161"/>
    <w:basedOn w:val="23"/>
    <w:autoRedefine/>
    <w:qFormat/>
    <w:uiPriority w:val="0"/>
    <w:rPr>
      <w:rFonts w:hint="eastAsia" w:ascii="宋体" w:hAnsi="宋体" w:eastAsia="宋体" w:cs="宋体"/>
      <w:color w:val="000000"/>
      <w:sz w:val="20"/>
      <w:szCs w:val="20"/>
      <w:u w:val="none"/>
    </w:rPr>
  </w:style>
  <w:style w:type="character" w:customStyle="1" w:styleId="48">
    <w:name w:val="font171"/>
    <w:basedOn w:val="23"/>
    <w:autoRedefine/>
    <w:qFormat/>
    <w:uiPriority w:val="0"/>
    <w:rPr>
      <w:rFonts w:hint="eastAsia" w:ascii="宋体" w:hAnsi="宋体" w:eastAsia="宋体" w:cs="宋体"/>
      <w:color w:val="000000"/>
      <w:sz w:val="20"/>
      <w:szCs w:val="20"/>
      <w:u w:val="none"/>
      <w:vertAlign w:val="superscript"/>
    </w:rPr>
  </w:style>
  <w:style w:type="character" w:customStyle="1" w:styleId="49">
    <w:name w:val="font31"/>
    <w:basedOn w:val="23"/>
    <w:autoRedefine/>
    <w:qFormat/>
    <w:uiPriority w:val="0"/>
    <w:rPr>
      <w:rFonts w:hint="eastAsia" w:ascii="宋体" w:hAnsi="宋体" w:eastAsia="宋体" w:cs="宋体"/>
      <w:color w:val="000000"/>
      <w:sz w:val="20"/>
      <w:szCs w:val="20"/>
      <w:u w:val="none"/>
    </w:rPr>
  </w:style>
  <w:style w:type="character" w:customStyle="1" w:styleId="50">
    <w:name w:val="font181"/>
    <w:basedOn w:val="23"/>
    <w:autoRedefine/>
    <w:qFormat/>
    <w:uiPriority w:val="0"/>
    <w:rPr>
      <w:rFonts w:hint="eastAsia" w:ascii="宋体" w:hAnsi="宋体" w:eastAsia="宋体" w:cs="宋体"/>
      <w:color w:val="000000"/>
      <w:sz w:val="20"/>
      <w:szCs w:val="20"/>
      <w:u w:val="none"/>
      <w:vertAlign w:val="subscript"/>
    </w:rPr>
  </w:style>
  <w:style w:type="character" w:customStyle="1" w:styleId="51">
    <w:name w:val="font201"/>
    <w:basedOn w:val="23"/>
    <w:autoRedefine/>
    <w:qFormat/>
    <w:uiPriority w:val="0"/>
    <w:rPr>
      <w:rFonts w:hint="default" w:ascii="Times New Roman" w:hAnsi="Times New Roman" w:cs="Times New Roman"/>
      <w:color w:val="000000"/>
      <w:sz w:val="20"/>
      <w:szCs w:val="20"/>
      <w:u w:val="none"/>
    </w:rPr>
  </w:style>
  <w:style w:type="character" w:customStyle="1" w:styleId="52">
    <w:name w:val="font212"/>
    <w:basedOn w:val="23"/>
    <w:autoRedefine/>
    <w:qFormat/>
    <w:uiPriority w:val="0"/>
    <w:rPr>
      <w:rFonts w:hint="default" w:ascii="Times New Roman" w:hAnsi="Times New Roman" w:cs="Times New Roman"/>
      <w:color w:val="000000"/>
      <w:sz w:val="20"/>
      <w:szCs w:val="20"/>
      <w:u w:val="none"/>
      <w:vertAlign w:val="subscript"/>
    </w:rPr>
  </w:style>
  <w:style w:type="character" w:customStyle="1" w:styleId="53">
    <w:name w:val="font51"/>
    <w:basedOn w:val="23"/>
    <w:autoRedefine/>
    <w:qFormat/>
    <w:uiPriority w:val="0"/>
    <w:rPr>
      <w:rFonts w:hint="default" w:ascii="Times New Roman" w:hAnsi="Times New Roman" w:cs="Times New Roman"/>
      <w:b/>
      <w:bCs/>
      <w:color w:val="000000"/>
      <w:sz w:val="21"/>
      <w:szCs w:val="21"/>
      <w:u w:val="none"/>
    </w:rPr>
  </w:style>
  <w:style w:type="character" w:customStyle="1" w:styleId="54">
    <w:name w:val="font101"/>
    <w:basedOn w:val="23"/>
    <w:autoRedefine/>
    <w:qFormat/>
    <w:uiPriority w:val="0"/>
    <w:rPr>
      <w:rFonts w:hint="default" w:ascii="Times New Roman" w:hAnsi="Times New Roman" w:cs="Times New Roman"/>
      <w:b/>
      <w:bCs/>
      <w:color w:val="000000"/>
      <w:sz w:val="21"/>
      <w:szCs w:val="21"/>
      <w:u w:val="none"/>
      <w:vertAlign w:val="subscript"/>
    </w:rPr>
  </w:style>
  <w:style w:type="character" w:customStyle="1" w:styleId="55">
    <w:name w:val="font61"/>
    <w:basedOn w:val="23"/>
    <w:autoRedefine/>
    <w:qFormat/>
    <w:uiPriority w:val="0"/>
    <w:rPr>
      <w:rFonts w:hint="eastAsia" w:ascii="宋体" w:hAnsi="宋体" w:eastAsia="宋体" w:cs="宋体"/>
      <w:color w:val="000000"/>
      <w:sz w:val="21"/>
      <w:szCs w:val="21"/>
      <w:u w:val="none"/>
    </w:rPr>
  </w:style>
  <w:style w:type="character" w:customStyle="1" w:styleId="56">
    <w:name w:val="font81"/>
    <w:basedOn w:val="23"/>
    <w:autoRedefine/>
    <w:qFormat/>
    <w:uiPriority w:val="0"/>
    <w:rPr>
      <w:rFonts w:hint="default" w:ascii="Times New Roman" w:hAnsi="Times New Roman" w:cs="Times New Roman"/>
      <w:color w:val="000000"/>
      <w:sz w:val="21"/>
      <w:szCs w:val="21"/>
      <w:u w:val="none"/>
    </w:rPr>
  </w:style>
  <w:style w:type="paragraph" w:customStyle="1" w:styleId="57">
    <w:name w:val="+正文"/>
    <w:basedOn w:val="1"/>
    <w:autoRedefine/>
    <w:qFormat/>
    <w:uiPriority w:val="0"/>
    <w:pPr>
      <w:spacing w:line="360" w:lineRule="auto"/>
    </w:pPr>
    <w:rPr>
      <w:rFonts w:ascii="Calibri" w:hAnsi="Calibri"/>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7.png"/><Relationship Id="rId21" Type="http://schemas.openxmlformats.org/officeDocument/2006/relationships/image" Target="media/image6.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36"/>
    <customShpInfo spid="_x0000_s1041" textRotate="1"/>
    <customShpInfo spid="_x0000_s1027"/>
    <customShpInfo spid="_x0000_s104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30654</Words>
  <Characters>35245</Characters>
  <Lines>0</Lines>
  <Paragraphs>0</Paragraphs>
  <TotalTime>12</TotalTime>
  <ScaleCrop>false</ScaleCrop>
  <LinksUpToDate>false</LinksUpToDate>
  <CharactersWithSpaces>36285</CharactersWithSpaces>
  <Application>WPS Office_12.1.0.17121_F1E327BC-269C-435d-A152-05C5408002CA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2021-01-04T06:04:00Z</dcterms:created>
  <dc:creator>賀＆先森~</dc:creator>
  <cp:lastModifiedBy>兴隆飞跃环保</cp:lastModifiedBy>
  <cp:lastPrinted>2023-10-31T01:08:00Z</cp:lastPrinted>
  <dcterms:modified xsi:type="dcterms:W3CDTF">2024-06-03T01:46:20Z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2052-12.1.0.17121</vt:lpwstr>
  </property>
  <property fmtid="{D5CDD505-2E9C-101B-9397-08002B2CF9AE}" pid="3" name="ICV">
    <vt:lpwstr>A8BBE1ED195E4AB384623087DB57ABD9_13</vt:lpwstr>
  </property>
</Properties>
</file>