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南政发〔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〕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</w:rPr>
        <w:t>南天门满族乡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森林草原防灭火“四大一重”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专项整治活动工作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  <w:t>实施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各村委会、相关单位：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按照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《兴隆县森林草原防灭火“四大一重”专项整治活动工作方案》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通知要求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为确保我乡森林草原防灭火工作顺利开展，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保障人民群众生命财产安全、森林资源安全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经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乡党委政府研究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决定在全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范围内集中开展森林草原防灭火“四大一重”专项整治活动，特制订本方案。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深入学习国家、省、市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、县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森林草原防灭火工作会议精神。坚持以人为本，生命至上，防止重特大森林草原火灾和人员伤亡事故发生，为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全乡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经济平稳运行与社会和谐稳定创造良好环境。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在全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范围内集中开展森林草原防火“四大一重”专项整治活动（</w:t>
      </w:r>
      <w:r>
        <w:rPr>
          <w:rFonts w:hint="eastAsia" w:ascii="楷体_GB2312" w:eastAsia="楷体_GB2312"/>
          <w:color w:val="000000" w:themeColor="text1"/>
          <w:sz w:val="30"/>
          <w:szCs w:val="30"/>
        </w:rPr>
        <w:t>大排查、大宣传、大培训、大整治、严重打击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），全面清理火灾隐患、消除漏洞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降低火灾风险，最大限度地减少火情火点发生，坚决避免森林火灾事故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（一）安排部署阶段（5月1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日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</w:rPr>
        <w:t>-15日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）。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迅速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向各村及有关单位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传达市、县森林草原防灭火工作会议精神，制定切实可行的工作方案，明确具体工作任务、责任人和完成时限。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（二）全面推进阶段（5月1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日-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日）。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村及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有关单位要严格落实主体责任，主要领导要亲自部署、迅速推进，全面高效开展“四大一重”专项整治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。做到整治一处、消除一处，保质保量按时完成工作任务。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（三）检查验收阶段（5月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</w:rPr>
        <w:t>18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日-2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日）。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乡政府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对各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和有关单位整治情况进行严格检查验收。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b w:val="0"/>
          <w:bCs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（一）大排查。</w:t>
      </w:r>
      <w:r>
        <w:rPr>
          <w:rFonts w:hint="eastAsia" w:ascii="楷体_GB2312" w:eastAsia="楷体_GB2312"/>
          <w:b w:val="0"/>
          <w:bCs/>
          <w:color w:val="000000" w:themeColor="text1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全面排查林区供电线路，对过林区供电线路进行大排查，重点排查老旧、易脱落、搭树枝等易发生短路造成火灾线路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全面排查林区企业，对在野外、林区生产或靠近林区的企业、旅游企业逐一进行大排查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彻底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清楚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火灾风险隐患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全面排查常住人口，对常住人口逐户进行大排查，确保60岁以上老人、精神病人、痴</w:t>
      </w:r>
      <w:r>
        <w:rPr>
          <w:rFonts w:hint="eastAsia" w:ascii="仿宋_GB2312"/>
          <w:b w:val="0"/>
          <w:bCs/>
          <w:color w:val="000000" w:themeColor="text1"/>
          <w:sz w:val="32"/>
          <w:szCs w:val="32"/>
        </w:rPr>
        <w:t>苶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呆傻等特殊人群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有纵火动机”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人员全部纳入重点管控，逐一落实包保责任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全面排查火源管控措施，对火源管控措施落实情况进行大排查，确保山林入口、景区景点，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有专人进行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防火检查。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（二）大宣传。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村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利用广播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、防火旗、明白纸、警示条幅开展防火宣传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大力开展“万人行动敲门见人”大排查行动，开展“一对一”警示教育，做到常住人口全覆盖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大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力开展集中宣传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在景区景点、山林入口、循环播放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防火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宣传材料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全力营造浓厚宣传氛围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（三）大培训。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与在野外施工企业、旅游企业全部签署防火责任书，同时责成企业对在野外施工、山林附近作业、景区景点的工作人员全部进行岗前防火工作大培训。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（四）大整治。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针对在大排查中发现的防火安全隐患、防控措施短板、管理漏洞，在大宣传、大培训中存在的薄弱环节和遗漏领域开展大整治活动。建立问题清单，跟踪督办落实，限时整改，全力降低火点火情发生次数，全面防范森林草原火灾风险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（五）严重打击。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强化火源管控，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按照“四不放行”工作原则，在山林入口、景区景点，全面加强防火检查和火源管控，严禁火种进山入林。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严打非法野外用火，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按照“见烟就查，见火就抓，成灾就捕”的原则，严查火情热点，严惩肇事者。特别是针对涉嫌泄私愤故意纵火等行为，一经查实，严肃追究当事人刑事责任。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（一）提高思想认识。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村和相关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单位要高度重视此项工作，站在讲政治的高度，强化工作举措，建立工作台账，将工作抓好、抓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、抓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。包村干部和村党支部书记、村主任为直接责任人，层层压实责任，确保落实到位。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（二）落实网格责任。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分片包干，落实到村、组、户和人头，充分发挥护林员、保洁员作用，建立横向到边、纵向到底的网格化责任落实体系。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农户或经营者为各自承包山、林、田的责任主体：村委会负责辖区内无主山、林、田的责任主体。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（三）严格工作标准。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村要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全面开展“四大一重”专项整治活动，确保排查到位、宣传到位、培训到位、整治到位、检查持续至6月1日春防结束。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（四）加强督导验收。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乡政府将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对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10个村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整治工作开展情况逐一进行督导落实，对未达到验收要求的责成限时整改到位，并进行通报批评；对因重视程度不够，工作落实不到位的严肃约谈，情节严重的严厉追责问责。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</w:rPr>
        <w:t>五）强化舆论宣传。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各村要利用大喇叭进行不间断宣传，形成“四大一重”专项整治活动强大宣传全力。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附件：南天门满族乡森林草原防灭火“四大一重”专项整治活动进度表。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ascii="仿宋_GB2312" w:eastAsia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南天门满族乡人民政府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二〇二一年五月十四日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right"/>
        <w:textAlignment w:val="auto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附件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  <w:t>南天门满族乡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森林草原防火“四大一重”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专项整治活动进度表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33"/>
        <w:gridCol w:w="1704"/>
        <w:gridCol w:w="1705"/>
        <w:gridCol w:w="1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  <w:t>大排查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全面排查林区供电线路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涉及线路数量</w:t>
            </w: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560" w:hangingChars="20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已排查长度公里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问题数量</w:t>
            </w: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全面排查林区企业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涉及企业数量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已排查企业数量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问题数量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全面排查常住人口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常住人口数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已排查人数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落实包保责任**人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全面排查人员火源管控措施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山林入口防火检查站景区景点数量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已完成排查数量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问题数量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  <w:t>大宣传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持续开展常态化宣传教育</w:t>
            </w:r>
          </w:p>
        </w:tc>
        <w:tc>
          <w:tcPr>
            <w:tcW w:w="5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常规防火宣传及“万人行动敲门见人”大排查行动开展情况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全力开展集中宣传</w:t>
            </w:r>
          </w:p>
        </w:tc>
        <w:tc>
          <w:tcPr>
            <w:tcW w:w="5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在景区景点、交通枢纽、山林入口、防火检查站集中宣传情况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精准开展定点宣传</w:t>
            </w:r>
          </w:p>
        </w:tc>
        <w:tc>
          <w:tcPr>
            <w:tcW w:w="5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精准发送防火宣传短信数量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  <w:t>大培训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签署防火责任书</w:t>
            </w:r>
          </w:p>
        </w:tc>
        <w:tc>
          <w:tcPr>
            <w:tcW w:w="5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与有关企业签署责任书数量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岗前防火工作大培训</w:t>
            </w:r>
          </w:p>
        </w:tc>
        <w:tc>
          <w:tcPr>
            <w:tcW w:w="5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已完成有关企业工作人员培训人数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  <w:t>大整治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防火安全隐患、防控措施短板、管理机制漏洞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问题数量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整改完成情况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在大宣传、大培训中存在的薄弱环节和遗漏领域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问题数量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整改完成情况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2"/>
                <w:szCs w:val="32"/>
              </w:rPr>
              <w:t>严重打击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强化人员火源管控</w:t>
            </w:r>
          </w:p>
        </w:tc>
        <w:tc>
          <w:tcPr>
            <w:tcW w:w="5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劝返车辆、人员数，没收打火机等火种火源数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8"/>
                <w:szCs w:val="28"/>
              </w:rPr>
              <w:t>严打非法野外用火</w:t>
            </w:r>
          </w:p>
        </w:tc>
        <w:tc>
          <w:tcPr>
            <w:tcW w:w="5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 w:themeColor="text1"/>
                <w:kern w:val="0"/>
                <w:sz w:val="28"/>
                <w:szCs w:val="28"/>
              </w:rPr>
              <w:t>发现火情热点**个，处拘留罚款**人，追究刑事责任**人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hint="eastAsia" w:ascii="宋体" w:hAnsi="宋体" w:eastAsia="宋体" w:cs="宋体"/>
                    <w:sz w:val="28"/>
                    <w:szCs w:val="28"/>
                  </w:rPr>
                  <w:id w:val="28491219"/>
                  <w:docPartObj>
                    <w:docPartGallery w:val="autotext"/>
                  </w:docPartObj>
                </w:sdtPr>
                <w:sdtEndPr>
                  <w:rPr>
                    <w:rFonts w:hint="eastAsia" w:ascii="宋体" w:hAnsi="宋体" w:eastAsia="宋体" w:cs="宋体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>
                <w:pPr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  <w:sdt>
                  <w:sdtP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id w:val="28491225"/>
                    <w:docPartObj>
                      <w:docPartGallery w:val="autotext"/>
                    </w:docPartObj>
                  </w:sdtPr>
                  <w:sdtEndP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</w:sdtEndPr>
                  <w:sdtContent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sdtContent>
                </w:sdt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704"/>
    <w:rsid w:val="00000B66"/>
    <w:rsid w:val="00170741"/>
    <w:rsid w:val="00172977"/>
    <w:rsid w:val="001B271B"/>
    <w:rsid w:val="002F67FA"/>
    <w:rsid w:val="00347EBF"/>
    <w:rsid w:val="004517CF"/>
    <w:rsid w:val="004C17B3"/>
    <w:rsid w:val="005A441A"/>
    <w:rsid w:val="00630F18"/>
    <w:rsid w:val="00691870"/>
    <w:rsid w:val="00851EB1"/>
    <w:rsid w:val="008A4085"/>
    <w:rsid w:val="008E5B05"/>
    <w:rsid w:val="009414D4"/>
    <w:rsid w:val="00963704"/>
    <w:rsid w:val="00A14EF7"/>
    <w:rsid w:val="00B31334"/>
    <w:rsid w:val="00BE3566"/>
    <w:rsid w:val="00D3514A"/>
    <w:rsid w:val="00E26141"/>
    <w:rsid w:val="00E41A67"/>
    <w:rsid w:val="00E44251"/>
    <w:rsid w:val="00E461F5"/>
    <w:rsid w:val="00F25D0C"/>
    <w:rsid w:val="00F724D9"/>
    <w:rsid w:val="00FA4246"/>
    <w:rsid w:val="0307532D"/>
    <w:rsid w:val="03AD4947"/>
    <w:rsid w:val="05DE7D96"/>
    <w:rsid w:val="0A696C30"/>
    <w:rsid w:val="0AED0946"/>
    <w:rsid w:val="0F6624E4"/>
    <w:rsid w:val="11202313"/>
    <w:rsid w:val="128364EA"/>
    <w:rsid w:val="1888779F"/>
    <w:rsid w:val="275407FE"/>
    <w:rsid w:val="2B1A4D14"/>
    <w:rsid w:val="2BEB7A6A"/>
    <w:rsid w:val="2C216906"/>
    <w:rsid w:val="315B7D66"/>
    <w:rsid w:val="324C6B9F"/>
    <w:rsid w:val="331D3E31"/>
    <w:rsid w:val="367E3733"/>
    <w:rsid w:val="37EE5FA5"/>
    <w:rsid w:val="3B735EA9"/>
    <w:rsid w:val="3C5F15A9"/>
    <w:rsid w:val="3F4A06C0"/>
    <w:rsid w:val="40E66E21"/>
    <w:rsid w:val="42F85E22"/>
    <w:rsid w:val="4612408F"/>
    <w:rsid w:val="50665690"/>
    <w:rsid w:val="51926E8B"/>
    <w:rsid w:val="548E45DD"/>
    <w:rsid w:val="5D950261"/>
    <w:rsid w:val="64782018"/>
    <w:rsid w:val="64E3021C"/>
    <w:rsid w:val="6E7505D9"/>
    <w:rsid w:val="6F1812F8"/>
    <w:rsid w:val="750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539</Words>
  <Characters>3073</Characters>
  <Lines>25</Lines>
  <Paragraphs>7</Paragraphs>
  <TotalTime>10</TotalTime>
  <ScaleCrop>false</ScaleCrop>
  <LinksUpToDate>false</LinksUpToDate>
  <CharactersWithSpaces>3605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2021-05-12T14:47:00Z</dcterms:created>
  <dc:creator>Windows 用户</dc:creator>
  <cp:lastModifiedBy>Administrator</cp:lastModifiedBy>
  <cp:lastPrinted>2021-05-14T10:36:56Z</cp:lastPrinted>
  <dcterms:modified xsi:type="dcterms:W3CDTF">2021-05-14T10:36:59Z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81A3D8AB04B347588DF3CCB106867EDC</vt:lpwstr>
  </property>
</Properties>
</file>