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黑体"/>
          <w:b/>
          <w:bCs/>
          <w:spacing w:val="-2"/>
          <w:kern w:val="0"/>
          <w:sz w:val="48"/>
          <w:szCs w:val="48"/>
        </w:rPr>
      </w:pPr>
      <w:bookmarkStart w:id="0" w:name="_Toc326754938"/>
      <w:bookmarkStart w:id="1" w:name="_Toc282959686"/>
      <w:bookmarkStart w:id="2" w:name="_Toc286835691"/>
      <w:bookmarkStart w:id="3" w:name="_Toc283110161"/>
      <w:bookmarkStart w:id="4" w:name="_Toc282946116"/>
      <w:bookmarkStart w:id="5" w:name="_Toc286934626"/>
      <w:bookmarkStart w:id="6" w:name="_Toc332632533"/>
    </w:p>
    <w:p>
      <w:pPr>
        <w:pStyle w:val="12"/>
        <w:rPr>
          <w:rFonts w:eastAsia="黑体"/>
          <w:b/>
          <w:bCs/>
          <w:spacing w:val="-2"/>
          <w:kern w:val="0"/>
          <w:sz w:val="48"/>
          <w:szCs w:val="48"/>
        </w:rPr>
      </w:pPr>
    </w:p>
    <w:p/>
    <w:p>
      <w:pPr>
        <w:ind w:firstLine="0" w:firstLineChars="0"/>
        <w:jc w:val="center"/>
        <w:rPr>
          <w:rFonts w:hint="eastAsia" w:eastAsia="黑体"/>
          <w:b/>
          <w:bCs/>
          <w:spacing w:val="-2"/>
          <w:kern w:val="0"/>
          <w:sz w:val="48"/>
          <w:szCs w:val="48"/>
          <w:lang w:eastAsia="zh-CN"/>
        </w:rPr>
      </w:pPr>
      <w:r>
        <w:rPr>
          <w:rFonts w:hint="eastAsia" w:ascii="宋体" w:hAnsi="宋体" w:cs="宋体"/>
          <w:b/>
          <w:bCs/>
          <w:spacing w:val="-2"/>
          <w:kern w:val="0"/>
          <w:sz w:val="48"/>
          <w:szCs w:val="48"/>
          <w:lang w:eastAsia="zh-CN"/>
        </w:rPr>
        <w:t>三块石国考断面周边环境综合整治工程</w:t>
      </w:r>
    </w:p>
    <w:p>
      <w:pPr>
        <w:ind w:firstLine="0" w:firstLineChars="0"/>
        <w:jc w:val="center"/>
        <w:rPr>
          <w:rFonts w:hint="eastAsia" w:ascii="宋体" w:hAnsi="宋体" w:eastAsia="宋体" w:cs="宋体"/>
          <w:b/>
          <w:bCs/>
          <w:spacing w:val="-2"/>
          <w:kern w:val="0"/>
          <w:sz w:val="84"/>
          <w:szCs w:val="84"/>
        </w:rPr>
      </w:pPr>
      <w:r>
        <w:rPr>
          <w:rFonts w:hint="eastAsia" w:ascii="宋体" w:hAnsi="宋体" w:eastAsia="宋体" w:cs="宋体"/>
          <w:b/>
          <w:bCs/>
          <w:spacing w:val="-2"/>
          <w:kern w:val="0"/>
          <w:sz w:val="84"/>
          <w:szCs w:val="84"/>
        </w:rPr>
        <w:t>环境影响报告书</w:t>
      </w:r>
    </w:p>
    <w:p>
      <w:pPr>
        <w:ind w:firstLine="632"/>
        <w:rPr>
          <w:rFonts w:eastAsia="隶书"/>
          <w:spacing w:val="-2"/>
          <w:kern w:val="0"/>
          <w:sz w:val="32"/>
          <w:szCs w:val="32"/>
        </w:rPr>
      </w:pPr>
      <w:r>
        <w:rPr>
          <w:rFonts w:eastAsia="隶书"/>
          <w:spacing w:val="-2"/>
          <w:kern w:val="0"/>
          <w:sz w:val="32"/>
          <w:szCs w:val="32"/>
        </w:rPr>
        <w:t xml:space="preserve"> </w:t>
      </w:r>
    </w:p>
    <w:p>
      <w:pPr>
        <w:ind w:firstLine="632"/>
        <w:rPr>
          <w:rFonts w:eastAsia="隶书"/>
          <w:spacing w:val="-2"/>
          <w:kern w:val="0"/>
          <w:sz w:val="32"/>
          <w:szCs w:val="32"/>
        </w:rPr>
      </w:pPr>
      <w:r>
        <w:rPr>
          <w:rFonts w:eastAsia="隶书"/>
          <w:spacing w:val="-2"/>
          <w:kern w:val="0"/>
          <w:sz w:val="32"/>
          <w:szCs w:val="32"/>
        </w:rPr>
        <w:t xml:space="preserve"> </w:t>
      </w:r>
    </w:p>
    <w:p>
      <w:pPr>
        <w:ind w:firstLine="632"/>
        <w:rPr>
          <w:rFonts w:eastAsia="隶书"/>
          <w:spacing w:val="-2"/>
          <w:kern w:val="0"/>
          <w:sz w:val="32"/>
          <w:szCs w:val="32"/>
        </w:rPr>
      </w:pPr>
    </w:p>
    <w:p>
      <w:pPr>
        <w:ind w:firstLine="632"/>
        <w:rPr>
          <w:rFonts w:eastAsia="隶书"/>
          <w:spacing w:val="-2"/>
          <w:kern w:val="0"/>
          <w:sz w:val="32"/>
          <w:szCs w:val="32"/>
        </w:rPr>
      </w:pPr>
      <w:r>
        <w:rPr>
          <w:rFonts w:eastAsia="隶书"/>
          <w:spacing w:val="-2"/>
          <w:kern w:val="0"/>
          <w:sz w:val="32"/>
          <w:szCs w:val="32"/>
        </w:rPr>
        <w:t xml:space="preserve"> </w:t>
      </w:r>
    </w:p>
    <w:p>
      <w:pPr>
        <w:ind w:firstLine="632"/>
        <w:rPr>
          <w:rFonts w:eastAsia="隶书"/>
          <w:spacing w:val="-2"/>
          <w:kern w:val="0"/>
          <w:sz w:val="32"/>
          <w:szCs w:val="32"/>
        </w:rPr>
      </w:pPr>
      <w:r>
        <w:rPr>
          <w:rFonts w:eastAsia="隶书"/>
          <w:spacing w:val="-2"/>
          <w:kern w:val="0"/>
          <w:sz w:val="32"/>
          <w:szCs w:val="32"/>
        </w:rPr>
        <w:t xml:space="preserve"> </w:t>
      </w:r>
    </w:p>
    <w:p>
      <w:pPr>
        <w:ind w:firstLine="632"/>
        <w:rPr>
          <w:rFonts w:eastAsia="隶书"/>
          <w:spacing w:val="-2"/>
          <w:kern w:val="0"/>
          <w:sz w:val="32"/>
          <w:szCs w:val="32"/>
        </w:rPr>
      </w:pPr>
      <w:r>
        <w:rPr>
          <w:rFonts w:eastAsia="隶书"/>
          <w:spacing w:val="-2"/>
          <w:kern w:val="0"/>
          <w:sz w:val="32"/>
          <w:szCs w:val="32"/>
        </w:rPr>
        <w:t xml:space="preserve"> </w:t>
      </w:r>
    </w:p>
    <w:p>
      <w:pPr>
        <w:ind w:firstLine="632"/>
        <w:rPr>
          <w:rFonts w:eastAsia="隶书"/>
          <w:spacing w:val="-2"/>
          <w:kern w:val="0"/>
          <w:sz w:val="32"/>
          <w:szCs w:val="32"/>
        </w:rPr>
      </w:pPr>
      <w:r>
        <w:rPr>
          <w:rFonts w:eastAsia="隶书"/>
          <w:spacing w:val="-2"/>
          <w:kern w:val="0"/>
          <w:sz w:val="32"/>
          <w:szCs w:val="32"/>
        </w:rPr>
        <w:t xml:space="preserve"> </w:t>
      </w:r>
    </w:p>
    <w:p>
      <w:pPr>
        <w:ind w:firstLine="632"/>
        <w:rPr>
          <w:rFonts w:eastAsia="隶书"/>
          <w:spacing w:val="-2"/>
          <w:kern w:val="0"/>
          <w:sz w:val="32"/>
          <w:szCs w:val="32"/>
        </w:rPr>
      </w:pPr>
      <w:r>
        <w:rPr>
          <w:rFonts w:eastAsia="隶书"/>
          <w:spacing w:val="-2"/>
          <w:kern w:val="0"/>
          <w:sz w:val="32"/>
          <w:szCs w:val="32"/>
        </w:rPr>
        <w:t xml:space="preserve"> </w:t>
      </w:r>
    </w:p>
    <w:p>
      <w:pPr>
        <w:ind w:firstLine="632"/>
        <w:rPr>
          <w:rFonts w:eastAsia="隶书"/>
          <w:spacing w:val="-2"/>
          <w:kern w:val="0"/>
          <w:sz w:val="32"/>
          <w:szCs w:val="32"/>
        </w:rPr>
      </w:pPr>
      <w:r>
        <w:rPr>
          <w:rFonts w:eastAsia="隶书"/>
          <w:spacing w:val="-2"/>
          <w:kern w:val="0"/>
          <w:sz w:val="32"/>
          <w:szCs w:val="32"/>
        </w:rPr>
        <w:t xml:space="preserve"> </w:t>
      </w:r>
    </w:p>
    <w:p>
      <w:pPr>
        <w:ind w:firstLine="632"/>
        <w:rPr>
          <w:rFonts w:eastAsia="隶书"/>
          <w:spacing w:val="-2"/>
          <w:kern w:val="0"/>
          <w:sz w:val="32"/>
          <w:szCs w:val="32"/>
        </w:rPr>
      </w:pPr>
      <w:r>
        <w:rPr>
          <w:rFonts w:eastAsia="隶书"/>
          <w:spacing w:val="-2"/>
          <w:kern w:val="0"/>
          <w:sz w:val="32"/>
          <w:szCs w:val="32"/>
        </w:rPr>
        <w:t xml:space="preserve"> </w:t>
      </w:r>
    </w:p>
    <w:p>
      <w:pPr>
        <w:ind w:firstLine="632"/>
        <w:rPr>
          <w:rFonts w:eastAsia="隶书"/>
          <w:spacing w:val="-2"/>
          <w:kern w:val="0"/>
          <w:sz w:val="32"/>
          <w:szCs w:val="32"/>
        </w:rPr>
      </w:pPr>
      <w:r>
        <w:rPr>
          <w:rFonts w:eastAsia="隶书"/>
          <w:spacing w:val="-2"/>
          <w:kern w:val="0"/>
          <w:sz w:val="32"/>
          <w:szCs w:val="32"/>
        </w:rPr>
        <w:t xml:space="preserve"> </w:t>
      </w:r>
    </w:p>
    <w:p>
      <w:pPr>
        <w:ind w:firstLine="0" w:firstLineChars="0"/>
        <w:jc w:val="center"/>
        <w:rPr>
          <w:rFonts w:hint="eastAsia" w:eastAsia="宋体"/>
          <w:b/>
          <w:spacing w:val="-2"/>
          <w:kern w:val="0"/>
          <w:sz w:val="32"/>
          <w:szCs w:val="32"/>
          <w:lang w:eastAsia="zh-CN"/>
        </w:rPr>
      </w:pPr>
      <w:r>
        <w:rPr>
          <w:b/>
          <w:spacing w:val="-2"/>
          <w:kern w:val="0"/>
          <w:sz w:val="32"/>
          <w:szCs w:val="32"/>
        </w:rPr>
        <w:t>建设单位：</w:t>
      </w:r>
      <w:r>
        <w:rPr>
          <w:rFonts w:hint="eastAsia"/>
          <w:b/>
          <w:spacing w:val="-2"/>
          <w:kern w:val="0"/>
          <w:sz w:val="32"/>
          <w:szCs w:val="32"/>
          <w:lang w:eastAsia="zh-CN"/>
        </w:rPr>
        <w:t>兴隆县李家营镇人民政府</w:t>
      </w:r>
    </w:p>
    <w:p>
      <w:pPr>
        <w:ind w:firstLine="0" w:firstLineChars="0"/>
        <w:jc w:val="center"/>
        <w:rPr>
          <w:b/>
          <w:spacing w:val="-2"/>
          <w:kern w:val="0"/>
          <w:sz w:val="32"/>
          <w:szCs w:val="32"/>
        </w:rPr>
      </w:pPr>
      <w:r>
        <w:rPr>
          <w:b/>
          <w:spacing w:val="-2"/>
          <w:kern w:val="0"/>
          <w:sz w:val="32"/>
          <w:szCs w:val="32"/>
        </w:rPr>
        <w:t>评价单位：</w:t>
      </w:r>
      <w:r>
        <w:rPr>
          <w:rFonts w:hint="eastAsia"/>
          <w:b/>
          <w:spacing w:val="-2"/>
          <w:kern w:val="0"/>
          <w:sz w:val="32"/>
          <w:szCs w:val="32"/>
        </w:rPr>
        <w:t>河北圣泓环保科技有限责任公司</w:t>
      </w:r>
    </w:p>
    <w:p>
      <w:pPr>
        <w:ind w:firstLine="0" w:firstLineChars="0"/>
        <w:jc w:val="center"/>
        <w:rPr>
          <w:b/>
          <w:spacing w:val="-2"/>
          <w:kern w:val="0"/>
          <w:sz w:val="32"/>
          <w:szCs w:val="32"/>
        </w:rPr>
      </w:pPr>
      <w:r>
        <w:rPr>
          <w:b/>
          <w:spacing w:val="-2"/>
          <w:kern w:val="0"/>
          <w:sz w:val="32"/>
          <w:szCs w:val="32"/>
        </w:rPr>
        <w:t>20</w:t>
      </w:r>
      <w:r>
        <w:rPr>
          <w:rFonts w:hint="eastAsia"/>
          <w:b/>
          <w:spacing w:val="-2"/>
          <w:kern w:val="0"/>
          <w:sz w:val="32"/>
          <w:szCs w:val="32"/>
        </w:rPr>
        <w:t>2</w:t>
      </w:r>
      <w:r>
        <w:rPr>
          <w:rFonts w:hint="eastAsia"/>
          <w:b/>
          <w:spacing w:val="-2"/>
          <w:kern w:val="0"/>
          <w:sz w:val="32"/>
          <w:szCs w:val="32"/>
          <w:lang w:val="en-US" w:eastAsia="zh-CN"/>
        </w:rPr>
        <w:t>3</w:t>
      </w:r>
      <w:r>
        <w:rPr>
          <w:b/>
          <w:spacing w:val="-2"/>
          <w:kern w:val="0"/>
          <w:sz w:val="32"/>
          <w:szCs w:val="32"/>
        </w:rPr>
        <w:t>年</w:t>
      </w:r>
      <w:r>
        <w:rPr>
          <w:rFonts w:hint="eastAsia"/>
          <w:b/>
          <w:spacing w:val="-2"/>
          <w:kern w:val="0"/>
          <w:sz w:val="32"/>
          <w:szCs w:val="32"/>
          <w:lang w:val="en-US" w:eastAsia="zh-CN"/>
        </w:rPr>
        <w:t>3</w:t>
      </w:r>
      <w:r>
        <w:rPr>
          <w:b/>
          <w:spacing w:val="-2"/>
          <w:kern w:val="0"/>
          <w:sz w:val="32"/>
          <w:szCs w:val="32"/>
        </w:rPr>
        <w:t>月</w:t>
      </w:r>
    </w:p>
    <w:p>
      <w:pPr>
        <w:ind w:firstLine="0" w:firstLineChars="0"/>
        <w:jc w:val="center"/>
        <w:rPr>
          <w:b/>
          <w:spacing w:val="-2"/>
          <w:kern w:val="0"/>
          <w:sz w:val="30"/>
          <w:szCs w:val="30"/>
        </w:rPr>
      </w:pPr>
    </w:p>
    <w:p>
      <w:pPr>
        <w:ind w:firstLine="0" w:firstLineChars="0"/>
        <w:jc w:val="center"/>
        <w:rPr>
          <w:b/>
          <w:spacing w:val="-2"/>
          <w:kern w:val="0"/>
          <w:sz w:val="30"/>
          <w:szCs w:val="30"/>
        </w:rPr>
      </w:pPr>
    </w:p>
    <w:p>
      <w:pPr>
        <w:ind w:firstLine="0" w:firstLineChars="0"/>
        <w:jc w:val="center"/>
        <w:rPr>
          <w:b/>
          <w:spacing w:val="-2"/>
          <w:kern w:val="0"/>
          <w:sz w:val="30"/>
          <w:szCs w:val="30"/>
        </w:rPr>
      </w:pPr>
    </w:p>
    <w:p>
      <w:pPr>
        <w:ind w:firstLine="0" w:firstLineChars="0"/>
        <w:jc w:val="center"/>
        <w:rPr>
          <w:b/>
          <w:spacing w:val="-2"/>
          <w:kern w:val="0"/>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701" w:right="1474" w:bottom="1701" w:left="1474" w:header="1134" w:footer="992" w:gutter="0"/>
          <w:pgNumType w:start="1"/>
          <w:cols w:space="0" w:num="1"/>
          <w:rtlGutter w:val="0"/>
          <w:docGrid w:linePitch="326" w:charSpace="0"/>
        </w:sectPr>
      </w:pPr>
    </w:p>
    <w:p>
      <w:pPr>
        <w:ind w:firstLine="0" w:firstLineChars="0"/>
        <w:jc w:val="center"/>
        <w:rPr>
          <w:rFonts w:eastAsia="黑体"/>
          <w:b/>
          <w:sz w:val="30"/>
          <w:szCs w:val="30"/>
        </w:rPr>
      </w:pPr>
      <w:r>
        <w:rPr>
          <w:rFonts w:eastAsia="黑体"/>
          <w:b/>
          <w:sz w:val="30"/>
          <w:szCs w:val="30"/>
        </w:rPr>
        <w:t>目 录</w:t>
      </w:r>
    </w:p>
    <w:p>
      <w:pPr>
        <w:pStyle w:val="27"/>
        <w:tabs>
          <w:tab w:val="right" w:leader="dot" w:pos="8504"/>
        </w:tabs>
        <w:rPr>
          <w:rFonts w:hint="default" w:ascii="Times New Roman" w:hAnsi="Times New Roman" w:cs="Times New Roman"/>
          <w:i w:val="0"/>
          <w:iCs w:val="0"/>
          <w:sz w:val="24"/>
          <w:szCs w:val="24"/>
        </w:rPr>
      </w:pPr>
      <w:r>
        <w:rPr>
          <w:rFonts w:ascii="Times New Roman" w:hAnsi="Times New Roman" w:eastAsiaTheme="minorEastAsia"/>
          <w:bCs w:val="0"/>
          <w:i w:val="0"/>
          <w:iCs w:val="0"/>
          <w:caps w:val="0"/>
          <w:sz w:val="24"/>
          <w:szCs w:val="24"/>
        </w:rPr>
        <w:fldChar w:fldCharType="begin"/>
      </w:r>
      <w:r>
        <w:rPr>
          <w:rFonts w:ascii="Times New Roman" w:hAnsi="Times New Roman" w:eastAsiaTheme="minorEastAsia"/>
          <w:bCs w:val="0"/>
          <w:i w:val="0"/>
          <w:iCs w:val="0"/>
          <w:caps w:val="0"/>
          <w:sz w:val="24"/>
          <w:szCs w:val="24"/>
        </w:rPr>
        <w:instrText xml:space="preserve"> TOC \o "1-3" \h \z \u </w:instrText>
      </w:r>
      <w:r>
        <w:rPr>
          <w:rFonts w:ascii="Times New Roman" w:hAnsi="Times New Roman" w:eastAsiaTheme="minorEastAsia"/>
          <w:bCs w:val="0"/>
          <w:i w:val="0"/>
          <w:iCs w:val="0"/>
          <w:caps w:val="0"/>
          <w:sz w:val="24"/>
          <w:szCs w:val="24"/>
        </w:rPr>
        <w:fldChar w:fldCharType="separate"/>
      </w:r>
      <w:r>
        <w:rPr>
          <w:rFonts w:hint="default" w:ascii="Times New Roman" w:hAnsi="Times New Roman" w:cs="Times New Roman" w:eastAsiaTheme="minorEastAsia"/>
          <w:bCs w:val="0"/>
          <w:i w:val="0"/>
          <w:iCs w:val="0"/>
          <w:caps w:val="0"/>
          <w:sz w:val="24"/>
          <w:szCs w:val="24"/>
        </w:rPr>
        <w:fldChar w:fldCharType="begin"/>
      </w:r>
      <w:r>
        <w:rPr>
          <w:rFonts w:hint="default" w:ascii="Times New Roman" w:hAnsi="Times New Roman" w:cs="Times New Roman" w:eastAsiaTheme="minorEastAsia"/>
          <w:bCs w:val="0"/>
          <w:i w:val="0"/>
          <w:iCs w:val="0"/>
          <w:caps w:val="0"/>
          <w:sz w:val="24"/>
          <w:szCs w:val="24"/>
        </w:rPr>
        <w:instrText xml:space="preserve"> HYPERLINK \l _Toc18812 </w:instrText>
      </w:r>
      <w:r>
        <w:rPr>
          <w:rFonts w:hint="default" w:ascii="Times New Roman" w:hAnsi="Times New Roman" w:cs="Times New Roman" w:eastAsiaTheme="minorEastAsia"/>
          <w:bCs w:val="0"/>
          <w:i w:val="0"/>
          <w:iCs w:val="0"/>
          <w:caps w:val="0"/>
          <w:sz w:val="24"/>
          <w:szCs w:val="24"/>
        </w:rPr>
        <w:fldChar w:fldCharType="separate"/>
      </w:r>
      <w:r>
        <w:rPr>
          <w:rFonts w:hint="default" w:ascii="Times New Roman" w:hAnsi="Times New Roman" w:cs="Times New Roman"/>
          <w:i w:val="0"/>
          <w:iCs w:val="0"/>
          <w:sz w:val="24"/>
          <w:szCs w:val="24"/>
        </w:rPr>
        <w:t>第一章 概述</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_Toc18812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val="0"/>
          <w:i w:val="0"/>
          <w:iCs w:val="0"/>
          <w:caps w:val="0"/>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_Toc17586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1.1项目背景</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_Toc17586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_Toc32736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rPr>
        <w:t>1.2项目建设特点</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_Toc32736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_Toc26774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1.3环境影响评价工作过程概述</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_Toc26774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_Toc15784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1.4项目分析判定相关情况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_Toc15784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_Toc14085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1.4.1项目与</w:t>
      </w:r>
      <w:r>
        <w:rPr>
          <w:rFonts w:hint="default" w:ascii="Times New Roman" w:hAnsi="Times New Roman" w:cs="Times New Roman"/>
          <w:i w:val="0"/>
          <w:iCs w:val="0"/>
          <w:sz w:val="24"/>
          <w:szCs w:val="24"/>
          <w:lang w:eastAsia="zh-CN"/>
        </w:rPr>
        <w:t>市场准入负面清单（2022年版）的</w:t>
      </w:r>
      <w:r>
        <w:rPr>
          <w:rFonts w:hint="default" w:ascii="Times New Roman" w:hAnsi="Times New Roman" w:cs="Times New Roman"/>
          <w:i w:val="0"/>
          <w:iCs w:val="0"/>
          <w:sz w:val="24"/>
          <w:szCs w:val="24"/>
        </w:rPr>
        <w:t>符合性分析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_Toc14085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_Toc11936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1.4.2 项目与相关规划</w:t>
      </w:r>
      <w:r>
        <w:rPr>
          <w:rFonts w:hint="default" w:ascii="Times New Roman" w:hAnsi="Times New Roman" w:cs="Times New Roman"/>
          <w:i w:val="0"/>
          <w:iCs w:val="0"/>
          <w:sz w:val="24"/>
          <w:szCs w:val="24"/>
          <w:lang w:eastAsia="zh-CN"/>
        </w:rPr>
        <w:t>的</w:t>
      </w:r>
      <w:r>
        <w:rPr>
          <w:rFonts w:hint="default" w:ascii="Times New Roman" w:hAnsi="Times New Roman" w:cs="Times New Roman"/>
          <w:i w:val="0"/>
          <w:iCs w:val="0"/>
          <w:sz w:val="24"/>
          <w:szCs w:val="24"/>
        </w:rPr>
        <w:t>符合性分析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_Toc11936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_Toc29801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1.4.</w:t>
      </w:r>
      <w:r>
        <w:rPr>
          <w:rFonts w:hint="default" w:ascii="Times New Roman" w:hAnsi="Times New Roman" w:cs="Times New Roman"/>
          <w:i w:val="0"/>
          <w:iCs w:val="0"/>
          <w:sz w:val="24"/>
          <w:szCs w:val="24"/>
          <w:lang w:val="en-US" w:eastAsia="zh-CN"/>
        </w:rPr>
        <w:t>3</w:t>
      </w:r>
      <w:r>
        <w:rPr>
          <w:rFonts w:hint="default" w:ascii="Times New Roman" w:hAnsi="Times New Roman" w:cs="Times New Roman"/>
          <w:i w:val="0"/>
          <w:iCs w:val="0"/>
          <w:sz w:val="24"/>
          <w:szCs w:val="24"/>
        </w:rPr>
        <w:t xml:space="preserve"> 项目与“三线一单”符合性分析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_Toc29801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_Toc22067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1.5关注的主要环境问题及环境影响</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_Toc22067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10</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_Toc11418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1.6环境影响评价主要结论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_Toc11418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27"/>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_Toc13956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第二章 总则</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_Toc13956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_Toc12308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2.1 评价依据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_Toc12308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_Toc356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2.1.1 国家相关法律、法规、文件</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_Toc356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_Toc1960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eastAsia="宋体" w:cs="Times New Roman"/>
          <w:i w:val="0"/>
          <w:iCs w:val="0"/>
          <w:sz w:val="24"/>
          <w:szCs w:val="24"/>
          <w:lang w:val="en-US" w:eastAsia="zh-CN"/>
        </w:rPr>
        <w:t xml:space="preserve">2.1.2 </w:t>
      </w:r>
      <w:r>
        <w:rPr>
          <w:rFonts w:hint="default" w:ascii="Times New Roman" w:hAnsi="Times New Roman" w:eastAsia="宋体" w:cs="Times New Roman"/>
          <w:i w:val="0"/>
          <w:iCs w:val="0"/>
          <w:sz w:val="24"/>
          <w:szCs w:val="24"/>
        </w:rPr>
        <w:t>行政法规、决定、命令</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_Toc1960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_Toc10677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2.1.</w:t>
      </w:r>
      <w:r>
        <w:rPr>
          <w:rFonts w:hint="default" w:ascii="Times New Roman" w:hAnsi="Times New Roman" w:cs="Times New Roman"/>
          <w:i w:val="0"/>
          <w:iCs w:val="0"/>
          <w:sz w:val="24"/>
          <w:szCs w:val="24"/>
          <w:lang w:val="en-US" w:eastAsia="zh-CN"/>
        </w:rPr>
        <w:t>3</w:t>
      </w:r>
      <w:r>
        <w:rPr>
          <w:rFonts w:hint="default" w:ascii="Times New Roman" w:hAnsi="Times New Roman" w:cs="Times New Roman"/>
          <w:i w:val="0"/>
          <w:iCs w:val="0"/>
          <w:sz w:val="24"/>
          <w:szCs w:val="24"/>
        </w:rPr>
        <w:t xml:space="preserve"> 部门规章、规范性文件</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_Toc10677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_Toc31409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2.1.</w:t>
      </w:r>
      <w:r>
        <w:rPr>
          <w:rFonts w:hint="default" w:ascii="Times New Roman" w:hAnsi="Times New Roman" w:cs="Times New Roman"/>
          <w:i w:val="0"/>
          <w:iCs w:val="0"/>
          <w:sz w:val="24"/>
          <w:szCs w:val="24"/>
          <w:lang w:val="en-US" w:eastAsia="zh-CN"/>
        </w:rPr>
        <w:t>4</w:t>
      </w:r>
      <w:r>
        <w:rPr>
          <w:rFonts w:hint="default" w:ascii="Times New Roman" w:hAnsi="Times New Roman" w:cs="Times New Roman"/>
          <w:i w:val="0"/>
          <w:iCs w:val="0"/>
          <w:sz w:val="24"/>
          <w:szCs w:val="24"/>
        </w:rPr>
        <w:t xml:space="preserve"> 地方性法规、规章、规范性文件</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_Toc31409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_Toc8517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2.1.</w:t>
      </w:r>
      <w:r>
        <w:rPr>
          <w:rFonts w:hint="default" w:ascii="Times New Roman" w:hAnsi="Times New Roman" w:cs="Times New Roman"/>
          <w:i w:val="0"/>
          <w:iCs w:val="0"/>
          <w:sz w:val="24"/>
          <w:szCs w:val="24"/>
          <w:lang w:val="en-US" w:eastAsia="zh-CN"/>
        </w:rPr>
        <w:t>5</w:t>
      </w:r>
      <w:r>
        <w:rPr>
          <w:rFonts w:hint="default" w:ascii="Times New Roman" w:hAnsi="Times New Roman" w:cs="Times New Roman"/>
          <w:i w:val="0"/>
          <w:iCs w:val="0"/>
          <w:sz w:val="24"/>
          <w:szCs w:val="24"/>
        </w:rPr>
        <w:t xml:space="preserve"> 相关规划</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_Toc8517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_Toc25636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2.1.</w:t>
      </w:r>
      <w:r>
        <w:rPr>
          <w:rFonts w:hint="default" w:ascii="Times New Roman" w:hAnsi="Times New Roman" w:cs="Times New Roman"/>
          <w:i w:val="0"/>
          <w:iCs w:val="0"/>
          <w:sz w:val="24"/>
          <w:szCs w:val="24"/>
          <w:lang w:val="en-US" w:eastAsia="zh-CN"/>
        </w:rPr>
        <w:t>6</w:t>
      </w:r>
      <w:r>
        <w:rPr>
          <w:rFonts w:hint="default" w:ascii="Times New Roman" w:hAnsi="Times New Roman" w:cs="Times New Roman"/>
          <w:i w:val="0"/>
          <w:iCs w:val="0"/>
          <w:sz w:val="24"/>
          <w:szCs w:val="24"/>
        </w:rPr>
        <w:t xml:space="preserve"> 环境影响评价技术导则、规范</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_Toc25636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_Toc11813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2.1.</w:t>
      </w:r>
      <w:r>
        <w:rPr>
          <w:rFonts w:hint="default" w:ascii="Times New Roman" w:hAnsi="Times New Roman" w:cs="Times New Roman"/>
          <w:i w:val="0"/>
          <w:iCs w:val="0"/>
          <w:sz w:val="24"/>
          <w:szCs w:val="24"/>
          <w:lang w:val="en-US" w:eastAsia="zh-CN"/>
        </w:rPr>
        <w:t>7</w:t>
      </w:r>
      <w:r>
        <w:rPr>
          <w:rFonts w:hint="default" w:ascii="Times New Roman" w:hAnsi="Times New Roman" w:cs="Times New Roman"/>
          <w:i w:val="0"/>
          <w:iCs w:val="0"/>
          <w:sz w:val="24"/>
          <w:szCs w:val="24"/>
        </w:rPr>
        <w:t xml:space="preserve"> 相关文件及技术资料</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_Toc11813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_Toc13555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2.2 评价原则</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_Toc13555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_Toc23556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2.3 环境影响因素识别与评价因子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_Toc23556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_Toc13970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2.3.1 环境影响因素识别</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_Toc13970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_Toc28952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2.3.2 评价因子筛选</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_Toc28952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16</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_Toc30372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2.4 环境影响评价等级的划分</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_Toc30372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17</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_Toc19353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2.4.1 地表水环境影响评价等级</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_Toc19353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17</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_Toc19740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rPr>
        <w:t>2.4.2</w:t>
      </w:r>
      <w:r>
        <w:rPr>
          <w:rFonts w:hint="default" w:ascii="Times New Roman" w:hAnsi="Times New Roman" w:cs="Times New Roman"/>
          <w:i w:val="0"/>
          <w:iCs w:val="0"/>
          <w:sz w:val="24"/>
          <w:szCs w:val="24"/>
        </w:rPr>
        <w:t xml:space="preserve"> 地下水环境影响评价等级</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_Toc19740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19</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_Toc29666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2.4.</w:t>
      </w:r>
      <w:r>
        <w:rPr>
          <w:rFonts w:hint="default" w:ascii="Times New Roman" w:hAnsi="Times New Roman" w:cs="Times New Roman"/>
          <w:i w:val="0"/>
          <w:iCs w:val="0"/>
          <w:sz w:val="24"/>
          <w:szCs w:val="24"/>
          <w:lang w:val="en-US" w:eastAsia="zh-CN"/>
        </w:rPr>
        <w:t>3</w:t>
      </w:r>
      <w:r>
        <w:rPr>
          <w:rFonts w:hint="default" w:ascii="Times New Roman" w:hAnsi="Times New Roman" w:cs="Times New Roman"/>
          <w:i w:val="0"/>
          <w:iCs w:val="0"/>
          <w:sz w:val="24"/>
          <w:szCs w:val="24"/>
        </w:rPr>
        <w:t xml:space="preserve"> 声环境影响评价等级</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_Toc29666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19</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_Toc14418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2.4.</w:t>
      </w:r>
      <w:r>
        <w:rPr>
          <w:rFonts w:hint="default" w:ascii="Times New Roman" w:hAnsi="Times New Roman" w:cs="Times New Roman"/>
          <w:i w:val="0"/>
          <w:iCs w:val="0"/>
          <w:sz w:val="24"/>
          <w:szCs w:val="24"/>
          <w:lang w:val="en-US" w:eastAsia="zh-CN"/>
        </w:rPr>
        <w:t>4</w:t>
      </w:r>
      <w:r>
        <w:rPr>
          <w:rFonts w:hint="default" w:ascii="Times New Roman" w:hAnsi="Times New Roman" w:cs="Times New Roman"/>
          <w:i w:val="0"/>
          <w:iCs w:val="0"/>
          <w:sz w:val="24"/>
          <w:szCs w:val="24"/>
        </w:rPr>
        <w:t xml:space="preserve"> 土壤环境评价工作等级</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_Toc14418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20</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_Toc20649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rPr>
        <w:t>2.4.</w:t>
      </w:r>
      <w:r>
        <w:rPr>
          <w:rFonts w:hint="default" w:ascii="Times New Roman" w:hAnsi="Times New Roman" w:cs="Times New Roman"/>
          <w:i w:val="0"/>
          <w:iCs w:val="0"/>
          <w:sz w:val="24"/>
          <w:szCs w:val="24"/>
          <w:highlight w:val="none"/>
          <w:lang w:val="en-US" w:eastAsia="zh-CN"/>
        </w:rPr>
        <w:t>5</w:t>
      </w:r>
      <w:r>
        <w:rPr>
          <w:rFonts w:hint="default" w:ascii="Times New Roman" w:hAnsi="Times New Roman" w:cs="Times New Roman"/>
          <w:i w:val="0"/>
          <w:iCs w:val="0"/>
          <w:sz w:val="24"/>
          <w:szCs w:val="24"/>
          <w:highlight w:val="none"/>
        </w:rPr>
        <w:t xml:space="preserve"> 生态环境影响评价等级</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_Toc20649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21</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_Toc26337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2.5环境影响评价范围的确定</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_Toc26337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_Toc5618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2.6相关规划及环境功能区划</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_Toc5618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_Toc17733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2.6.1 相关规划</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_Toc17733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_Toc3242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2.6.2 环境功能区划</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_Toc3242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27</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_Toc21903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2.7环境保护目标的确定</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_Toc21903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27</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_Toc15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2.8环境影响评价标准的确定</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_Toc15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28</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_Toc2484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2.8.1 环境质量标准的确定</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_Toc2484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28</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_Toc18249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2.8.2 污染物排放标准的确定</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_Toc18249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_Toc23860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eastAsia="zh-CN"/>
        </w:rPr>
        <w:t>2.8.3 污染控制标准</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_Toc23860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27"/>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_Toc21730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第三章 建设项目工程分析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_Toc21730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_Toc4408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3.1</w:t>
      </w:r>
      <w:r>
        <w:rPr>
          <w:rFonts w:hint="default" w:ascii="Times New Roman" w:hAnsi="Times New Roman" w:cs="Times New Roman"/>
          <w:i w:val="0"/>
          <w:iCs w:val="0"/>
          <w:sz w:val="24"/>
          <w:szCs w:val="24"/>
          <w:highlight w:val="none"/>
        </w:rPr>
        <w:t xml:space="preserve"> </w:t>
      </w:r>
      <w:r>
        <w:rPr>
          <w:rFonts w:hint="default" w:ascii="Times New Roman" w:hAnsi="Times New Roman" w:cs="Times New Roman"/>
          <w:i w:val="0"/>
          <w:iCs w:val="0"/>
          <w:sz w:val="24"/>
          <w:szCs w:val="24"/>
        </w:rPr>
        <w:t>项目概况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_Toc4408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_Toc17160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3.</w:t>
      </w:r>
      <w:r>
        <w:rPr>
          <w:rFonts w:hint="default" w:ascii="Times New Roman" w:hAnsi="Times New Roman" w:cs="Times New Roman"/>
          <w:i w:val="0"/>
          <w:iCs w:val="0"/>
          <w:sz w:val="24"/>
          <w:szCs w:val="24"/>
          <w:lang w:val="en-US" w:eastAsia="zh-CN"/>
        </w:rPr>
        <w:t>1</w:t>
      </w:r>
      <w:r>
        <w:rPr>
          <w:rFonts w:hint="default" w:ascii="Times New Roman" w:hAnsi="Times New Roman" w:cs="Times New Roman"/>
          <w:i w:val="0"/>
          <w:iCs w:val="0"/>
          <w:sz w:val="24"/>
          <w:szCs w:val="24"/>
        </w:rPr>
        <w:t>.1项目</w:t>
      </w:r>
      <w:r>
        <w:rPr>
          <w:rFonts w:hint="default" w:ascii="Times New Roman" w:hAnsi="Times New Roman" w:cs="Times New Roman"/>
          <w:i w:val="0"/>
          <w:iCs w:val="0"/>
          <w:sz w:val="24"/>
          <w:szCs w:val="24"/>
          <w:lang w:eastAsia="zh-CN"/>
        </w:rPr>
        <w:t>概况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_Toc17160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_Toc18001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3.</w:t>
      </w:r>
      <w:r>
        <w:rPr>
          <w:rFonts w:hint="default" w:ascii="Times New Roman" w:hAnsi="Times New Roman" w:cs="Times New Roman"/>
          <w:i w:val="0"/>
          <w:iCs w:val="0"/>
          <w:sz w:val="24"/>
          <w:szCs w:val="24"/>
          <w:lang w:val="en-US" w:eastAsia="zh-CN"/>
        </w:rPr>
        <w:t>1</w:t>
      </w:r>
      <w:r>
        <w:rPr>
          <w:rFonts w:hint="default" w:ascii="Times New Roman" w:hAnsi="Times New Roman" w:cs="Times New Roman"/>
          <w:i w:val="0"/>
          <w:iCs w:val="0"/>
          <w:sz w:val="24"/>
          <w:szCs w:val="24"/>
        </w:rPr>
        <w:t>.2项目工程组成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_Toc18001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_Toc19125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3.1.3</w:t>
      </w:r>
      <w:r>
        <w:rPr>
          <w:rFonts w:hint="default" w:ascii="Times New Roman" w:hAnsi="Times New Roman" w:cs="Times New Roman"/>
          <w:i w:val="0"/>
          <w:iCs w:val="0"/>
          <w:sz w:val="24"/>
          <w:szCs w:val="24"/>
        </w:rPr>
        <w:t>项目建设内容</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_Toc19125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_Toc18816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lang w:eastAsia="zh-CN"/>
        </w:rPr>
        <w:t>3.</w:t>
      </w:r>
      <w:r>
        <w:rPr>
          <w:rFonts w:hint="default" w:ascii="Times New Roman" w:hAnsi="Times New Roman" w:cs="Times New Roman"/>
          <w:i w:val="0"/>
          <w:iCs w:val="0"/>
          <w:sz w:val="24"/>
          <w:szCs w:val="24"/>
          <w:highlight w:val="none"/>
          <w:lang w:val="en-US" w:eastAsia="zh-CN"/>
        </w:rPr>
        <w:t>1</w:t>
      </w:r>
      <w:r>
        <w:rPr>
          <w:rFonts w:hint="default" w:ascii="Times New Roman" w:hAnsi="Times New Roman" w:cs="Times New Roman"/>
          <w:i w:val="0"/>
          <w:iCs w:val="0"/>
          <w:sz w:val="24"/>
          <w:szCs w:val="24"/>
          <w:highlight w:val="none"/>
        </w:rPr>
        <w:t>.</w:t>
      </w:r>
      <w:r>
        <w:rPr>
          <w:rFonts w:hint="default" w:ascii="Times New Roman" w:hAnsi="Times New Roman" w:cs="Times New Roman"/>
          <w:i w:val="0"/>
          <w:iCs w:val="0"/>
          <w:sz w:val="24"/>
          <w:szCs w:val="24"/>
          <w:highlight w:val="none"/>
          <w:lang w:val="en-US" w:eastAsia="zh-CN"/>
        </w:rPr>
        <w:t>4</w:t>
      </w:r>
      <w:r>
        <w:rPr>
          <w:rFonts w:hint="default" w:ascii="Times New Roman" w:hAnsi="Times New Roman" w:cs="Times New Roman"/>
          <w:i w:val="0"/>
          <w:iCs w:val="0"/>
          <w:sz w:val="24"/>
          <w:szCs w:val="24"/>
          <w:highlight w:val="none"/>
        </w:rPr>
        <w:t xml:space="preserve"> </w:t>
      </w:r>
      <w:r>
        <w:rPr>
          <w:rFonts w:hint="default" w:ascii="Times New Roman" w:hAnsi="Times New Roman" w:cs="Times New Roman"/>
          <w:i w:val="0"/>
          <w:iCs w:val="0"/>
          <w:sz w:val="24"/>
          <w:szCs w:val="24"/>
          <w:highlight w:val="none"/>
          <w:lang w:eastAsia="zh-CN"/>
        </w:rPr>
        <w:t>项目占地</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_Toc18816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40</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_Toc17708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eastAsia="zh-CN"/>
        </w:rPr>
        <w:t>3.</w:t>
      </w:r>
      <w:r>
        <w:rPr>
          <w:rFonts w:hint="default" w:ascii="Times New Roman" w:hAnsi="Times New Roman" w:cs="Times New Roman"/>
          <w:i w:val="0"/>
          <w:iCs w:val="0"/>
          <w:sz w:val="24"/>
          <w:szCs w:val="24"/>
          <w:lang w:val="en-US" w:eastAsia="zh-CN"/>
        </w:rPr>
        <w:t>1</w:t>
      </w:r>
      <w:r>
        <w:rPr>
          <w:rFonts w:hint="default" w:ascii="Times New Roman" w:hAnsi="Times New Roman" w:cs="Times New Roman"/>
          <w:i w:val="0"/>
          <w:iCs w:val="0"/>
          <w:sz w:val="24"/>
          <w:szCs w:val="24"/>
        </w:rPr>
        <w:t>.</w:t>
      </w:r>
      <w:r>
        <w:rPr>
          <w:rFonts w:hint="default" w:ascii="Times New Roman" w:hAnsi="Times New Roman" w:cs="Times New Roman"/>
          <w:i w:val="0"/>
          <w:iCs w:val="0"/>
          <w:sz w:val="24"/>
          <w:szCs w:val="24"/>
          <w:lang w:val="en-US" w:eastAsia="zh-CN"/>
        </w:rPr>
        <w:t>5</w:t>
      </w:r>
      <w:r>
        <w:rPr>
          <w:rFonts w:hint="default" w:ascii="Times New Roman" w:hAnsi="Times New Roman" w:cs="Times New Roman"/>
          <w:i w:val="0"/>
          <w:iCs w:val="0"/>
          <w:sz w:val="24"/>
          <w:szCs w:val="24"/>
        </w:rPr>
        <w:t xml:space="preserve"> </w:t>
      </w:r>
      <w:r>
        <w:rPr>
          <w:rFonts w:hint="default" w:ascii="Times New Roman" w:hAnsi="Times New Roman" w:cs="Times New Roman"/>
          <w:i w:val="0"/>
          <w:iCs w:val="0"/>
          <w:sz w:val="24"/>
          <w:szCs w:val="24"/>
          <w:lang w:eastAsia="zh-CN"/>
        </w:rPr>
        <w:t>项目施工设备</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_Toc17708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41</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_Toc22065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eastAsia="zh-CN"/>
        </w:rPr>
        <w:t>3.</w:t>
      </w:r>
      <w:r>
        <w:rPr>
          <w:rFonts w:hint="default" w:ascii="Times New Roman" w:hAnsi="Times New Roman" w:cs="Times New Roman"/>
          <w:i w:val="0"/>
          <w:iCs w:val="0"/>
          <w:sz w:val="24"/>
          <w:szCs w:val="24"/>
          <w:lang w:val="en-US" w:eastAsia="zh-CN"/>
        </w:rPr>
        <w:t>1</w:t>
      </w:r>
      <w:r>
        <w:rPr>
          <w:rFonts w:hint="default" w:ascii="Times New Roman" w:hAnsi="Times New Roman" w:cs="Times New Roman"/>
          <w:i w:val="0"/>
          <w:iCs w:val="0"/>
          <w:sz w:val="24"/>
          <w:szCs w:val="24"/>
        </w:rPr>
        <w:t>.</w:t>
      </w:r>
      <w:r>
        <w:rPr>
          <w:rFonts w:hint="default" w:ascii="Times New Roman" w:hAnsi="Times New Roman" w:cs="Times New Roman"/>
          <w:i w:val="0"/>
          <w:iCs w:val="0"/>
          <w:sz w:val="24"/>
          <w:szCs w:val="24"/>
          <w:lang w:val="en-US" w:eastAsia="zh-CN"/>
        </w:rPr>
        <w:t>6</w:t>
      </w:r>
      <w:r>
        <w:rPr>
          <w:rFonts w:hint="default" w:ascii="Times New Roman" w:hAnsi="Times New Roman" w:cs="Times New Roman"/>
          <w:i w:val="0"/>
          <w:iCs w:val="0"/>
          <w:sz w:val="24"/>
          <w:szCs w:val="24"/>
        </w:rPr>
        <w:t xml:space="preserve"> </w:t>
      </w:r>
      <w:r>
        <w:rPr>
          <w:rFonts w:hint="default" w:ascii="Times New Roman" w:hAnsi="Times New Roman" w:cs="Times New Roman"/>
          <w:i w:val="0"/>
          <w:iCs w:val="0"/>
          <w:sz w:val="24"/>
          <w:szCs w:val="24"/>
          <w:lang w:eastAsia="zh-CN"/>
        </w:rPr>
        <w:t>项目施工材料及能源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_Toc22065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41</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_Toc4730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eastAsia="zh-CN"/>
        </w:rPr>
        <w:t>3.</w:t>
      </w:r>
      <w:r>
        <w:rPr>
          <w:rFonts w:hint="default" w:ascii="Times New Roman" w:hAnsi="Times New Roman" w:cs="Times New Roman"/>
          <w:i w:val="0"/>
          <w:iCs w:val="0"/>
          <w:sz w:val="24"/>
          <w:szCs w:val="24"/>
          <w:lang w:val="en-US" w:eastAsia="zh-CN"/>
        </w:rPr>
        <w:t>1</w:t>
      </w:r>
      <w:r>
        <w:rPr>
          <w:rFonts w:hint="default" w:ascii="Times New Roman" w:hAnsi="Times New Roman" w:cs="Times New Roman"/>
          <w:i w:val="0"/>
          <w:iCs w:val="0"/>
          <w:sz w:val="24"/>
          <w:szCs w:val="24"/>
        </w:rPr>
        <w:t>.</w:t>
      </w:r>
      <w:r>
        <w:rPr>
          <w:rFonts w:hint="default" w:ascii="Times New Roman" w:hAnsi="Times New Roman" w:cs="Times New Roman"/>
          <w:i w:val="0"/>
          <w:iCs w:val="0"/>
          <w:sz w:val="24"/>
          <w:szCs w:val="24"/>
          <w:lang w:val="en-US" w:eastAsia="zh-CN"/>
        </w:rPr>
        <w:t>7</w:t>
      </w:r>
      <w:r>
        <w:rPr>
          <w:rFonts w:hint="default" w:ascii="Times New Roman" w:hAnsi="Times New Roman" w:cs="Times New Roman"/>
          <w:i w:val="0"/>
          <w:iCs w:val="0"/>
          <w:sz w:val="24"/>
          <w:szCs w:val="24"/>
        </w:rPr>
        <w:t xml:space="preserve"> </w:t>
      </w:r>
      <w:r>
        <w:rPr>
          <w:rFonts w:hint="default" w:ascii="Times New Roman" w:hAnsi="Times New Roman" w:cs="Times New Roman"/>
          <w:i w:val="0"/>
          <w:iCs w:val="0"/>
          <w:sz w:val="24"/>
          <w:szCs w:val="24"/>
          <w:lang w:eastAsia="zh-CN"/>
        </w:rPr>
        <w:t>公用工程</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_Toc4730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41</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_Toc23879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3.2施工总体布置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_Toc23879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_Toc21718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3.2.1施工条件</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_Toc21718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_Toc8568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lang w:val="en-US" w:eastAsia="zh-CN"/>
        </w:rPr>
        <w:t>3.2.2施工布置原则</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_Toc8568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_Toc12303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eastAsia="宋体" w:cs="Times New Roman"/>
          <w:i w:val="0"/>
          <w:iCs w:val="0"/>
          <w:sz w:val="24"/>
          <w:szCs w:val="24"/>
          <w:highlight w:val="none"/>
          <w:lang w:val="en-US" w:eastAsia="zh-CN"/>
        </w:rPr>
        <w:t>3.2.</w:t>
      </w:r>
      <w:r>
        <w:rPr>
          <w:rFonts w:hint="default" w:ascii="Times New Roman" w:hAnsi="Times New Roman" w:cs="Times New Roman"/>
          <w:i w:val="0"/>
          <w:iCs w:val="0"/>
          <w:sz w:val="24"/>
          <w:szCs w:val="24"/>
          <w:highlight w:val="none"/>
          <w:lang w:val="en-US" w:eastAsia="zh-CN"/>
        </w:rPr>
        <w:t>3</w:t>
      </w:r>
      <w:r>
        <w:rPr>
          <w:rFonts w:hint="default" w:ascii="Times New Roman" w:hAnsi="Times New Roman" w:eastAsia="宋体" w:cs="Times New Roman"/>
          <w:i w:val="0"/>
          <w:iCs w:val="0"/>
          <w:sz w:val="24"/>
          <w:szCs w:val="24"/>
          <w:highlight w:val="none"/>
          <w:lang w:val="en-US" w:eastAsia="zh-CN"/>
        </w:rPr>
        <w:t>施工临时布置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_Toc12303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_Toc15235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lang w:val="en-US" w:eastAsia="zh-CN"/>
        </w:rPr>
        <w:t>3.2.4</w:t>
      </w:r>
      <w:r>
        <w:rPr>
          <w:rFonts w:hint="default" w:ascii="Times New Roman" w:hAnsi="Times New Roman" w:cs="Times New Roman"/>
          <w:i w:val="0"/>
          <w:iCs w:val="0"/>
          <w:sz w:val="24"/>
          <w:szCs w:val="24"/>
          <w:highlight w:val="none"/>
        </w:rPr>
        <w:t>土石方平衡及弃土、弃渣规划</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_Toc15235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_Toc30064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eastAsia="宋体" w:cs="Times New Roman"/>
          <w:i w:val="0"/>
          <w:iCs w:val="0"/>
          <w:sz w:val="24"/>
          <w:szCs w:val="24"/>
          <w:highlight w:val="none"/>
          <w:lang w:val="en-US" w:eastAsia="zh-CN"/>
        </w:rPr>
        <w:t>3.2.</w:t>
      </w:r>
      <w:r>
        <w:rPr>
          <w:rFonts w:hint="default" w:ascii="Times New Roman" w:hAnsi="Times New Roman" w:cs="Times New Roman"/>
          <w:i w:val="0"/>
          <w:iCs w:val="0"/>
          <w:sz w:val="24"/>
          <w:szCs w:val="24"/>
          <w:highlight w:val="none"/>
          <w:lang w:val="en-US" w:eastAsia="zh-CN"/>
        </w:rPr>
        <w:t>5施工进度</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_Toc30064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46</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_Toc27903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3.3施工方案</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_Toc27903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46</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_Toc10176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3.3.1</w:t>
      </w:r>
      <w:r>
        <w:rPr>
          <w:rFonts w:hint="default" w:ascii="Times New Roman" w:hAnsi="Times New Roman" w:cs="Times New Roman"/>
          <w:i w:val="0"/>
          <w:iCs w:val="0"/>
          <w:sz w:val="24"/>
          <w:szCs w:val="24"/>
        </w:rPr>
        <w:t>施工导流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_Toc10176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46</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_Toc7903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3.3.2</w:t>
      </w:r>
      <w:r>
        <w:rPr>
          <w:rFonts w:hint="default" w:ascii="Times New Roman" w:hAnsi="Times New Roman" w:cs="Times New Roman"/>
          <w:i w:val="0"/>
          <w:iCs w:val="0"/>
          <w:sz w:val="24"/>
          <w:szCs w:val="24"/>
          <w:lang w:eastAsia="zh-CN"/>
        </w:rPr>
        <w:t>河道疏浚工程</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_Toc7903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46</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_Toc24650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3.3.3</w:t>
      </w:r>
      <w:r>
        <w:rPr>
          <w:rFonts w:hint="default" w:ascii="Times New Roman" w:hAnsi="Times New Roman" w:cs="Times New Roman"/>
          <w:i w:val="0"/>
          <w:iCs w:val="0"/>
          <w:sz w:val="24"/>
          <w:szCs w:val="24"/>
        </w:rPr>
        <w:t>河岸岸堤建设</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_Toc24650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46</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_Toc4319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3.3.4河岸缓冲带生态建设工程</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_Toc4319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48</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_Toc9486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3.3.5</w:t>
      </w:r>
      <w:r>
        <w:rPr>
          <w:rFonts w:hint="default" w:ascii="Times New Roman" w:hAnsi="Times New Roman" w:cs="Times New Roman"/>
          <w:i w:val="0"/>
          <w:iCs w:val="0"/>
          <w:sz w:val="24"/>
          <w:szCs w:val="24"/>
        </w:rPr>
        <w:t>项目运行方式</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_Toc9486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49</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_Toc10604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3.</w:t>
      </w:r>
      <w:r>
        <w:rPr>
          <w:rFonts w:hint="default" w:ascii="Times New Roman" w:hAnsi="Times New Roman" w:cs="Times New Roman"/>
          <w:i w:val="0"/>
          <w:iCs w:val="0"/>
          <w:sz w:val="24"/>
          <w:szCs w:val="24"/>
          <w:lang w:val="en-US" w:eastAsia="zh-CN"/>
        </w:rPr>
        <w:t>4</w:t>
      </w:r>
      <w:r>
        <w:rPr>
          <w:rFonts w:hint="default" w:ascii="Times New Roman" w:hAnsi="Times New Roman" w:cs="Times New Roman"/>
          <w:i w:val="0"/>
          <w:iCs w:val="0"/>
          <w:sz w:val="24"/>
          <w:szCs w:val="24"/>
        </w:rPr>
        <w:t>污染影响因素分析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_Toc10604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50</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_Toc389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eastAsia="zh-CN"/>
        </w:rPr>
        <w:t>3.</w:t>
      </w:r>
      <w:r>
        <w:rPr>
          <w:rFonts w:hint="default" w:ascii="Times New Roman" w:hAnsi="Times New Roman" w:cs="Times New Roman"/>
          <w:i w:val="0"/>
          <w:iCs w:val="0"/>
          <w:sz w:val="24"/>
          <w:szCs w:val="24"/>
          <w:lang w:val="en-US" w:eastAsia="zh-CN"/>
        </w:rPr>
        <w:t>4</w:t>
      </w:r>
      <w:r>
        <w:rPr>
          <w:rFonts w:hint="default" w:ascii="Times New Roman" w:hAnsi="Times New Roman" w:cs="Times New Roman"/>
          <w:i w:val="0"/>
          <w:iCs w:val="0"/>
          <w:sz w:val="24"/>
          <w:szCs w:val="24"/>
        </w:rPr>
        <w:t>.1</w:t>
      </w:r>
      <w:r>
        <w:rPr>
          <w:rFonts w:hint="default" w:ascii="Times New Roman" w:hAnsi="Times New Roman" w:cs="Times New Roman"/>
          <w:i w:val="0"/>
          <w:iCs w:val="0"/>
          <w:sz w:val="24"/>
          <w:szCs w:val="24"/>
          <w:lang w:eastAsia="zh-CN"/>
        </w:rPr>
        <w:t>建设</w:t>
      </w:r>
      <w:r>
        <w:rPr>
          <w:rFonts w:hint="default" w:ascii="Times New Roman" w:hAnsi="Times New Roman" w:cs="Times New Roman"/>
          <w:i w:val="0"/>
          <w:iCs w:val="0"/>
          <w:sz w:val="24"/>
          <w:szCs w:val="24"/>
        </w:rPr>
        <w:t>阶段污染因素分析及治理措施</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_Toc389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50</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_Toc4556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lang w:eastAsia="zh-CN"/>
        </w:rPr>
        <w:t>3.</w:t>
      </w:r>
      <w:r>
        <w:rPr>
          <w:rFonts w:hint="default" w:ascii="Times New Roman" w:hAnsi="Times New Roman" w:cs="Times New Roman"/>
          <w:i w:val="0"/>
          <w:iCs w:val="0"/>
          <w:sz w:val="24"/>
          <w:szCs w:val="24"/>
          <w:highlight w:val="none"/>
          <w:lang w:val="en-US" w:eastAsia="zh-CN"/>
        </w:rPr>
        <w:t>4</w:t>
      </w:r>
      <w:r>
        <w:rPr>
          <w:rFonts w:hint="default" w:ascii="Times New Roman" w:hAnsi="Times New Roman" w:cs="Times New Roman"/>
          <w:i w:val="0"/>
          <w:iCs w:val="0"/>
          <w:sz w:val="24"/>
          <w:szCs w:val="24"/>
          <w:highlight w:val="none"/>
        </w:rPr>
        <w:t>.2建设阶段生态影响因素分析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_Toc4556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_Toc32430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eastAsia="宋体" w:cs="Times New Roman"/>
          <w:i w:val="0"/>
          <w:iCs w:val="0"/>
          <w:sz w:val="24"/>
          <w:szCs w:val="24"/>
          <w:highlight w:val="none"/>
          <w:lang w:val="en-US" w:eastAsia="zh-CN"/>
        </w:rPr>
        <w:t>3.</w:t>
      </w:r>
      <w:r>
        <w:rPr>
          <w:rFonts w:hint="default" w:ascii="Times New Roman" w:hAnsi="Times New Roman" w:cs="Times New Roman"/>
          <w:i w:val="0"/>
          <w:iCs w:val="0"/>
          <w:sz w:val="24"/>
          <w:szCs w:val="24"/>
          <w:highlight w:val="none"/>
          <w:lang w:val="en-US" w:eastAsia="zh-CN"/>
        </w:rPr>
        <w:t>4.3</w:t>
      </w:r>
      <w:r>
        <w:rPr>
          <w:rFonts w:hint="default" w:ascii="Times New Roman" w:hAnsi="Times New Roman" w:eastAsia="宋体" w:cs="Times New Roman"/>
          <w:i w:val="0"/>
          <w:iCs w:val="0"/>
          <w:sz w:val="24"/>
          <w:szCs w:val="24"/>
          <w:highlight w:val="none"/>
          <w:lang w:val="en-US" w:eastAsia="zh-CN"/>
        </w:rPr>
        <w:t>运行阶段污染影响因素分析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_Toc32430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_Toc26771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eastAsia="宋体" w:cs="Times New Roman"/>
          <w:i w:val="0"/>
          <w:iCs w:val="0"/>
          <w:sz w:val="24"/>
          <w:szCs w:val="24"/>
          <w:highlight w:val="none"/>
          <w:lang w:val="en-US" w:eastAsia="zh-CN"/>
        </w:rPr>
        <w:t>3.</w:t>
      </w:r>
      <w:r>
        <w:rPr>
          <w:rFonts w:hint="default" w:ascii="Times New Roman" w:hAnsi="Times New Roman" w:cs="Times New Roman"/>
          <w:i w:val="0"/>
          <w:iCs w:val="0"/>
          <w:sz w:val="24"/>
          <w:szCs w:val="24"/>
          <w:highlight w:val="none"/>
          <w:lang w:val="en-US" w:eastAsia="zh-CN"/>
        </w:rPr>
        <w:t>4</w:t>
      </w:r>
      <w:r>
        <w:rPr>
          <w:rFonts w:hint="default" w:ascii="Times New Roman" w:hAnsi="Times New Roman" w:eastAsia="宋体" w:cs="Times New Roman"/>
          <w:i w:val="0"/>
          <w:iCs w:val="0"/>
          <w:sz w:val="24"/>
          <w:szCs w:val="24"/>
          <w:highlight w:val="none"/>
          <w:lang w:val="en-US" w:eastAsia="zh-CN"/>
        </w:rPr>
        <w:t>.4产排污环节情况分析汇总</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_Toc26771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_Toc15409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lang w:val="en-US" w:eastAsia="zh-CN"/>
        </w:rPr>
        <w:t>3.5 污染源源强核算</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_Toc15409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59</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_Toc25765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eastAsia="zh-CN"/>
        </w:rPr>
        <w:t>3.</w:t>
      </w:r>
      <w:r>
        <w:rPr>
          <w:rFonts w:hint="default" w:ascii="Times New Roman" w:hAnsi="Times New Roman" w:cs="Times New Roman"/>
          <w:i w:val="0"/>
          <w:iCs w:val="0"/>
          <w:sz w:val="24"/>
          <w:szCs w:val="24"/>
          <w:lang w:val="en-US" w:eastAsia="zh-CN"/>
        </w:rPr>
        <w:t>5</w:t>
      </w:r>
      <w:r>
        <w:rPr>
          <w:rFonts w:hint="default" w:ascii="Times New Roman" w:hAnsi="Times New Roman" w:cs="Times New Roman"/>
          <w:i w:val="0"/>
          <w:iCs w:val="0"/>
          <w:sz w:val="24"/>
          <w:szCs w:val="24"/>
        </w:rPr>
        <w:t>.1 建设阶段污染源源强核算</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_Toc25765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59</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_Toc15317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3.5.2</w:t>
      </w:r>
      <w:r>
        <w:rPr>
          <w:rFonts w:hint="default" w:ascii="Times New Roman" w:hAnsi="Times New Roman" w:cs="Times New Roman"/>
          <w:i w:val="0"/>
          <w:iCs w:val="0"/>
          <w:sz w:val="24"/>
          <w:szCs w:val="24"/>
        </w:rPr>
        <w:t>运行阶段污染源源强核算</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_Toc15317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_Toc21839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3.6</w:t>
      </w:r>
      <w:r>
        <w:rPr>
          <w:rFonts w:hint="default" w:ascii="Times New Roman" w:hAnsi="Times New Roman" w:cs="Times New Roman"/>
          <w:i w:val="0"/>
          <w:iCs w:val="0"/>
          <w:sz w:val="24"/>
          <w:szCs w:val="24"/>
        </w:rPr>
        <w:t>总量控制指标</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_Toc21839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_Toc14770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3.7</w:t>
      </w:r>
      <w:r>
        <w:rPr>
          <w:rFonts w:hint="default" w:ascii="Times New Roman" w:hAnsi="Times New Roman" w:cs="Times New Roman"/>
          <w:i w:val="0"/>
          <w:iCs w:val="0"/>
          <w:sz w:val="24"/>
          <w:szCs w:val="24"/>
        </w:rPr>
        <w:t>项目污染物排放情况汇总</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_Toc14770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27"/>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_Toc4168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第四章 环境现状调查与评价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_Toc4168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68</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_Toc32435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4.1 自然环境现状调查与评价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_Toc32435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68</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_Toc9369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4.1.1 地理位置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_Toc9369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68</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_Toc18536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4.1.2 地形地貌</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_Toc18536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69</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_Toc8619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4.1.3气候特征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_Toc8619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69</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_Toc30781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4.1.4</w:t>
      </w:r>
      <w:r>
        <w:rPr>
          <w:rFonts w:hint="default" w:ascii="Times New Roman" w:hAnsi="Times New Roman" w:cs="Times New Roman"/>
          <w:i w:val="0"/>
          <w:iCs w:val="0"/>
          <w:sz w:val="24"/>
          <w:szCs w:val="24"/>
          <w:lang w:eastAsia="zh-CN"/>
        </w:rPr>
        <w:t>地质构造</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_Toc30781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70</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_Toc31779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4.1.</w:t>
      </w:r>
      <w:r>
        <w:rPr>
          <w:rFonts w:hint="default" w:ascii="Times New Roman" w:hAnsi="Times New Roman" w:cs="Times New Roman"/>
          <w:i w:val="0"/>
          <w:iCs w:val="0"/>
          <w:sz w:val="24"/>
          <w:szCs w:val="24"/>
          <w:lang w:val="en-US" w:eastAsia="zh-CN"/>
        </w:rPr>
        <w:t>5</w:t>
      </w:r>
      <w:r>
        <w:rPr>
          <w:rFonts w:hint="default" w:ascii="Times New Roman" w:hAnsi="Times New Roman" w:cs="Times New Roman"/>
          <w:i w:val="0"/>
          <w:iCs w:val="0"/>
          <w:sz w:val="24"/>
          <w:szCs w:val="24"/>
          <w:lang w:eastAsia="zh-CN"/>
        </w:rPr>
        <w:t>水文地质</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_Toc31779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70</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_Toc3471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4.1.</w:t>
      </w:r>
      <w:r>
        <w:rPr>
          <w:rFonts w:hint="default" w:ascii="Times New Roman" w:hAnsi="Times New Roman" w:cs="Times New Roman"/>
          <w:i w:val="0"/>
          <w:iCs w:val="0"/>
          <w:sz w:val="24"/>
          <w:szCs w:val="24"/>
          <w:lang w:val="en-US" w:eastAsia="zh-CN"/>
        </w:rPr>
        <w:t>6</w:t>
      </w:r>
      <w:r>
        <w:rPr>
          <w:rFonts w:hint="default" w:ascii="Times New Roman" w:hAnsi="Times New Roman" w:eastAsia="宋体" w:cs="Times New Roman"/>
          <w:bCs/>
          <w:i w:val="0"/>
          <w:iCs w:val="0"/>
          <w:kern w:val="0"/>
          <w:sz w:val="24"/>
          <w:szCs w:val="24"/>
          <w:lang w:val="zh-CN" w:bidi="zh-CN"/>
        </w:rPr>
        <w:t>地表水系</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_Toc3471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71</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_Toc9769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4.1.7</w:t>
      </w:r>
      <w:r>
        <w:rPr>
          <w:rFonts w:hint="default" w:ascii="Times New Roman" w:hAnsi="Times New Roman" w:cs="Times New Roman"/>
          <w:i w:val="0"/>
          <w:iCs w:val="0"/>
          <w:sz w:val="24"/>
          <w:szCs w:val="24"/>
        </w:rPr>
        <w:t>土壤与植被</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_Toc9769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_Toc18736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4.2 环境保护目标调查</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_Toc18736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_Toc24392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4.2.1环境功能区划调查</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_Toc24392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_Toc3683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4.2.2环境保护对象的调查</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_Toc3683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_Toc8217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4.3环境质量现状调查与评价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_Toc8217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_Toc29779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rPr>
        <w:t>4.3.1 环境空气质量现状评价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_Toc29779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_Toc26691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4.3.2 地表水环境质量现状评价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_Toc26691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_Toc21640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rPr>
        <w:t>4.3.3 地下水质量现状评价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_Toc21640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_Toc10661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4.3.4 声环境质量现状评价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_Toc10661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79</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_Toc17916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4.3.5</w:t>
      </w:r>
      <w:r>
        <w:rPr>
          <w:rFonts w:hint="default" w:ascii="Times New Roman" w:hAnsi="Times New Roman" w:cs="Times New Roman"/>
          <w:bCs/>
          <w:i w:val="0"/>
          <w:iCs w:val="0"/>
          <w:sz w:val="24"/>
          <w:szCs w:val="24"/>
        </w:rPr>
        <w:t xml:space="preserve"> 土壤环境质量现状评价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_Toc17916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79</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_Toc8608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rPr>
        <w:t xml:space="preserve">4.3.6 </w:t>
      </w:r>
      <w:r>
        <w:rPr>
          <w:rFonts w:hint="default" w:ascii="Times New Roman" w:hAnsi="Times New Roman" w:cs="Times New Roman"/>
          <w:i w:val="0"/>
          <w:iCs w:val="0"/>
          <w:sz w:val="24"/>
          <w:szCs w:val="24"/>
          <w:highlight w:val="none"/>
          <w:lang w:eastAsia="zh-CN"/>
        </w:rPr>
        <w:t>河流底质环境质量调查</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_Toc8608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81</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_Toc12714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rPr>
        <w:t>4.3.</w:t>
      </w:r>
      <w:r>
        <w:rPr>
          <w:rFonts w:hint="default" w:ascii="Times New Roman" w:hAnsi="Times New Roman" w:cs="Times New Roman"/>
          <w:i w:val="0"/>
          <w:iCs w:val="0"/>
          <w:sz w:val="24"/>
          <w:szCs w:val="24"/>
          <w:highlight w:val="none"/>
          <w:lang w:val="en-US" w:eastAsia="zh-CN"/>
        </w:rPr>
        <w:t>7</w:t>
      </w:r>
      <w:r>
        <w:rPr>
          <w:rFonts w:hint="default" w:ascii="Times New Roman" w:hAnsi="Times New Roman" w:cs="Times New Roman"/>
          <w:i w:val="0"/>
          <w:iCs w:val="0"/>
          <w:sz w:val="24"/>
          <w:szCs w:val="24"/>
          <w:highlight w:val="none"/>
        </w:rPr>
        <w:t xml:space="preserve"> 生态环境质量现状评价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_Toc12714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83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_Toc14810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rPr>
        <w:t>4.4 项目区域污染源调查</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_Toc14810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27"/>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_Toc21717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第五章 环境影响预测与评价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_Toc21717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_Toc5105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5.1 建设阶段环境影响分析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_Toc5105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_Toc26209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5.1.1 建设阶段大气环境影响分析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_Toc26209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_Toc16379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5.1.2 建设阶段水环境影响分析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_Toc16379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97</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_Toc23490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5.1.3 建设阶段声环境影响分析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_Toc23490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99</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_Toc12375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5.1.4 建设阶段固体废物环境影响分析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_Toc12375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105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_Toc2331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highlight w:val="none"/>
        </w:rPr>
        <w:t>5.1.5 建设阶段生态环境影响评价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_Toc2331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106</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_Toc3513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5.2 生产运行阶段环境影响预测与评价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_Toc3513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109</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_Toc23503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5.2.1 生产运行阶段地表水环境影响分析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_Toc23503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109</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_Toc940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5.2.2 生产运行阶段地下水环境影响分析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_Toc940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110</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_Toc9194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5.2.3 生产运行阶段生态环境影响分析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_Toc9194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110</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27"/>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_Toc20764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第六章 环境保护措施及其可行性论证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_Toc20764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_Toc24436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6.1 建设阶段污染防治措施及其可行性论证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_Toc24436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_Toc29593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6.1.1 建设阶段大气污染防治措施及其可行性论证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_Toc29593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_Toc14032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6.1.2 建设阶段水污染防治措施及其可行性论证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_Toc14032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113</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_Toc30374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6.1.3 建设阶段噪声防治措施及其可行性论证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_Toc30374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_Toc16740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 xml:space="preserve">6.1.4 </w:t>
      </w:r>
      <w:r>
        <w:rPr>
          <w:rFonts w:hint="default" w:ascii="Times New Roman" w:hAnsi="Times New Roman" w:cs="Times New Roman"/>
          <w:i w:val="0"/>
          <w:iCs w:val="0"/>
          <w:sz w:val="24"/>
          <w:szCs w:val="24"/>
          <w:highlight w:val="none"/>
        </w:rPr>
        <w:t>建设阶段固体废物处置措施及其可行性论证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_Toc16740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114</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_Toc3668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6.1.5 建设阶段生态防护措施及其可行性论证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_Toc3668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_Toc31800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6.2 生产运行阶段环保措施可行性论证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_Toc31800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116</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27"/>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_Toc24544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第七章 环境影响经济损益分析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_Toc24544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117</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_Toc27294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7.1 项目建设</w:t>
      </w:r>
      <w:r>
        <w:rPr>
          <w:rFonts w:hint="default" w:ascii="Times New Roman" w:hAnsi="Times New Roman" w:cs="Times New Roman"/>
          <w:i w:val="0"/>
          <w:iCs w:val="0"/>
          <w:sz w:val="24"/>
          <w:szCs w:val="24"/>
          <w:lang w:eastAsia="zh-CN"/>
        </w:rPr>
        <w:t>对</w:t>
      </w:r>
      <w:r>
        <w:rPr>
          <w:rFonts w:hint="default" w:ascii="Times New Roman" w:hAnsi="Times New Roman" w:cs="Times New Roman"/>
          <w:i w:val="0"/>
          <w:iCs w:val="0"/>
          <w:sz w:val="24"/>
          <w:szCs w:val="24"/>
        </w:rPr>
        <w:t>区域环境质量</w:t>
      </w:r>
      <w:r>
        <w:rPr>
          <w:rFonts w:hint="default" w:ascii="Times New Roman" w:hAnsi="Times New Roman" w:cs="Times New Roman"/>
          <w:i w:val="0"/>
          <w:iCs w:val="0"/>
          <w:sz w:val="24"/>
          <w:szCs w:val="24"/>
          <w:lang w:eastAsia="zh-CN"/>
        </w:rPr>
        <w:t>的影响</w:t>
      </w:r>
      <w:r>
        <w:rPr>
          <w:rFonts w:hint="default" w:ascii="Times New Roman" w:hAnsi="Times New Roman" w:cs="Times New Roman"/>
          <w:i w:val="0"/>
          <w:iCs w:val="0"/>
          <w:sz w:val="24"/>
          <w:szCs w:val="24"/>
        </w:rPr>
        <w:t>变化情况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_Toc27294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117</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_Toc12340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7.3 经济效益分析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_Toc12340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118</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_Toc22831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7.</w:t>
      </w:r>
      <w:r>
        <w:rPr>
          <w:rFonts w:hint="default" w:ascii="Times New Roman" w:hAnsi="Times New Roman" w:cs="Times New Roman"/>
          <w:i w:val="0"/>
          <w:iCs w:val="0"/>
          <w:sz w:val="24"/>
          <w:szCs w:val="24"/>
          <w:lang w:val="en-US" w:eastAsia="zh-CN"/>
        </w:rPr>
        <w:t xml:space="preserve">4 </w:t>
      </w:r>
      <w:r>
        <w:rPr>
          <w:rFonts w:hint="default" w:ascii="Times New Roman" w:hAnsi="Times New Roman" w:cs="Times New Roman"/>
          <w:i w:val="0"/>
          <w:iCs w:val="0"/>
          <w:sz w:val="24"/>
          <w:szCs w:val="24"/>
        </w:rPr>
        <w:t>环境效益分析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_Toc22831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118</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_Toc12153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7.</w:t>
      </w:r>
      <w:r>
        <w:rPr>
          <w:rFonts w:hint="default" w:ascii="Times New Roman" w:hAnsi="Times New Roman" w:cs="Times New Roman"/>
          <w:i w:val="0"/>
          <w:iCs w:val="0"/>
          <w:sz w:val="24"/>
          <w:szCs w:val="24"/>
          <w:lang w:val="en-US" w:eastAsia="zh-CN"/>
        </w:rPr>
        <w:t>5</w:t>
      </w:r>
      <w:r>
        <w:rPr>
          <w:rFonts w:hint="default" w:ascii="Times New Roman" w:hAnsi="Times New Roman" w:cs="Times New Roman"/>
          <w:i w:val="0"/>
          <w:iCs w:val="0"/>
          <w:sz w:val="24"/>
          <w:szCs w:val="24"/>
        </w:rPr>
        <w:t xml:space="preserve"> 环境经济效益损益分析结论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_Toc12153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118</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27"/>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_Toc15773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第八章 环境管理与监测计划</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_Toc15773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120</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_Toc4630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8.1 环境管理</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_Toc4630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120</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_Toc16941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8.1.1建设阶段环境管理</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_Toc16941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120</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_Toc27347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8.1.2</w:t>
      </w:r>
      <w:r>
        <w:rPr>
          <w:rFonts w:hint="default" w:ascii="Times New Roman" w:hAnsi="Times New Roman" w:cs="Times New Roman"/>
          <w:i w:val="0"/>
          <w:iCs w:val="0"/>
          <w:sz w:val="24"/>
          <w:szCs w:val="24"/>
        </w:rPr>
        <w:t>运行阶段环境管理</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_Toc27347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_Toc16847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lang w:val="en-US" w:eastAsia="zh-CN"/>
        </w:rPr>
        <w:t>8.2污染物排放清单</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_Toc16847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122</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_Toc5887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8.3 排污许可衔接</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_Toc5887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_Toc25138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8.4 环保设施“三同时”验收内容</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_Toc25138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125</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27"/>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_Toc21698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第九章 环境影响评价结论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_Toc21698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126</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_Toc9033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9.1 结论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_Toc9033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126</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_Toc7427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9.1.1 工程分析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_Toc7427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126</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_Toc14357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9.1.2 环境质量现状调查与评价</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_Toc14357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126</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_Toc26000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9.1.3 环境影响预测与分析和污染防治措施可行性论证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_Toc26000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127</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_Toc23225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9.1.4 环境影响经济损益结论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_Toc23225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131</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_Toc21861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9.1.</w:t>
      </w:r>
      <w:r>
        <w:rPr>
          <w:rFonts w:hint="default" w:ascii="Times New Roman" w:hAnsi="Times New Roman" w:cs="Times New Roman"/>
          <w:i w:val="0"/>
          <w:iCs w:val="0"/>
          <w:sz w:val="24"/>
          <w:szCs w:val="24"/>
          <w:lang w:val="en-US" w:eastAsia="zh-CN"/>
        </w:rPr>
        <w:t>5</w:t>
      </w:r>
      <w:r>
        <w:rPr>
          <w:rFonts w:hint="default" w:ascii="Times New Roman" w:hAnsi="Times New Roman" w:cs="Times New Roman"/>
          <w:i w:val="0"/>
          <w:iCs w:val="0"/>
          <w:sz w:val="24"/>
          <w:szCs w:val="24"/>
        </w:rPr>
        <w:t xml:space="preserve"> 总量控制分析结论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_Toc21861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131</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19"/>
        <w:tabs>
          <w:tab w:val="right" w:leader="dot" w:pos="8504"/>
        </w:tabs>
        <w:rPr>
          <w:rFonts w:hint="default" w:ascii="Times New Roman" w:hAnsi="Times New Roman" w:cs="Times New Roman"/>
          <w:i w:val="0"/>
          <w:iCs w:val="0"/>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_Toc7705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i w:val="0"/>
          <w:iCs w:val="0"/>
          <w:sz w:val="24"/>
          <w:szCs w:val="24"/>
        </w:rPr>
        <w:t>9.1.</w:t>
      </w:r>
      <w:r>
        <w:rPr>
          <w:rFonts w:hint="default" w:ascii="Times New Roman" w:hAnsi="Times New Roman" w:cs="Times New Roman"/>
          <w:i w:val="0"/>
          <w:iCs w:val="0"/>
          <w:sz w:val="24"/>
          <w:szCs w:val="24"/>
          <w:lang w:val="en-US" w:eastAsia="zh-CN"/>
        </w:rPr>
        <w:t>6</w:t>
      </w:r>
      <w:r>
        <w:rPr>
          <w:rFonts w:hint="default" w:ascii="Times New Roman" w:hAnsi="Times New Roman" w:cs="Times New Roman"/>
          <w:i w:val="0"/>
          <w:iCs w:val="0"/>
          <w:sz w:val="24"/>
          <w:szCs w:val="24"/>
        </w:rPr>
        <w:t xml:space="preserve"> 建设项目可行性结论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_Toc7705 \h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131</w:t>
      </w:r>
      <w:r>
        <w:rPr>
          <w:rFonts w:hint="default" w:ascii="Times New Roman" w:hAnsi="Times New Roman" w:cs="Times New Roman"/>
          <w:i w:val="0"/>
          <w:iCs w:val="0"/>
          <w:sz w:val="24"/>
          <w:szCs w:val="24"/>
        </w:rPr>
        <w:fldChar w:fldCharType="end"/>
      </w:r>
      <w:r>
        <w:rPr>
          <w:rFonts w:hint="default" w:ascii="Times New Roman" w:hAnsi="Times New Roman" w:cs="Times New Roman" w:eastAsiaTheme="minorEastAsia"/>
          <w:bCs/>
          <w:i w:val="0"/>
          <w:iCs w:val="0"/>
          <w:caps/>
          <w:sz w:val="24"/>
          <w:szCs w:val="24"/>
        </w:rPr>
        <w:fldChar w:fldCharType="end"/>
      </w:r>
    </w:p>
    <w:p>
      <w:pPr>
        <w:pStyle w:val="34"/>
        <w:tabs>
          <w:tab w:val="right" w:leader="dot" w:pos="8504"/>
        </w:tabs>
        <w:rPr>
          <w:rFonts w:hint="default" w:ascii="Times New Roman" w:hAnsi="Times New Roman" w:cs="Times New Roman"/>
          <w:sz w:val="24"/>
          <w:szCs w:val="24"/>
        </w:rPr>
      </w:pPr>
      <w:r>
        <w:rPr>
          <w:rFonts w:hint="default" w:ascii="Times New Roman" w:hAnsi="Times New Roman" w:cs="Times New Roman" w:eastAsiaTheme="minorEastAsia"/>
          <w:bCs/>
          <w:i w:val="0"/>
          <w:iCs w:val="0"/>
          <w:caps/>
          <w:sz w:val="24"/>
          <w:szCs w:val="24"/>
        </w:rPr>
        <w:fldChar w:fldCharType="begin"/>
      </w:r>
      <w:r>
        <w:rPr>
          <w:rFonts w:hint="default" w:ascii="Times New Roman" w:hAnsi="Times New Roman" w:cs="Times New Roman" w:eastAsiaTheme="minorEastAsia"/>
          <w:bCs/>
          <w:i w:val="0"/>
          <w:iCs w:val="0"/>
          <w:caps/>
          <w:sz w:val="24"/>
          <w:szCs w:val="24"/>
        </w:rPr>
        <w:instrText xml:space="preserve"> HYPERLINK \l _Toc1092 </w:instrText>
      </w:r>
      <w:r>
        <w:rPr>
          <w:rFonts w:hint="default" w:ascii="Times New Roman" w:hAnsi="Times New Roman" w:cs="Times New Roman" w:eastAsiaTheme="minorEastAsia"/>
          <w:bCs/>
          <w:i w:val="0"/>
          <w:iCs w:val="0"/>
          <w:caps/>
          <w:sz w:val="24"/>
          <w:szCs w:val="24"/>
        </w:rPr>
        <w:fldChar w:fldCharType="separate"/>
      </w:r>
      <w:r>
        <w:rPr>
          <w:rFonts w:hint="default" w:ascii="Times New Roman" w:hAnsi="Times New Roman" w:cs="Times New Roman"/>
          <w:sz w:val="24"/>
          <w:szCs w:val="24"/>
        </w:rPr>
        <w:t>9.2 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131</w:t>
      </w:r>
      <w:r>
        <w:rPr>
          <w:rFonts w:hint="default" w:ascii="Times New Roman" w:hAnsi="Times New Roman" w:cs="Times New Roman"/>
          <w:sz w:val="24"/>
          <w:szCs w:val="24"/>
        </w:rPr>
        <w:fldChar w:fldCharType="end"/>
      </w:r>
      <w:r>
        <w:rPr>
          <w:rFonts w:hint="default" w:ascii="Times New Roman" w:hAnsi="Times New Roman" w:cs="Times New Roman" w:eastAsiaTheme="minorEastAsia"/>
          <w:bCs/>
          <w:i w:val="0"/>
          <w:iCs w:val="0"/>
          <w:caps/>
          <w:sz w:val="24"/>
          <w:szCs w:val="24"/>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eastAsiaTheme="minorEastAsia"/>
          <w:bCs/>
          <w:i w:val="0"/>
          <w:iCs w:val="0"/>
          <w:caps/>
          <w:szCs w:val="24"/>
        </w:rPr>
        <w:sectPr>
          <w:headerReference r:id="rId11" w:type="default"/>
          <w:footerReference r:id="rId12" w:type="default"/>
          <w:pgSz w:w="11906" w:h="16838"/>
          <w:pgMar w:top="1701" w:right="1701" w:bottom="1701" w:left="1701" w:header="1134" w:footer="992" w:gutter="0"/>
          <w:pgNumType w:start="1"/>
          <w:cols w:space="425" w:num="1"/>
          <w:docGrid w:linePitch="326" w:charSpace="0"/>
        </w:sectPr>
      </w:pPr>
      <w:r>
        <w:rPr>
          <w:rFonts w:eastAsiaTheme="minorEastAsia"/>
          <w:bCs/>
          <w:i w:val="0"/>
          <w:iCs w:val="0"/>
          <w:caps/>
          <w:szCs w:val="24"/>
        </w:rPr>
        <w:fldChar w:fldCharType="end"/>
      </w:r>
    </w:p>
    <w:p>
      <w:pPr>
        <w:ind w:firstLine="480"/>
        <w:outlineLvl w:val="9"/>
        <w:rPr>
          <w:b/>
          <w:bCs/>
          <w:sz w:val="21"/>
          <w:szCs w:val="21"/>
        </w:rPr>
      </w:pPr>
      <w:r>
        <w:rPr>
          <w:b/>
          <w:bCs/>
          <w:sz w:val="21"/>
          <w:szCs w:val="21"/>
        </w:rPr>
        <w:t>附图：</w:t>
      </w:r>
    </w:p>
    <w:p>
      <w:pPr>
        <w:ind w:firstLine="480"/>
        <w:outlineLvl w:val="9"/>
        <w:rPr>
          <w:rFonts w:hint="eastAsia"/>
          <w:sz w:val="21"/>
          <w:szCs w:val="21"/>
        </w:rPr>
      </w:pPr>
      <w:bookmarkStart w:id="7" w:name="_Toc22223"/>
      <w:r>
        <w:rPr>
          <w:rFonts w:hint="eastAsia"/>
          <w:sz w:val="21"/>
          <w:szCs w:val="21"/>
        </w:rPr>
        <w:t>附图1 地理位置图</w:t>
      </w:r>
    </w:p>
    <w:p>
      <w:pPr>
        <w:ind w:firstLine="480"/>
        <w:outlineLvl w:val="9"/>
        <w:rPr>
          <w:rFonts w:hint="eastAsia"/>
          <w:sz w:val="21"/>
          <w:szCs w:val="21"/>
        </w:rPr>
      </w:pPr>
      <w:r>
        <w:rPr>
          <w:rFonts w:hint="eastAsia"/>
          <w:sz w:val="21"/>
          <w:szCs w:val="21"/>
        </w:rPr>
        <w:t xml:space="preserve">附图2 </w:t>
      </w:r>
      <w:r>
        <w:rPr>
          <w:rFonts w:hint="eastAsia"/>
          <w:sz w:val="21"/>
          <w:szCs w:val="21"/>
          <w:lang w:val="en-US" w:eastAsia="zh-CN"/>
        </w:rPr>
        <w:t>流域水系图</w:t>
      </w:r>
    </w:p>
    <w:p>
      <w:pPr>
        <w:ind w:firstLine="480"/>
        <w:outlineLvl w:val="9"/>
        <w:rPr>
          <w:rFonts w:hint="eastAsia"/>
          <w:sz w:val="21"/>
          <w:szCs w:val="21"/>
        </w:rPr>
      </w:pPr>
      <w:r>
        <w:rPr>
          <w:rFonts w:hint="eastAsia"/>
          <w:sz w:val="21"/>
          <w:szCs w:val="21"/>
        </w:rPr>
        <w:t xml:space="preserve">附图3 </w:t>
      </w:r>
      <w:r>
        <w:rPr>
          <w:rFonts w:hint="eastAsia"/>
          <w:sz w:val="21"/>
          <w:szCs w:val="21"/>
          <w:lang w:val="en-US" w:eastAsia="zh-CN"/>
        </w:rPr>
        <w:t>四邻关系</w:t>
      </w:r>
      <w:r>
        <w:rPr>
          <w:rFonts w:hint="eastAsia"/>
          <w:sz w:val="21"/>
          <w:szCs w:val="21"/>
        </w:rPr>
        <w:t>图</w:t>
      </w:r>
    </w:p>
    <w:p>
      <w:pPr>
        <w:ind w:firstLine="480"/>
        <w:outlineLvl w:val="9"/>
        <w:rPr>
          <w:rFonts w:hint="eastAsia"/>
          <w:sz w:val="21"/>
          <w:szCs w:val="21"/>
          <w:lang w:val="en-US" w:eastAsia="zh-CN"/>
        </w:rPr>
      </w:pPr>
      <w:r>
        <w:rPr>
          <w:rFonts w:hint="eastAsia"/>
          <w:sz w:val="21"/>
          <w:szCs w:val="21"/>
        </w:rPr>
        <w:t>附图</w:t>
      </w:r>
      <w:r>
        <w:rPr>
          <w:rFonts w:hint="eastAsia"/>
          <w:sz w:val="21"/>
          <w:szCs w:val="21"/>
          <w:lang w:val="en-US" w:eastAsia="zh-CN"/>
        </w:rPr>
        <w:t>4</w:t>
      </w:r>
      <w:r>
        <w:rPr>
          <w:rFonts w:hint="eastAsia"/>
          <w:sz w:val="21"/>
          <w:szCs w:val="21"/>
        </w:rPr>
        <w:t xml:space="preserve"> </w:t>
      </w:r>
      <w:r>
        <w:rPr>
          <w:rFonts w:hint="eastAsia"/>
          <w:sz w:val="21"/>
          <w:szCs w:val="21"/>
          <w:lang w:val="en-US" w:eastAsia="zh-CN"/>
        </w:rPr>
        <w:t>平面布置图</w:t>
      </w:r>
    </w:p>
    <w:p>
      <w:pPr>
        <w:ind w:firstLine="480"/>
        <w:outlineLvl w:val="9"/>
        <w:rPr>
          <w:rFonts w:hint="eastAsia"/>
          <w:sz w:val="21"/>
          <w:szCs w:val="21"/>
        </w:rPr>
      </w:pPr>
      <w:r>
        <w:rPr>
          <w:rFonts w:hint="eastAsia"/>
          <w:sz w:val="21"/>
          <w:szCs w:val="21"/>
        </w:rPr>
        <w:t>附图</w:t>
      </w:r>
      <w:r>
        <w:rPr>
          <w:rFonts w:hint="eastAsia"/>
          <w:sz w:val="21"/>
          <w:szCs w:val="21"/>
          <w:lang w:val="en-US" w:eastAsia="zh-CN"/>
        </w:rPr>
        <w:t xml:space="preserve">5 </w:t>
      </w:r>
      <w:r>
        <w:rPr>
          <w:rFonts w:hint="eastAsia"/>
          <w:sz w:val="21"/>
          <w:szCs w:val="21"/>
        </w:rPr>
        <w:t>环境质量现状监测布点图</w:t>
      </w:r>
    </w:p>
    <w:p>
      <w:pPr>
        <w:ind w:firstLine="480"/>
        <w:outlineLvl w:val="9"/>
        <w:rPr>
          <w:rFonts w:hint="eastAsia"/>
          <w:sz w:val="21"/>
          <w:szCs w:val="21"/>
        </w:rPr>
      </w:pPr>
      <w:r>
        <w:rPr>
          <w:rFonts w:hint="eastAsia"/>
          <w:sz w:val="21"/>
          <w:szCs w:val="21"/>
        </w:rPr>
        <w:t>附图</w:t>
      </w:r>
      <w:r>
        <w:rPr>
          <w:rFonts w:hint="eastAsia"/>
          <w:sz w:val="21"/>
          <w:szCs w:val="21"/>
          <w:lang w:val="en-US" w:eastAsia="zh-CN"/>
        </w:rPr>
        <w:t>6</w:t>
      </w:r>
      <w:r>
        <w:rPr>
          <w:rFonts w:hint="eastAsia"/>
          <w:sz w:val="21"/>
          <w:szCs w:val="21"/>
        </w:rPr>
        <w:t xml:space="preserve"> 与生态红线位置关系图</w:t>
      </w:r>
    </w:p>
    <w:p>
      <w:pPr>
        <w:ind w:firstLine="480"/>
        <w:outlineLvl w:val="9"/>
        <w:rPr>
          <w:rFonts w:hint="eastAsia"/>
          <w:sz w:val="21"/>
          <w:szCs w:val="21"/>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附图</w:t>
      </w:r>
      <w:r>
        <w:rPr>
          <w:rFonts w:hint="eastAsia" w:cs="Times New Roman"/>
          <w:color w:val="000000" w:themeColor="text1"/>
          <w:sz w:val="21"/>
          <w:szCs w:val="2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生态保护措施平面布置图</w:t>
      </w:r>
    </w:p>
    <w:bookmarkEnd w:id="7"/>
    <w:p>
      <w:pPr>
        <w:ind w:firstLine="480"/>
        <w:outlineLvl w:val="9"/>
        <w:rPr>
          <w:b/>
          <w:bCs/>
          <w:sz w:val="21"/>
          <w:szCs w:val="21"/>
        </w:rPr>
      </w:pPr>
    </w:p>
    <w:p>
      <w:pPr>
        <w:ind w:firstLine="480"/>
        <w:outlineLvl w:val="9"/>
        <w:rPr>
          <w:b/>
          <w:bCs/>
          <w:sz w:val="21"/>
          <w:szCs w:val="21"/>
        </w:rPr>
      </w:pPr>
    </w:p>
    <w:p>
      <w:pPr>
        <w:ind w:firstLine="480"/>
        <w:outlineLvl w:val="9"/>
        <w:rPr>
          <w:sz w:val="21"/>
          <w:szCs w:val="21"/>
        </w:rPr>
      </w:pPr>
      <w:r>
        <w:rPr>
          <w:b/>
          <w:bCs/>
          <w:sz w:val="21"/>
          <w:szCs w:val="21"/>
        </w:rPr>
        <w:t>附件：</w:t>
      </w:r>
    </w:p>
    <w:p>
      <w:pPr>
        <w:ind w:firstLine="480"/>
        <w:outlineLvl w:val="9"/>
        <w:rPr>
          <w:rFonts w:hint="eastAsia" w:eastAsia="宋体"/>
          <w:sz w:val="21"/>
          <w:szCs w:val="21"/>
          <w:lang w:eastAsia="zh-CN"/>
        </w:rPr>
      </w:pPr>
      <w:r>
        <w:rPr>
          <w:sz w:val="21"/>
          <w:szCs w:val="21"/>
        </w:rPr>
        <w:t xml:space="preserve">1. </w:t>
      </w:r>
      <w:r>
        <w:rPr>
          <w:rFonts w:hint="eastAsia"/>
          <w:sz w:val="21"/>
          <w:szCs w:val="21"/>
        </w:rPr>
        <w:t>委托书</w:t>
      </w:r>
      <w:r>
        <w:rPr>
          <w:rFonts w:hint="eastAsia"/>
          <w:sz w:val="21"/>
          <w:szCs w:val="21"/>
          <w:lang w:eastAsia="zh-CN"/>
        </w:rPr>
        <w:t>；</w:t>
      </w:r>
    </w:p>
    <w:p>
      <w:pPr>
        <w:ind w:firstLine="480"/>
        <w:outlineLvl w:val="9"/>
        <w:rPr>
          <w:rFonts w:hint="eastAsia" w:eastAsia="宋体"/>
          <w:sz w:val="21"/>
          <w:szCs w:val="21"/>
          <w:lang w:eastAsia="zh-CN"/>
        </w:rPr>
      </w:pPr>
      <w:r>
        <w:rPr>
          <w:rFonts w:hint="eastAsia"/>
          <w:sz w:val="21"/>
          <w:szCs w:val="21"/>
        </w:rPr>
        <w:t xml:space="preserve">2. </w:t>
      </w:r>
      <w:r>
        <w:rPr>
          <w:rFonts w:hint="eastAsia"/>
          <w:sz w:val="21"/>
          <w:szCs w:val="21"/>
          <w:lang w:eastAsia="zh-CN"/>
        </w:rPr>
        <w:t>建设单位承诺书；</w:t>
      </w:r>
    </w:p>
    <w:p>
      <w:pPr>
        <w:ind w:firstLine="480"/>
        <w:outlineLvl w:val="9"/>
        <w:rPr>
          <w:rFonts w:hint="eastAsia" w:eastAsia="宋体"/>
          <w:sz w:val="21"/>
          <w:szCs w:val="21"/>
          <w:highlight w:val="none"/>
          <w:lang w:eastAsia="zh-CN"/>
        </w:rPr>
      </w:pPr>
      <w:r>
        <w:rPr>
          <w:rFonts w:hint="eastAsia"/>
          <w:sz w:val="21"/>
          <w:szCs w:val="21"/>
        </w:rPr>
        <w:t>3</w:t>
      </w:r>
      <w:r>
        <w:rPr>
          <w:sz w:val="21"/>
          <w:szCs w:val="21"/>
        </w:rPr>
        <w:t>.</w:t>
      </w:r>
      <w:r>
        <w:rPr>
          <w:rFonts w:hint="eastAsia"/>
          <w:sz w:val="21"/>
          <w:szCs w:val="21"/>
          <w:highlight w:val="none"/>
        </w:rPr>
        <w:t xml:space="preserve"> </w:t>
      </w:r>
      <w:r>
        <w:rPr>
          <w:rFonts w:hint="eastAsia"/>
          <w:sz w:val="21"/>
          <w:szCs w:val="21"/>
          <w:highlight w:val="none"/>
          <w:lang w:eastAsia="zh-CN"/>
        </w:rPr>
        <w:t>环评单位承诺书；</w:t>
      </w:r>
    </w:p>
    <w:p>
      <w:pPr>
        <w:ind w:firstLine="480"/>
        <w:outlineLvl w:val="9"/>
        <w:rPr>
          <w:rFonts w:hint="eastAsia"/>
          <w:sz w:val="21"/>
          <w:szCs w:val="21"/>
          <w:highlight w:val="none"/>
          <w:lang w:val="en-US" w:eastAsia="zh-CN"/>
        </w:rPr>
      </w:pPr>
      <w:r>
        <w:rPr>
          <w:rFonts w:hint="eastAsia"/>
          <w:sz w:val="21"/>
          <w:szCs w:val="21"/>
          <w:highlight w:val="none"/>
          <w:lang w:val="en-US" w:eastAsia="zh-CN"/>
        </w:rPr>
        <w:t>4</w:t>
      </w:r>
      <w:r>
        <w:rPr>
          <w:sz w:val="21"/>
          <w:szCs w:val="21"/>
        </w:rPr>
        <w:t>.</w:t>
      </w:r>
      <w:r>
        <w:rPr>
          <w:rFonts w:hint="eastAsia"/>
          <w:sz w:val="21"/>
          <w:szCs w:val="21"/>
          <w:highlight w:val="none"/>
        </w:rPr>
        <w:t xml:space="preserve"> </w:t>
      </w:r>
      <w:r>
        <w:rPr>
          <w:rFonts w:hint="eastAsia"/>
          <w:sz w:val="21"/>
          <w:szCs w:val="21"/>
          <w:highlight w:val="none"/>
          <w:lang w:val="en-US" w:eastAsia="zh-CN"/>
        </w:rPr>
        <w:t>兴隆县行政审批局关于“三块石国考断面周边环境综合整治工程”政府投资项目初步设计审批（兴审批投字[2022]133号） ；</w:t>
      </w:r>
    </w:p>
    <w:p>
      <w:pPr>
        <w:ind w:firstLine="480"/>
        <w:outlineLvl w:val="9"/>
        <w:rPr>
          <w:sz w:val="21"/>
          <w:szCs w:val="21"/>
          <w:highlight w:val="none"/>
        </w:rPr>
      </w:pPr>
      <w:r>
        <w:rPr>
          <w:rFonts w:hint="eastAsia"/>
          <w:sz w:val="21"/>
          <w:szCs w:val="21"/>
          <w:highlight w:val="none"/>
          <w:lang w:val="en-US" w:eastAsia="zh-CN"/>
        </w:rPr>
        <w:t>5</w:t>
      </w:r>
      <w:r>
        <w:rPr>
          <w:sz w:val="21"/>
          <w:szCs w:val="21"/>
        </w:rPr>
        <w:t>.</w:t>
      </w:r>
      <w:r>
        <w:rPr>
          <w:rFonts w:hint="eastAsia"/>
          <w:sz w:val="21"/>
          <w:szCs w:val="21"/>
          <w:highlight w:val="none"/>
        </w:rPr>
        <w:t xml:space="preserve"> 《</w:t>
      </w:r>
      <w:r>
        <w:rPr>
          <w:rFonts w:hint="eastAsia"/>
          <w:sz w:val="21"/>
          <w:szCs w:val="21"/>
          <w:highlight w:val="none"/>
          <w:lang w:eastAsia="zh-CN"/>
        </w:rPr>
        <w:t>三块石国考断面周边环境综合整治工程</w:t>
      </w:r>
      <w:r>
        <w:rPr>
          <w:rFonts w:hint="eastAsia"/>
          <w:sz w:val="21"/>
          <w:szCs w:val="21"/>
          <w:highlight w:val="none"/>
        </w:rPr>
        <w:t>环境质量现状检测》</w:t>
      </w:r>
      <w:r>
        <w:rPr>
          <w:rFonts w:hint="eastAsia"/>
          <w:sz w:val="21"/>
          <w:szCs w:val="21"/>
          <w:highlight w:val="none"/>
          <w:lang w:eastAsia="zh-CN"/>
        </w:rPr>
        <w:t>（辽鹏环测）字</w:t>
      </w:r>
      <w:r>
        <w:rPr>
          <w:rFonts w:hint="eastAsia"/>
          <w:sz w:val="21"/>
          <w:szCs w:val="21"/>
          <w:highlight w:val="none"/>
        </w:rPr>
        <w:t>PY2209488-001号；</w:t>
      </w:r>
    </w:p>
    <w:p>
      <w:pPr>
        <w:pStyle w:val="2"/>
        <w:sectPr>
          <w:pgSz w:w="11906" w:h="16838"/>
          <w:pgMar w:top="1701" w:right="1701" w:bottom="1701" w:left="1701" w:header="1134" w:footer="992" w:gutter="0"/>
          <w:pgNumType w:start="1"/>
          <w:cols w:space="425" w:num="1"/>
          <w:docGrid w:linePitch="326" w:charSpace="0"/>
        </w:sectPr>
      </w:pPr>
    </w:p>
    <w:bookmarkEnd w:id="0"/>
    <w:bookmarkEnd w:id="1"/>
    <w:bookmarkEnd w:id="2"/>
    <w:bookmarkEnd w:id="3"/>
    <w:bookmarkEnd w:id="4"/>
    <w:bookmarkEnd w:id="5"/>
    <w:bookmarkEnd w:id="6"/>
    <w:p>
      <w:pPr>
        <w:pStyle w:val="3"/>
        <w:rPr>
          <w:rFonts w:ascii="Times New Roman" w:hAnsi="Times New Roman"/>
        </w:rPr>
      </w:pPr>
      <w:bookmarkStart w:id="8" w:name="_Toc470785802"/>
      <w:r>
        <w:rPr>
          <w:rFonts w:hint="eastAsia" w:ascii="Times New Roman" w:hAnsi="Times New Roman"/>
          <w:lang w:val="en-US" w:eastAsia="zh-CN"/>
        </w:rPr>
        <w:t xml:space="preserve"> </w:t>
      </w:r>
      <w:bookmarkStart w:id="9" w:name="_Toc18812"/>
      <w:r>
        <w:rPr>
          <w:rFonts w:ascii="Times New Roman" w:hAnsi="Times New Roman"/>
        </w:rPr>
        <w:t>第一章 概述</w:t>
      </w:r>
      <w:bookmarkEnd w:id="8"/>
      <w:bookmarkEnd w:id="9"/>
    </w:p>
    <w:p>
      <w:pPr>
        <w:pStyle w:val="5"/>
      </w:pPr>
      <w:bookmarkStart w:id="10" w:name="_Toc17586"/>
      <w:r>
        <w:rPr>
          <w:rFonts w:hint="eastAsia"/>
        </w:rPr>
        <w:t>1.1项目背景</w:t>
      </w:r>
      <w:bookmarkEnd w:id="10"/>
    </w:p>
    <w:p>
      <w:pPr>
        <w:widowControl/>
        <w:ind w:firstLine="480"/>
        <w:rPr>
          <w:rFonts w:hint="eastAsia" w:cs="Times New Roman"/>
          <w:lang w:eastAsia="zh-CN"/>
        </w:rPr>
      </w:pPr>
      <w:r>
        <w:rPr>
          <w:rFonts w:hint="eastAsia" w:cs="Times New Roman"/>
          <w:lang w:eastAsia="zh-CN"/>
        </w:rPr>
        <w:t>柳河发源于燕山山脉主峰雾灵山，自南向北纵贯兴隆县城区，于柳河口注入滦河，属海河流域滦河水系的一级支流，是县内最长的河流，具有极其重要的生态价值。加强柳河河流域生态环境保护，打造更加优美的生态环境，是当地最基本的民生需求。坚持生态优先、绿色发展，持续改善生态环境，筑牢生态安全屏障，是兴隆县作为国家生态文明建设示范市县的光荣使命，也是承德市全面建设生态文明先行示范区的重要内容。</w:t>
      </w:r>
    </w:p>
    <w:p>
      <w:pPr>
        <w:widowControl/>
        <w:ind w:firstLine="480"/>
        <w:rPr>
          <w:rFonts w:hint="eastAsia" w:cs="Times New Roman"/>
          <w:lang w:eastAsia="zh-CN"/>
        </w:rPr>
      </w:pPr>
      <w:r>
        <w:rPr>
          <w:rFonts w:hint="eastAsia" w:cs="Times New Roman"/>
          <w:lang w:eastAsia="zh-CN"/>
        </w:rPr>
        <w:t>柳河作为兴隆县城主要河流，近年来实施一系列水污染治理工程后取得一定成效，水质有了明显改善，但是柳河河段沿岸生态景观仍然差强人意，由于经年累月的人为破坏及上游冲刷物累积，部分河道存在垃圾、污泥等堆积物，现状河道水质受影响较大，河道行洪能力不足，河道生态系统遭到一定程度的破坏。随着兴隆县境内水资源开发利用程度逐年提高，多年平均水资源开发利用程度增大，尤其是工矿企业的迅速崛起，大量的水资源利用对区域地表水及地下水资源产生较大影响，河道水量逐年减少，水体自然稀释自净能力变差。遇大雨天气漫水坝被冲毁，导致现状河道杂乱；河道内碎石堆积严重，影响行洪安全。李家营三块石断面附近受到河道行洪冲击影响，河流设施破损严重，河底和边坡冲积物堆积，且部分区域生态环境较差，存在水质安全的隐患。</w:t>
      </w:r>
    </w:p>
    <w:p>
      <w:pPr>
        <w:pStyle w:val="126"/>
        <w:ind w:firstLine="480"/>
        <w:jc w:val="both"/>
        <w:rPr>
          <w:rFonts w:hint="eastAsia" w:cs="Times New Roman"/>
          <w:color w:val="000000"/>
          <w:lang w:eastAsia="zh-CN"/>
        </w:rPr>
      </w:pPr>
      <w:r>
        <w:rPr>
          <w:rFonts w:hint="eastAsia" w:cs="Times New Roman"/>
          <w:color w:val="000000"/>
          <w:lang w:eastAsia="zh-CN"/>
        </w:rPr>
        <w:t>为了切实加大兴隆县李家营镇内柳河污染防治力度，以三块石断面水质长期稳定达标为目标，保障水环境安全，改善城市生态环境，兴隆县李家营镇人民政府提出三块石断面区域环境综合整治工程，稳步推进柳河水质提质生态修复工作。</w:t>
      </w:r>
    </w:p>
    <w:p>
      <w:pPr>
        <w:pStyle w:val="5"/>
        <w:rPr>
          <w:highlight w:val="none"/>
        </w:rPr>
      </w:pPr>
      <w:bookmarkStart w:id="11" w:name="_Toc32736"/>
      <w:r>
        <w:rPr>
          <w:rFonts w:hint="eastAsia"/>
          <w:highlight w:val="none"/>
        </w:rPr>
        <w:t>1.2项目建设特点</w:t>
      </w:r>
      <w:bookmarkEnd w:id="11"/>
    </w:p>
    <w:p>
      <w:pPr>
        <w:pStyle w:val="126"/>
        <w:ind w:firstLine="480"/>
        <w:jc w:val="both"/>
        <w:rPr>
          <w:rFonts w:hint="eastAsia" w:cs="Times New Roman"/>
          <w:lang w:eastAsia="zh-CN"/>
        </w:rPr>
      </w:pPr>
      <w:r>
        <w:rPr>
          <w:rFonts w:hint="eastAsia" w:cs="Times New Roman"/>
          <w:lang w:eastAsia="zh-CN"/>
        </w:rPr>
        <w:t>本项目为柳河三块石断面区域环境整治项目，主要工程内容包括河道疏浚工程、河岸岸堤建设、河岸缓冲带建设工程。</w:t>
      </w:r>
    </w:p>
    <w:p>
      <w:pPr>
        <w:ind w:firstLine="480"/>
        <w:rPr>
          <w:rFonts w:hint="eastAsia" w:cs="Times New Roman"/>
          <w:vertAlign w:val="baseline"/>
          <w:lang w:val="en-US" w:eastAsia="zh-CN"/>
        </w:rPr>
      </w:pPr>
      <w:r>
        <w:rPr>
          <w:rFonts w:hint="eastAsia" w:cs="Times New Roman"/>
          <w:lang w:eastAsia="zh-CN"/>
        </w:rPr>
        <w:t>河道疏浚工程，清理河流冲积物</w:t>
      </w:r>
      <w:r>
        <w:rPr>
          <w:rFonts w:hint="eastAsia" w:cs="Times New Roman"/>
          <w:lang w:val="en-US" w:eastAsia="zh-CN"/>
        </w:rPr>
        <w:t>3598.5m</w:t>
      </w:r>
      <w:r>
        <w:rPr>
          <w:rFonts w:hint="eastAsia" w:cs="Times New Roman"/>
          <w:vertAlign w:val="superscript"/>
          <w:lang w:val="en-US" w:eastAsia="zh-CN"/>
        </w:rPr>
        <w:t>3</w:t>
      </w:r>
      <w:r>
        <w:rPr>
          <w:rFonts w:hint="eastAsia" w:cs="Times New Roman"/>
          <w:lang w:val="en-US" w:eastAsia="zh-CN"/>
        </w:rPr>
        <w:t>，清理河道淤泥7045m</w:t>
      </w:r>
      <w:r>
        <w:rPr>
          <w:rFonts w:hint="eastAsia" w:cs="Times New Roman"/>
          <w:vertAlign w:val="superscript"/>
          <w:lang w:val="en-US" w:eastAsia="zh-CN"/>
        </w:rPr>
        <w:t>3</w:t>
      </w:r>
      <w:r>
        <w:rPr>
          <w:rFonts w:hint="eastAsia" w:cs="Times New Roman"/>
          <w:lang w:val="en-US" w:eastAsia="zh-CN"/>
        </w:rPr>
        <w:t>，清理岸坡垃圾1625m</w:t>
      </w:r>
      <w:r>
        <w:rPr>
          <w:rFonts w:hint="eastAsia" w:cs="Times New Roman"/>
          <w:vertAlign w:val="superscript"/>
          <w:lang w:val="en-US" w:eastAsia="zh-CN"/>
        </w:rPr>
        <w:t>3</w:t>
      </w:r>
      <w:r>
        <w:rPr>
          <w:rFonts w:hint="eastAsia" w:cs="Times New Roman"/>
          <w:vertAlign w:val="baseline"/>
          <w:lang w:val="en-US" w:eastAsia="zh-CN"/>
        </w:rPr>
        <w:t>。</w:t>
      </w:r>
    </w:p>
    <w:p>
      <w:pPr>
        <w:ind w:firstLine="480"/>
        <w:rPr>
          <w:rFonts w:hint="eastAsia" w:cs="Times New Roman"/>
          <w:vertAlign w:val="baseline"/>
          <w:lang w:val="en-US" w:eastAsia="zh-CN"/>
        </w:rPr>
      </w:pPr>
      <w:r>
        <w:rPr>
          <w:rFonts w:hint="eastAsia" w:cs="Times New Roman"/>
          <w:vertAlign w:val="baseline"/>
          <w:lang w:val="en-US" w:eastAsia="zh-CN"/>
        </w:rPr>
        <w:t>河岸岸堤建设工程，新建格宾石笼生态护岸240m。</w:t>
      </w:r>
    </w:p>
    <w:p>
      <w:pPr>
        <w:ind w:firstLine="480"/>
        <w:rPr>
          <w:rFonts w:hint="default" w:cs="Times New Roman"/>
          <w:vertAlign w:val="baseline"/>
          <w:lang w:val="en-US" w:eastAsia="zh-CN"/>
        </w:rPr>
      </w:pPr>
      <w:r>
        <w:rPr>
          <w:rFonts w:hint="eastAsia" w:cs="Times New Roman"/>
          <w:lang w:val="en-US" w:eastAsia="zh-CN"/>
        </w:rPr>
        <w:t>河岸缓冲带建设工程，生态植物种植面积5904m</w:t>
      </w:r>
      <w:r>
        <w:rPr>
          <w:rFonts w:hint="eastAsia" w:cs="Times New Roman"/>
          <w:vertAlign w:val="superscript"/>
          <w:lang w:val="en-US" w:eastAsia="zh-CN"/>
        </w:rPr>
        <w:t>2</w:t>
      </w:r>
      <w:r>
        <w:rPr>
          <w:rFonts w:hint="eastAsia" w:cs="Times New Roman"/>
          <w:lang w:val="en-US" w:eastAsia="zh-CN"/>
        </w:rPr>
        <w:t>，新建生态步道117m</w:t>
      </w:r>
      <w:r>
        <w:rPr>
          <w:rFonts w:hint="eastAsia" w:cs="Times New Roman"/>
          <w:vertAlign w:val="superscript"/>
          <w:lang w:val="en-US" w:eastAsia="zh-CN"/>
        </w:rPr>
        <w:t>2</w:t>
      </w:r>
      <w:r>
        <w:rPr>
          <w:rFonts w:hint="eastAsia" w:cs="Times New Roman"/>
          <w:vertAlign w:val="baseline"/>
          <w:lang w:val="en-US" w:eastAsia="zh-CN"/>
        </w:rPr>
        <w:t>。</w:t>
      </w:r>
    </w:p>
    <w:p>
      <w:pPr>
        <w:ind w:firstLine="480"/>
        <w:rPr>
          <w:rFonts w:hint="default"/>
          <w:color w:val="auto"/>
          <w:highlight w:val="none"/>
          <w:lang w:val="en-US" w:eastAsia="zh-CN"/>
        </w:rPr>
      </w:pPr>
      <w:r>
        <w:rPr>
          <w:rFonts w:hint="eastAsia" w:cs="Times New Roman"/>
          <w:lang w:eastAsia="zh-CN"/>
        </w:rPr>
        <w:t>本项目属于生态型建设项目。项目位于柳河李家营镇段，项目涉及生态红线，生态保护红线类型为燕山水源涵养-生物多样性维护生态保护红线，环境较敏感；项目环境影响主要以施工期扬尘、噪声对周边环境敏感目标的影响，以及临时占地对生态环境</w:t>
      </w:r>
      <w:r>
        <w:rPr>
          <w:rFonts w:hint="eastAsia" w:cs="Times New Roman"/>
          <w:color w:val="auto"/>
          <w:lang w:eastAsia="zh-CN"/>
        </w:rPr>
        <w:t>的影响；本项目建成后会改善区域的水环境和生态环境，带来环境正效应。</w:t>
      </w:r>
    </w:p>
    <w:p>
      <w:pPr>
        <w:pStyle w:val="5"/>
        <w:rPr>
          <w:color w:val="auto"/>
        </w:rPr>
      </w:pPr>
      <w:bookmarkStart w:id="12" w:name="_Toc26774"/>
      <w:r>
        <w:rPr>
          <w:rFonts w:hint="eastAsia"/>
          <w:color w:val="auto"/>
        </w:rPr>
        <w:t>1.3环境影响评价工作过程概述</w:t>
      </w:r>
      <w:bookmarkEnd w:id="12"/>
    </w:p>
    <w:p>
      <w:pPr>
        <w:bidi w:val="0"/>
        <w:rPr>
          <w:rFonts w:hint="eastAsia"/>
          <w:color w:val="auto"/>
        </w:rPr>
      </w:pPr>
      <w:r>
        <w:rPr>
          <w:rFonts w:hint="eastAsia"/>
          <w:color w:val="auto"/>
        </w:rPr>
        <w:t>根据《中华人民共和国环境保护法》、《中华人民共和国环境影响评价法》、《建设项目环境保护管理条例》等有关法规的要求，项目应进行环境影响评价。对照《建设项目环境影响评价分类管理名录（2021年版）》，本项目涉及的环境敏感区为“第三条（</w:t>
      </w:r>
      <w:r>
        <w:rPr>
          <w:rFonts w:hint="eastAsia"/>
          <w:color w:val="auto"/>
          <w:lang w:eastAsia="zh-CN"/>
        </w:rPr>
        <w:t>二</w:t>
      </w:r>
      <w:r>
        <w:rPr>
          <w:rFonts w:hint="eastAsia"/>
          <w:color w:val="auto"/>
        </w:rPr>
        <w:t>）中的</w:t>
      </w:r>
      <w:r>
        <w:rPr>
          <w:rFonts w:hint="eastAsia"/>
          <w:color w:val="auto"/>
          <w:lang w:eastAsia="zh-CN"/>
        </w:rPr>
        <w:t>生态保护红线范围</w:t>
      </w:r>
      <w:r>
        <w:rPr>
          <w:rFonts w:hint="eastAsia"/>
          <w:color w:val="auto"/>
        </w:rPr>
        <w:t>”，环评类别属于“五十一、水利中的128河湖整治（不含农村塘堰、水渠）”，本项目涉及柳河生态红线，因此，本项目环境影响评价类型为环境影响报告书。</w:t>
      </w:r>
    </w:p>
    <w:p>
      <w:pPr>
        <w:bidi w:val="0"/>
      </w:pPr>
      <w:r>
        <w:rPr>
          <w:rFonts w:hint="eastAsia"/>
        </w:rPr>
        <w:t>202</w:t>
      </w:r>
      <w:r>
        <w:rPr>
          <w:rFonts w:hint="eastAsia"/>
          <w:lang w:val="en-US" w:eastAsia="zh-CN"/>
        </w:rPr>
        <w:t>2</w:t>
      </w:r>
      <w:r>
        <w:rPr>
          <w:rFonts w:hint="eastAsia"/>
        </w:rPr>
        <w:t>年7月</w:t>
      </w:r>
      <w:r>
        <w:rPr>
          <w:rFonts w:hint="eastAsia"/>
          <w:lang w:val="en-US" w:eastAsia="zh-CN"/>
        </w:rPr>
        <w:t>27</w:t>
      </w:r>
      <w:r>
        <w:rPr>
          <w:rFonts w:hint="eastAsia"/>
        </w:rPr>
        <w:t>日，</w:t>
      </w:r>
      <w:r>
        <w:rPr>
          <w:rFonts w:hint="eastAsia"/>
          <w:lang w:eastAsia="zh-CN"/>
        </w:rPr>
        <w:t>兴隆县李家营镇人民政府</w:t>
      </w:r>
      <w:r>
        <w:rPr>
          <w:rFonts w:hint="eastAsia"/>
        </w:rPr>
        <w:t>委托河北圣泓环保科技有限责任公司对本项目进行环境影响评价工作（委托书见附件）。接受委托后，评价单位组织有关技术人员进行了现场调查，收集资料进行选线、规模、性质及工程路线符合性分析判定，并对项目周围的自然环境状况进行了详细的调研考察，收集了所需资料。根据当地环境特征和项目建设特点，对项目的环境影响因素进行初步识别及评价因子筛选，确定了评价工作的基本原则、内容、评价重点及方法，结合项目实际情况做了施工期</w:t>
      </w:r>
      <w:r>
        <w:rPr>
          <w:rFonts w:hint="eastAsia"/>
          <w:lang w:eastAsia="zh-CN"/>
        </w:rPr>
        <w:t>、</w:t>
      </w:r>
      <w:r>
        <w:rPr>
          <w:rFonts w:hint="eastAsia"/>
        </w:rPr>
        <w:t>运行期环境影响进行分析评价</w:t>
      </w:r>
      <w:r>
        <w:rPr>
          <w:rFonts w:hint="eastAsia"/>
          <w:lang w:eastAsia="zh-CN"/>
        </w:rPr>
        <w:t>、</w:t>
      </w:r>
      <w:r>
        <w:rPr>
          <w:rFonts w:hint="eastAsia"/>
        </w:rPr>
        <w:t>环境影响预测与分析、环保措施评价等。</w:t>
      </w:r>
    </w:p>
    <w:p>
      <w:pPr>
        <w:ind w:firstLine="480"/>
        <w:jc w:val="left"/>
        <w:rPr>
          <w:spacing w:val="5"/>
          <w:highlight w:val="none"/>
        </w:rPr>
      </w:pPr>
      <w:r>
        <w:rPr>
          <w:color w:val="000000"/>
          <w:highlight w:val="none"/>
        </w:rPr>
        <w:t>20</w:t>
      </w:r>
      <w:r>
        <w:rPr>
          <w:rFonts w:hint="eastAsia"/>
          <w:color w:val="000000"/>
          <w:highlight w:val="none"/>
        </w:rPr>
        <w:t>2</w:t>
      </w:r>
      <w:r>
        <w:rPr>
          <w:rFonts w:hint="eastAsia"/>
          <w:color w:val="000000"/>
          <w:highlight w:val="none"/>
          <w:lang w:val="en-US" w:eastAsia="zh-CN"/>
        </w:rPr>
        <w:t>2</w:t>
      </w:r>
      <w:r>
        <w:rPr>
          <w:color w:val="000000"/>
          <w:highlight w:val="none"/>
        </w:rPr>
        <w:t>年</w:t>
      </w:r>
      <w:r>
        <w:rPr>
          <w:rFonts w:hint="eastAsia"/>
          <w:color w:val="000000"/>
          <w:highlight w:val="none"/>
          <w:lang w:val="en-US" w:eastAsia="zh-CN"/>
        </w:rPr>
        <w:t>7</w:t>
      </w:r>
      <w:r>
        <w:rPr>
          <w:color w:val="000000"/>
          <w:highlight w:val="none"/>
        </w:rPr>
        <w:t>月</w:t>
      </w:r>
      <w:r>
        <w:rPr>
          <w:rFonts w:hint="eastAsia"/>
          <w:color w:val="000000"/>
          <w:highlight w:val="none"/>
          <w:lang w:val="en-US" w:eastAsia="zh-CN"/>
        </w:rPr>
        <w:t>27</w:t>
      </w:r>
      <w:r>
        <w:rPr>
          <w:color w:val="000000"/>
          <w:highlight w:val="none"/>
        </w:rPr>
        <w:t>日，</w:t>
      </w:r>
      <w:r>
        <w:rPr>
          <w:rFonts w:hint="eastAsia"/>
          <w:highlight w:val="none"/>
        </w:rPr>
        <w:t>河</w:t>
      </w:r>
      <w:r>
        <w:rPr>
          <w:rFonts w:hint="eastAsia"/>
        </w:rPr>
        <w:t>北圣泓环保科技有限责任公司</w:t>
      </w:r>
      <w:r>
        <w:t>受</w:t>
      </w:r>
      <w:r>
        <w:rPr>
          <w:rFonts w:hint="eastAsia"/>
          <w:bCs/>
          <w:lang w:eastAsia="zh-CN"/>
        </w:rPr>
        <w:t>李家营镇人民政府</w:t>
      </w:r>
      <w:r>
        <w:t>委托，承担《</w:t>
      </w:r>
      <w:r>
        <w:rPr>
          <w:rFonts w:hint="eastAsia"/>
          <w:bCs/>
          <w:lang w:eastAsia="zh-CN"/>
        </w:rPr>
        <w:t>三块石国考断面周边环境综合整治工程</w:t>
      </w:r>
      <w:r>
        <w:rPr>
          <w:rFonts w:hint="eastAsia"/>
          <w:bCs/>
        </w:rPr>
        <w:t>环</w:t>
      </w:r>
      <w:r>
        <w:rPr>
          <w:rFonts w:hint="eastAsia"/>
          <w:bCs/>
          <w:highlight w:val="none"/>
        </w:rPr>
        <w:t>境影响报告书</w:t>
      </w:r>
      <w:r>
        <w:rPr>
          <w:highlight w:val="none"/>
        </w:rPr>
        <w:t>》的编制工作；</w:t>
      </w:r>
    </w:p>
    <w:p>
      <w:pPr>
        <w:ind w:firstLine="480"/>
        <w:jc w:val="left"/>
        <w:rPr>
          <w:highlight w:val="none"/>
        </w:rPr>
      </w:pPr>
      <w:r>
        <w:rPr>
          <w:highlight w:val="none"/>
        </w:rPr>
        <w:t>20</w:t>
      </w:r>
      <w:r>
        <w:rPr>
          <w:rFonts w:hint="eastAsia"/>
          <w:highlight w:val="none"/>
        </w:rPr>
        <w:t>2</w:t>
      </w:r>
      <w:r>
        <w:rPr>
          <w:rFonts w:hint="eastAsia"/>
          <w:highlight w:val="none"/>
          <w:lang w:val="en-US" w:eastAsia="zh-CN"/>
        </w:rPr>
        <w:t>2</w:t>
      </w:r>
      <w:r>
        <w:rPr>
          <w:highlight w:val="none"/>
        </w:rPr>
        <w:t>年</w:t>
      </w:r>
      <w:r>
        <w:rPr>
          <w:rFonts w:hint="eastAsia"/>
          <w:highlight w:val="none"/>
          <w:lang w:val="en-US" w:eastAsia="zh-CN"/>
        </w:rPr>
        <w:t>8</w:t>
      </w:r>
      <w:r>
        <w:rPr>
          <w:highlight w:val="none"/>
        </w:rPr>
        <w:t>月</w:t>
      </w:r>
      <w:r>
        <w:rPr>
          <w:rFonts w:hint="eastAsia"/>
          <w:highlight w:val="none"/>
          <w:lang w:val="en-US" w:eastAsia="zh-CN"/>
        </w:rPr>
        <w:t>1</w:t>
      </w:r>
      <w:r>
        <w:rPr>
          <w:highlight w:val="none"/>
        </w:rPr>
        <w:t>日，</w:t>
      </w:r>
      <w:r>
        <w:rPr>
          <w:rFonts w:hint="eastAsia"/>
          <w:szCs w:val="22"/>
          <w:highlight w:val="none"/>
        </w:rPr>
        <w:t>建设单位根据《环境影响评价公众参与办法》要求在和合承德网站平台</w:t>
      </w:r>
      <w:r>
        <w:rPr>
          <w:rFonts w:hint="eastAsia"/>
          <w:highlight w:val="none"/>
        </w:rPr>
        <w:t>上发布了本项目的一次公示；</w:t>
      </w:r>
    </w:p>
    <w:p>
      <w:pPr>
        <w:ind w:firstLine="480"/>
        <w:jc w:val="left"/>
        <w:rPr>
          <w:highlight w:val="none"/>
        </w:rPr>
      </w:pPr>
      <w:r>
        <w:rPr>
          <w:highlight w:val="none"/>
        </w:rPr>
        <w:t>20</w:t>
      </w:r>
      <w:r>
        <w:rPr>
          <w:rFonts w:hint="eastAsia"/>
          <w:highlight w:val="none"/>
        </w:rPr>
        <w:t>2</w:t>
      </w:r>
      <w:r>
        <w:rPr>
          <w:rFonts w:hint="eastAsia"/>
          <w:highlight w:val="none"/>
          <w:lang w:val="en-US" w:eastAsia="zh-CN"/>
        </w:rPr>
        <w:t>2</w:t>
      </w:r>
      <w:r>
        <w:rPr>
          <w:highlight w:val="none"/>
        </w:rPr>
        <w:t>年</w:t>
      </w:r>
      <w:r>
        <w:rPr>
          <w:rFonts w:hint="eastAsia"/>
          <w:highlight w:val="none"/>
          <w:lang w:val="en-US" w:eastAsia="zh-CN"/>
        </w:rPr>
        <w:t>8</w:t>
      </w:r>
      <w:r>
        <w:rPr>
          <w:highlight w:val="none"/>
        </w:rPr>
        <w:t>月，</w:t>
      </w:r>
      <w:r>
        <w:rPr>
          <w:rFonts w:hint="eastAsia"/>
          <w:highlight w:val="none"/>
        </w:rPr>
        <w:t>在</w:t>
      </w:r>
      <w:r>
        <w:rPr>
          <w:rFonts w:hint="eastAsia"/>
        </w:rPr>
        <w:t>现场调查的基础上，</w:t>
      </w:r>
      <w:r>
        <w:t>根据</w:t>
      </w:r>
      <w:r>
        <w:rPr>
          <w:rFonts w:hint="eastAsia"/>
        </w:rPr>
        <w:t>建设</w:t>
      </w:r>
      <w:r>
        <w:t>单位提供的技术资料进行工程分析，确定评价思路、评价重点及各环境要素评价等级</w:t>
      </w:r>
      <w:r>
        <w:rPr>
          <w:rFonts w:hint="eastAsia"/>
        </w:rPr>
        <w:t>，并制定了环境质量现状监测方案。</w:t>
      </w:r>
      <w:r>
        <w:rPr>
          <w:rFonts w:hint="eastAsia"/>
          <w:lang w:eastAsia="zh-CN"/>
        </w:rPr>
        <w:t>李家营镇人民政府</w:t>
      </w:r>
      <w:r>
        <w:rPr>
          <w:rFonts w:hint="eastAsia"/>
          <w:highlight w:val="none"/>
        </w:rPr>
        <w:t>委托辽宁鹏宇环境监测有限公司进行区域环境质量现状监测工作，监测单位于202</w:t>
      </w:r>
      <w:r>
        <w:rPr>
          <w:rFonts w:hint="eastAsia"/>
          <w:highlight w:val="none"/>
          <w:lang w:val="en-US" w:eastAsia="zh-CN"/>
        </w:rPr>
        <w:t>2</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5</w:t>
      </w:r>
      <w:r>
        <w:rPr>
          <w:rFonts w:hint="eastAsia"/>
          <w:highlight w:val="none"/>
        </w:rPr>
        <w:t>日开展了环境质量现状</w:t>
      </w:r>
      <w:r>
        <w:rPr>
          <w:rFonts w:hint="eastAsia"/>
        </w:rPr>
        <w:t>监测工作，</w:t>
      </w:r>
      <w:r>
        <w:rPr>
          <w:rFonts w:hint="eastAsia"/>
          <w:highlight w:val="none"/>
        </w:rPr>
        <w:t>并于</w:t>
      </w:r>
      <w:r>
        <w:rPr>
          <w:rFonts w:hint="eastAsia"/>
          <w:highlight w:val="none"/>
          <w:lang w:val="en-US" w:eastAsia="zh-CN"/>
        </w:rPr>
        <w:t>2022年9</w:t>
      </w:r>
      <w:r>
        <w:rPr>
          <w:rFonts w:hint="eastAsia"/>
          <w:highlight w:val="none"/>
        </w:rPr>
        <w:t>月</w:t>
      </w:r>
      <w:r>
        <w:rPr>
          <w:rFonts w:hint="eastAsia"/>
          <w:highlight w:val="none"/>
          <w:lang w:val="en-US" w:eastAsia="zh-CN"/>
        </w:rPr>
        <w:t>12</w:t>
      </w:r>
      <w:r>
        <w:rPr>
          <w:rFonts w:hint="eastAsia"/>
          <w:highlight w:val="none"/>
        </w:rPr>
        <w:t>日出具监测报告，环评单位结合监测结果，完成项目区域环境质量现状评价及环境影响预测评价。</w:t>
      </w:r>
    </w:p>
    <w:p>
      <w:pPr>
        <w:wordWrap w:val="0"/>
        <w:ind w:firstLine="480"/>
        <w:rPr>
          <w:rFonts w:hint="default" w:eastAsia="宋体"/>
          <w:lang w:val="en-US" w:eastAsia="zh-CN"/>
        </w:rPr>
      </w:pPr>
      <w:r>
        <w:rPr>
          <w:highlight w:val="none"/>
        </w:rPr>
        <w:t>20</w:t>
      </w:r>
      <w:r>
        <w:rPr>
          <w:rFonts w:hint="eastAsia"/>
          <w:highlight w:val="none"/>
        </w:rPr>
        <w:t>22</w:t>
      </w:r>
      <w:r>
        <w:rPr>
          <w:highlight w:val="none"/>
        </w:rPr>
        <w:t>年</w:t>
      </w:r>
      <w:r>
        <w:rPr>
          <w:rFonts w:hint="eastAsia"/>
          <w:highlight w:val="none"/>
          <w:lang w:val="en-US" w:eastAsia="zh-CN"/>
        </w:rPr>
        <w:t>11</w:t>
      </w:r>
      <w:r>
        <w:rPr>
          <w:highlight w:val="none"/>
        </w:rPr>
        <w:t>月</w:t>
      </w:r>
      <w:r>
        <w:rPr>
          <w:rFonts w:hint="eastAsia"/>
          <w:highlight w:val="none"/>
          <w:lang w:val="en-US" w:eastAsia="zh-CN"/>
        </w:rPr>
        <w:t>1</w:t>
      </w:r>
      <w:r>
        <w:rPr>
          <w:highlight w:val="none"/>
        </w:rPr>
        <w:t>日</w:t>
      </w:r>
      <w:r>
        <w:rPr>
          <w:rFonts w:hint="eastAsia"/>
          <w:highlight w:val="none"/>
        </w:rPr>
        <w:t>~</w:t>
      </w:r>
      <w:r>
        <w:rPr>
          <w:rFonts w:hint="eastAsia"/>
          <w:highlight w:val="none"/>
          <w:lang w:val="en-US" w:eastAsia="zh-CN"/>
        </w:rPr>
        <w:t>11</w:t>
      </w:r>
      <w:r>
        <w:rPr>
          <w:highlight w:val="none"/>
        </w:rPr>
        <w:t>月</w:t>
      </w:r>
      <w:r>
        <w:rPr>
          <w:rFonts w:hint="eastAsia"/>
          <w:highlight w:val="none"/>
          <w:lang w:val="en-US" w:eastAsia="zh-CN"/>
        </w:rPr>
        <w:t>14</w:t>
      </w:r>
      <w:r>
        <w:rPr>
          <w:highlight w:val="none"/>
        </w:rPr>
        <w:t>日，</w:t>
      </w:r>
      <w:r>
        <w:rPr>
          <w:rFonts w:hint="eastAsia"/>
          <w:highlight w:val="none"/>
        </w:rPr>
        <w:t>环境影响报告书征求意见稿编制完成后，建设单位按照《环境影响评价公众参与办法》（部令第4号）要求，通过采用网络、报纸、现场张贴公示等方式开展了第二次公众参与信息公开及公众意见调查工作，</w:t>
      </w:r>
      <w:r>
        <w:rPr>
          <w:highlight w:val="none"/>
        </w:rPr>
        <w:t>建设单位在</w:t>
      </w:r>
      <w:r>
        <w:rPr>
          <w:rFonts w:hint="eastAsia"/>
          <w:szCs w:val="22"/>
          <w:highlight w:val="none"/>
        </w:rPr>
        <w:t>和合承德网站平台</w:t>
      </w:r>
      <w:r>
        <w:rPr>
          <w:rFonts w:hint="eastAsia"/>
          <w:highlight w:val="none"/>
        </w:rPr>
        <w:t>上发布了</w:t>
      </w:r>
      <w:r>
        <w:rPr>
          <w:kern w:val="0"/>
          <w:highlight w:val="none"/>
          <w:lang w:val="zh-CN"/>
        </w:rPr>
        <w:t>《</w:t>
      </w:r>
      <w:r>
        <w:rPr>
          <w:rFonts w:hint="eastAsia"/>
          <w:szCs w:val="28"/>
          <w:highlight w:val="none"/>
          <w:lang w:eastAsia="zh-CN"/>
        </w:rPr>
        <w:t>三块石国考断面周边环境综合整治工程</w:t>
      </w:r>
      <w:r>
        <w:rPr>
          <w:rFonts w:hint="eastAsia"/>
          <w:szCs w:val="28"/>
          <w:highlight w:val="none"/>
        </w:rPr>
        <w:t>环境影响报告书</w:t>
      </w:r>
      <w:r>
        <w:rPr>
          <w:kern w:val="0"/>
          <w:highlight w:val="none"/>
          <w:lang w:val="zh-CN"/>
        </w:rPr>
        <w:t>》</w:t>
      </w:r>
      <w:r>
        <w:rPr>
          <w:rFonts w:hint="eastAsia"/>
          <w:kern w:val="0"/>
          <w:highlight w:val="none"/>
          <w:lang w:val="zh-CN"/>
        </w:rPr>
        <w:t>（</w:t>
      </w:r>
      <w:r>
        <w:rPr>
          <w:kern w:val="0"/>
          <w:highlight w:val="none"/>
          <w:lang w:val="zh-CN"/>
        </w:rPr>
        <w:t>征求意见稿</w:t>
      </w:r>
      <w:r>
        <w:rPr>
          <w:rFonts w:hint="eastAsia"/>
          <w:kern w:val="0"/>
          <w:highlight w:val="none"/>
          <w:lang w:val="zh-CN"/>
        </w:rPr>
        <w:t>）</w:t>
      </w:r>
      <w:r>
        <w:rPr>
          <w:rFonts w:hint="eastAsia"/>
          <w:highlight w:val="none"/>
        </w:rPr>
        <w:t>；分别在</w:t>
      </w:r>
      <w:r>
        <w:rPr>
          <w:rFonts w:hint="eastAsia"/>
          <w:kern w:val="0"/>
          <w:highlight w:val="none"/>
          <w:lang w:eastAsia="zh-CN"/>
        </w:rPr>
        <w:t>杨树底下</w:t>
      </w:r>
      <w:r>
        <w:rPr>
          <w:rFonts w:hint="eastAsia"/>
          <w:kern w:val="0"/>
          <w:highlight w:val="none"/>
        </w:rPr>
        <w:t>村</w:t>
      </w:r>
      <w:r>
        <w:rPr>
          <w:rFonts w:hint="eastAsia"/>
          <w:kern w:val="0"/>
          <w:highlight w:val="none"/>
          <w:lang w:eastAsia="zh-CN"/>
        </w:rPr>
        <w:t>、三块石村</w:t>
      </w:r>
      <w:r>
        <w:rPr>
          <w:rFonts w:hint="eastAsia"/>
          <w:highlight w:val="none"/>
        </w:rPr>
        <w:t>公告</w:t>
      </w:r>
      <w:r>
        <w:rPr>
          <w:highlight w:val="none"/>
        </w:rPr>
        <w:t>栏</w:t>
      </w:r>
      <w:r>
        <w:rPr>
          <w:rFonts w:hint="eastAsia"/>
          <w:highlight w:val="none"/>
        </w:rPr>
        <w:t>进行了张贴公示。</w:t>
      </w:r>
      <w:r>
        <w:rPr>
          <w:rFonts w:hint="eastAsia"/>
          <w:highlight w:val="none"/>
          <w:lang w:eastAsia="zh-CN"/>
        </w:rPr>
        <w:t>于</w:t>
      </w:r>
      <w:r>
        <w:rPr>
          <w:rFonts w:hint="eastAsia"/>
          <w:highlight w:val="none"/>
          <w:lang w:val="en-US" w:eastAsia="zh-CN"/>
        </w:rPr>
        <w:t>2022年11月10日、11月11日在承德日报进行了报纸公示。</w:t>
      </w:r>
    </w:p>
    <w:p>
      <w:pPr>
        <w:ind w:firstLine="480"/>
        <w:rPr>
          <w:color w:val="000000"/>
        </w:rPr>
      </w:pPr>
      <w:r>
        <w:rPr>
          <w:color w:val="000000"/>
        </w:rPr>
        <w:t>20</w:t>
      </w:r>
      <w:r>
        <w:rPr>
          <w:rFonts w:hint="eastAsia"/>
          <w:color w:val="000000"/>
        </w:rPr>
        <w:t>2</w:t>
      </w:r>
      <w:r>
        <w:rPr>
          <w:rFonts w:hint="eastAsia"/>
          <w:color w:val="000000"/>
          <w:lang w:val="en-US" w:eastAsia="zh-CN"/>
        </w:rPr>
        <w:t>2</w:t>
      </w:r>
      <w:r>
        <w:rPr>
          <w:color w:val="000000"/>
        </w:rPr>
        <w:t>年</w:t>
      </w:r>
      <w:r>
        <w:rPr>
          <w:rFonts w:hint="eastAsia"/>
          <w:color w:val="000000"/>
          <w:lang w:val="en-US" w:eastAsia="zh-CN"/>
        </w:rPr>
        <w:t>11</w:t>
      </w:r>
      <w:r>
        <w:rPr>
          <w:color w:val="000000"/>
        </w:rPr>
        <w:t>月</w:t>
      </w:r>
      <w:r>
        <w:rPr>
          <w:rFonts w:hint="eastAsia"/>
          <w:color w:val="000000"/>
          <w:lang w:val="en-US" w:eastAsia="zh-CN"/>
        </w:rPr>
        <w:t>15</w:t>
      </w:r>
      <w:r>
        <w:rPr>
          <w:rFonts w:hint="eastAsia"/>
          <w:color w:val="000000"/>
        </w:rPr>
        <w:t>日，</w:t>
      </w:r>
      <w:r>
        <w:rPr>
          <w:color w:val="000000"/>
        </w:rPr>
        <w:t>编制完成了《</w:t>
      </w:r>
      <w:r>
        <w:rPr>
          <w:rFonts w:hint="eastAsia"/>
          <w:szCs w:val="28"/>
          <w:lang w:eastAsia="zh-CN"/>
        </w:rPr>
        <w:t>三块石国考断面周边环境综合整治工程</w:t>
      </w:r>
      <w:r>
        <w:rPr>
          <w:rFonts w:hint="eastAsia"/>
          <w:szCs w:val="28"/>
        </w:rPr>
        <w:t>环境影响报告书</w:t>
      </w:r>
      <w:r>
        <w:rPr>
          <w:color w:val="000000"/>
        </w:rPr>
        <w:t>》（送审稿）。</w:t>
      </w:r>
    </w:p>
    <w:p>
      <w:pPr>
        <w:wordWrap w:val="0"/>
        <w:ind w:firstLine="480"/>
        <w:jc w:val="left"/>
        <w:rPr>
          <w:rFonts w:hint="eastAsia"/>
          <w:highlight w:val="none"/>
          <w:lang w:eastAsia="zh-CN"/>
        </w:rPr>
      </w:pPr>
      <w:r>
        <w:rPr>
          <w:rFonts w:hint="eastAsia"/>
          <w:lang w:val="en-US" w:eastAsia="zh-CN"/>
        </w:rPr>
        <w:t>2023年3月9日，建设单位于</w:t>
      </w:r>
      <w:r>
        <w:rPr>
          <w:rFonts w:hint="eastAsia"/>
          <w:szCs w:val="22"/>
          <w:highlight w:val="none"/>
        </w:rPr>
        <w:t>和合承德网站平台</w:t>
      </w:r>
      <w:r>
        <w:rPr>
          <w:rFonts w:hint="eastAsia"/>
          <w:highlight w:val="none"/>
        </w:rPr>
        <w:t>上发布了本项目的</w:t>
      </w:r>
      <w:r>
        <w:rPr>
          <w:rFonts w:hint="eastAsia"/>
          <w:highlight w:val="none"/>
          <w:lang w:eastAsia="zh-CN"/>
        </w:rPr>
        <w:t>报批前</w:t>
      </w:r>
      <w:r>
        <w:rPr>
          <w:rFonts w:hint="eastAsia"/>
          <w:highlight w:val="none"/>
        </w:rPr>
        <w:t>公示</w:t>
      </w:r>
      <w:r>
        <w:rPr>
          <w:rFonts w:hint="eastAsia"/>
          <w:highlight w:val="none"/>
          <w:lang w:eastAsia="zh-CN"/>
        </w:rPr>
        <w:t>。</w:t>
      </w:r>
    </w:p>
    <w:p>
      <w:pPr>
        <w:wordWrap w:val="0"/>
        <w:ind w:firstLine="480"/>
        <w:jc w:val="left"/>
        <w:rPr>
          <w:lang w:val="en-US" w:eastAsia="zh-CN"/>
        </w:rPr>
      </w:pPr>
      <w:r>
        <w:rPr>
          <w:rFonts w:hint="eastAsia"/>
        </w:rPr>
        <w:t>本报告书的编制，得到了承德市生态环境局</w:t>
      </w:r>
      <w:r>
        <w:rPr>
          <w:rFonts w:hint="eastAsia"/>
          <w:lang w:eastAsia="zh-CN"/>
        </w:rPr>
        <w:t>兴隆县分局</w:t>
      </w:r>
      <w:r>
        <w:rPr>
          <w:rFonts w:hint="eastAsia"/>
        </w:rPr>
        <w:t>、辽宁鹏宇环境监测有限公司等单位的大力支持，以及</w:t>
      </w:r>
      <w:r>
        <w:rPr>
          <w:rFonts w:hint="eastAsia"/>
          <w:lang w:eastAsia="zh-CN"/>
        </w:rPr>
        <w:t>李家营镇政府</w:t>
      </w:r>
      <w:r>
        <w:rPr>
          <w:rFonts w:hint="eastAsia"/>
        </w:rPr>
        <w:t>的通力协助，在此表示衷心感谢。</w:t>
      </w:r>
    </w:p>
    <w:p>
      <w:pPr>
        <w:pStyle w:val="5"/>
      </w:pPr>
      <w:bookmarkStart w:id="13" w:name="_Toc15784"/>
      <w:r>
        <w:rPr>
          <w:rFonts w:hint="eastAsia"/>
        </w:rPr>
        <w:t>1.4项目分析判定相关情况</w:t>
      </w:r>
      <w:bookmarkEnd w:id="13"/>
    </w:p>
    <w:p>
      <w:pPr>
        <w:pStyle w:val="6"/>
      </w:pPr>
      <w:bookmarkStart w:id="14" w:name="_Toc14085"/>
      <w:r>
        <w:rPr>
          <w:rFonts w:hint="eastAsia"/>
        </w:rPr>
        <w:t>1.4.1项目与</w:t>
      </w:r>
      <w:r>
        <w:rPr>
          <w:rFonts w:hint="eastAsia"/>
          <w:lang w:eastAsia="zh-CN"/>
        </w:rPr>
        <w:t>市场准入负面清单（2022年版）的</w:t>
      </w:r>
      <w:r>
        <w:rPr>
          <w:rFonts w:hint="eastAsia"/>
        </w:rPr>
        <w:t>符合性分析</w:t>
      </w:r>
      <w:bookmarkEnd w:id="14"/>
    </w:p>
    <w:p>
      <w:pPr>
        <w:bidi w:val="0"/>
        <w:rPr>
          <w:rFonts w:hint="eastAsia"/>
          <w:color w:val="auto"/>
        </w:rPr>
      </w:pPr>
      <w:r>
        <w:rPr>
          <w:rFonts w:hint="eastAsia"/>
          <w:color w:val="auto"/>
        </w:rPr>
        <w:t>根据“国家发展改革委商务部关于印发《市场准入负面清单（2022年版）》的通知（发改体改规[2022]397号）”，应严格落实“全国一张清单”管理要求，坚决维护市场准入负面清单制度的统一性、严肃性和权威性，确保“一单尽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pPr>
        <w:bidi w:val="0"/>
        <w:rPr>
          <w:rFonts w:hint="eastAsia" w:eastAsia="宋体"/>
          <w:color w:val="auto"/>
          <w:lang w:eastAsia="zh-CN"/>
        </w:rPr>
      </w:pPr>
      <w:r>
        <w:rPr>
          <w:rFonts w:hint="eastAsia"/>
          <w:color w:val="auto"/>
        </w:rPr>
        <w:t>根据《市场准入负面清单（2022年版）》，禁止准入类共6项，涉及生态环境保护的3项，本项目符合性见下表。</w:t>
      </w:r>
    </w:p>
    <w:p>
      <w:pPr>
        <w:pStyle w:val="31"/>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sz w:val="21"/>
          <w:szCs w:val="21"/>
        </w:rPr>
      </w:pPr>
      <w:r>
        <w:rPr>
          <w:b/>
          <w:bCs/>
          <w:color w:val="auto"/>
          <w:sz w:val="21"/>
          <w:szCs w:val="21"/>
        </w:rPr>
        <w:t>表</w:t>
      </w:r>
      <w:r>
        <w:rPr>
          <w:rFonts w:hint="eastAsia"/>
          <w:b/>
          <w:bCs/>
          <w:color w:val="auto"/>
          <w:sz w:val="21"/>
          <w:szCs w:val="21"/>
          <w:lang w:val="en-US" w:eastAsia="zh-CN"/>
        </w:rPr>
        <w:t xml:space="preserve">1.4-1  </w:t>
      </w:r>
      <w:r>
        <w:rPr>
          <w:b/>
          <w:bCs/>
          <w:color w:val="auto"/>
          <w:sz w:val="21"/>
          <w:szCs w:val="21"/>
        </w:rPr>
        <w:t>项目与《市场准入负面清单（2022年版）》符合性分析</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793"/>
        <w:gridCol w:w="1099"/>
        <w:gridCol w:w="2473"/>
        <w:gridCol w:w="2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default"/>
                <w:b/>
                <w:bCs/>
                <w:color w:val="auto"/>
                <w:sz w:val="21"/>
                <w:szCs w:val="21"/>
              </w:rPr>
              <w:t>项目号</w:t>
            </w:r>
          </w:p>
        </w:tc>
        <w:tc>
          <w:tcPr>
            <w:tcW w:w="978"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default"/>
                <w:b/>
                <w:bCs/>
                <w:color w:val="auto"/>
                <w:sz w:val="21"/>
                <w:szCs w:val="21"/>
              </w:rPr>
              <w:t>禁止或许可事项</w:t>
            </w:r>
          </w:p>
        </w:tc>
        <w:tc>
          <w:tcPr>
            <w:tcW w:w="599"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default"/>
                <w:b/>
                <w:bCs/>
                <w:color w:val="auto"/>
                <w:sz w:val="21"/>
                <w:szCs w:val="21"/>
              </w:rPr>
              <w:t>事项编码</w:t>
            </w:r>
          </w:p>
        </w:tc>
        <w:tc>
          <w:tcPr>
            <w:tcW w:w="1348"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default"/>
                <w:b/>
                <w:bCs/>
                <w:color w:val="auto"/>
                <w:sz w:val="21"/>
                <w:szCs w:val="21"/>
              </w:rPr>
              <w:t>禁止或许可准入措施描述</w:t>
            </w:r>
          </w:p>
        </w:tc>
        <w:tc>
          <w:tcPr>
            <w:tcW w:w="1608"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default"/>
                <w:b/>
                <w:bCs/>
                <w:color w:val="auto"/>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一、禁止准入类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1</w:t>
            </w:r>
          </w:p>
        </w:tc>
        <w:tc>
          <w:tcPr>
            <w:tcW w:w="978"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法律、法规、国务院决定等明确设立且与市场准入相关的禁止性规定</w:t>
            </w:r>
          </w:p>
        </w:tc>
        <w:tc>
          <w:tcPr>
            <w:tcW w:w="599"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100001</w:t>
            </w:r>
          </w:p>
        </w:tc>
        <w:tc>
          <w:tcPr>
            <w:tcW w:w="1348"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法律、法规、国务院决定等明确设立，且与市场准入相关的禁止性规定（见附件）</w:t>
            </w:r>
          </w:p>
        </w:tc>
        <w:tc>
          <w:tcPr>
            <w:tcW w:w="1608"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根据《国民经济行业分类》（GB/T4754-2017），本项目行业属于</w:t>
            </w:r>
            <w:r>
              <w:rPr>
                <w:rFonts w:hint="eastAsia"/>
                <w:color w:val="auto"/>
                <w:sz w:val="21"/>
                <w:szCs w:val="21"/>
                <w:lang w:val="en-US" w:eastAsia="zh-CN"/>
              </w:rPr>
              <w:t>E4822河湖治理及防洪设施工程建筑</w:t>
            </w:r>
            <w:r>
              <w:rPr>
                <w:rFonts w:hint="default"/>
                <w:color w:val="auto"/>
                <w:sz w:val="21"/>
                <w:szCs w:val="21"/>
              </w:rPr>
              <w:t>，经查阅与市场准入相关的禁止性规定，本项目不属于禁止类。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2</w:t>
            </w:r>
          </w:p>
        </w:tc>
        <w:tc>
          <w:tcPr>
            <w:tcW w:w="978"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国家产业政策明令淘汰和限制的产品、技术、工艺、设备及行为</w:t>
            </w:r>
          </w:p>
        </w:tc>
        <w:tc>
          <w:tcPr>
            <w:tcW w:w="599"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100002</w:t>
            </w:r>
          </w:p>
        </w:tc>
        <w:tc>
          <w:tcPr>
            <w:tcW w:w="1348"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《产业结构调整指导目录》中的淘汰类项目，禁止投资；限制类项目，禁止新建禁止投资建设《汽车产业投资管理规定》所列的汽车投资禁止类事项</w:t>
            </w:r>
          </w:p>
        </w:tc>
        <w:tc>
          <w:tcPr>
            <w:tcW w:w="1608"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经查阅《产业结构调整指导目录(2019年本)》，本项目属于第一类、鼓励类-</w:t>
            </w:r>
            <w:r>
              <w:rPr>
                <w:rFonts w:hint="eastAsia"/>
                <w:color w:val="auto"/>
                <w:sz w:val="21"/>
                <w:szCs w:val="21"/>
                <w:lang w:val="en-US" w:eastAsia="zh-CN"/>
              </w:rPr>
              <w:t>二、水利</w:t>
            </w:r>
            <w:r>
              <w:rPr>
                <w:rFonts w:hint="default"/>
                <w:color w:val="auto"/>
                <w:sz w:val="21"/>
                <w:szCs w:val="21"/>
              </w:rPr>
              <w:t>-</w:t>
            </w:r>
            <w:r>
              <w:rPr>
                <w:rFonts w:hint="default" w:ascii="Times New Roman" w:hAnsi="Times New Roman" w:eastAsia="宋体" w:cs="Times New Roman"/>
                <w:color w:val="auto"/>
                <w:sz w:val="21"/>
                <w:szCs w:val="21"/>
                <w:lang w:val="en-US" w:eastAsia="zh-CN"/>
              </w:rPr>
              <w:t>江河湖海堤防建设及河道治理工程</w:t>
            </w:r>
            <w:r>
              <w:rPr>
                <w:rFonts w:hint="eastAsia"/>
                <w:color w:val="auto"/>
                <w:sz w:val="21"/>
                <w:szCs w:val="21"/>
              </w:rPr>
              <w:t>，</w:t>
            </w:r>
            <w:r>
              <w:rPr>
                <w:rFonts w:hint="default"/>
                <w:color w:val="auto"/>
                <w:sz w:val="21"/>
                <w:szCs w:val="21"/>
              </w:rPr>
              <w:t>不属于限制类、淘汰类；项目不涉及汽车投资。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3</w:t>
            </w:r>
          </w:p>
        </w:tc>
        <w:tc>
          <w:tcPr>
            <w:tcW w:w="978"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不符合主体功能区建设要求的各类开发活动</w:t>
            </w:r>
          </w:p>
        </w:tc>
        <w:tc>
          <w:tcPr>
            <w:tcW w:w="599"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100003</w:t>
            </w:r>
          </w:p>
        </w:tc>
        <w:tc>
          <w:tcPr>
            <w:tcW w:w="1348"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default"/>
                <w:color w:val="auto"/>
                <w:sz w:val="21"/>
                <w:szCs w:val="21"/>
              </w:rPr>
              <w:t>地方国家重点生态功能区产业准入负面清单（或禁止限制目录）、农产品主产区产业准入负面清单（或禁止限制目录）所列有关事项</w:t>
            </w:r>
          </w:p>
        </w:tc>
        <w:tc>
          <w:tcPr>
            <w:tcW w:w="1608" w:type="pct"/>
            <w:noWrap w:val="0"/>
            <w:vAlign w:val="center"/>
          </w:tcPr>
          <w:p>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highlight w:val="none"/>
              </w:rPr>
              <w:t>项目的建设符合《承德市城市总体规划（2015－2030）。（项目与各规划详细分析见</w:t>
            </w:r>
            <w:r>
              <w:rPr>
                <w:rFonts w:hint="eastAsia"/>
                <w:color w:val="auto"/>
                <w:sz w:val="21"/>
                <w:szCs w:val="21"/>
                <w:highlight w:val="none"/>
                <w:lang w:val="en-US" w:eastAsia="zh-CN"/>
              </w:rPr>
              <w:t>下述其他符合性分析</w:t>
            </w:r>
            <w:r>
              <w:rPr>
                <w:rFonts w:hint="eastAsia"/>
                <w:color w:val="auto"/>
                <w:sz w:val="21"/>
                <w:szCs w:val="21"/>
                <w:highlight w:val="none"/>
              </w:rPr>
              <w:t>）。</w:t>
            </w:r>
          </w:p>
        </w:tc>
      </w:tr>
    </w:tbl>
    <w:p>
      <w:pPr>
        <w:pStyle w:val="6"/>
        <w:bidi w:val="0"/>
      </w:pPr>
      <w:bookmarkStart w:id="15" w:name="_Toc11936"/>
      <w:r>
        <w:rPr>
          <w:rFonts w:hint="eastAsia"/>
        </w:rPr>
        <w:t>1.4.2 项目与相关规划</w:t>
      </w:r>
      <w:r>
        <w:rPr>
          <w:rFonts w:hint="eastAsia"/>
          <w:lang w:eastAsia="zh-CN"/>
        </w:rPr>
        <w:t>的</w:t>
      </w:r>
      <w:r>
        <w:rPr>
          <w:rFonts w:hint="eastAsia"/>
        </w:rPr>
        <w:t>符合性分析</w:t>
      </w:r>
      <w:bookmarkEnd w:id="15"/>
    </w:p>
    <w:p>
      <w:pPr>
        <w:ind w:firstLine="480"/>
        <w:rPr>
          <w:rFonts w:hint="eastAsia" w:ascii="Times New Roman" w:hAnsi="Times New Roman" w:eastAsia="宋体" w:cs="Times New Roman"/>
          <w:color w:val="000000"/>
          <w:lang w:eastAsia="zh-CN"/>
        </w:rPr>
      </w:pPr>
      <w:r>
        <w:rPr>
          <w:rFonts w:hint="eastAsia" w:cs="Times New Roman"/>
          <w:color w:val="000000"/>
          <w:lang w:eastAsia="zh-CN"/>
        </w:rPr>
        <w:t>根据《建设项目环境影响评价技术导则</w:t>
      </w:r>
      <w:r>
        <w:rPr>
          <w:rFonts w:hint="eastAsia" w:cs="Times New Roman"/>
          <w:color w:val="000000"/>
          <w:lang w:val="en-US" w:eastAsia="zh-CN"/>
        </w:rPr>
        <w:t xml:space="preserve"> 总纲</w:t>
      </w:r>
      <w:r>
        <w:rPr>
          <w:rFonts w:hint="eastAsia" w:cs="Times New Roman"/>
          <w:color w:val="000000"/>
          <w:lang w:eastAsia="zh-CN"/>
        </w:rPr>
        <w:t>》（</w:t>
      </w:r>
      <w:r>
        <w:rPr>
          <w:rFonts w:hint="eastAsia" w:cs="Times New Roman"/>
          <w:color w:val="000000"/>
          <w:lang w:val="en-US" w:eastAsia="zh-CN"/>
        </w:rPr>
        <w:t>HJ2.1-2016</w:t>
      </w:r>
      <w:r>
        <w:rPr>
          <w:rFonts w:hint="eastAsia" w:cs="Times New Roman"/>
          <w:color w:val="000000"/>
          <w:lang w:eastAsia="zh-CN"/>
        </w:rPr>
        <w:t>）的工作程序要求，经对照</w:t>
      </w:r>
      <w:r>
        <w:rPr>
          <w:rFonts w:hint="eastAsia" w:ascii="Times New Roman" w:hAnsi="Times New Roman" w:eastAsia="宋体" w:cs="Times New Roman"/>
          <w:color w:val="000000"/>
        </w:rPr>
        <w:t>《河北省主体功能区规划》</w:t>
      </w:r>
      <w:r>
        <w:rPr>
          <w:rFonts w:hint="eastAsia" w:cs="Times New Roman"/>
          <w:color w:val="000000"/>
          <w:lang w:eastAsia="zh-CN"/>
        </w:rPr>
        <w:t>、</w:t>
      </w:r>
      <w:r>
        <w:rPr>
          <w:rFonts w:hint="eastAsia" w:ascii="Times New Roman" w:hAnsi="Times New Roman" w:eastAsia="宋体" w:cs="Times New Roman"/>
          <w:color w:val="000000"/>
        </w:rPr>
        <w:t>《承德市城市总体规划（2016-2030年）》</w:t>
      </w:r>
      <w:r>
        <w:rPr>
          <w:rFonts w:hint="eastAsia" w:cs="Times New Roman"/>
          <w:b/>
          <w:bCs/>
          <w:color w:val="000000"/>
          <w:lang w:eastAsia="zh-CN"/>
        </w:rPr>
        <w:t>、</w:t>
      </w:r>
      <w:r>
        <w:rPr>
          <w:rFonts w:hint="eastAsia" w:cs="Times New Roman"/>
          <w:color w:val="000000"/>
          <w:lang w:eastAsia="zh-CN"/>
        </w:rPr>
        <w:t>《河北省水功能区划》、</w:t>
      </w:r>
      <w:r>
        <w:rPr>
          <w:rFonts w:hint="eastAsia" w:ascii="Times New Roman" w:hAnsi="Times New Roman" w:eastAsia="宋体" w:cs="Times New Roman"/>
          <w:color w:val="000000"/>
        </w:rPr>
        <w:t>《承德市滦河流域生态环境保护规划（2019-2025年）》</w:t>
      </w:r>
      <w:r>
        <w:rPr>
          <w:rFonts w:hint="eastAsia" w:cs="Times New Roman"/>
          <w:color w:val="000000"/>
          <w:lang w:val="en-US" w:eastAsia="zh-CN"/>
        </w:rPr>
        <w:t>、</w:t>
      </w:r>
      <w:r>
        <w:rPr>
          <w:rFonts w:hint="eastAsia" w:ascii="Times New Roman" w:hAnsi="Times New Roman" w:eastAsia="宋体" w:cs="Times New Roman"/>
          <w:color w:val="000000"/>
        </w:rPr>
        <w:t>《河北省生态环境保护“十四五”规划》</w:t>
      </w:r>
      <w:r>
        <w:rPr>
          <w:rFonts w:hint="eastAsia" w:cs="Times New Roman"/>
          <w:color w:val="000000"/>
          <w:lang w:eastAsia="zh-CN"/>
        </w:rPr>
        <w:t>等规划，本项目的建设符合规划要求。</w:t>
      </w:r>
    </w:p>
    <w:p>
      <w:pPr>
        <w:pStyle w:val="6"/>
      </w:pPr>
      <w:bookmarkStart w:id="16" w:name="_Toc29801"/>
      <w:r>
        <w:rPr>
          <w:rFonts w:hint="eastAsia"/>
        </w:rPr>
        <w:t>1.4.</w:t>
      </w:r>
      <w:r>
        <w:rPr>
          <w:rFonts w:hint="eastAsia"/>
          <w:lang w:val="en-US" w:eastAsia="zh-CN"/>
        </w:rPr>
        <w:t>3</w:t>
      </w:r>
      <w:r>
        <w:rPr>
          <w:rFonts w:hint="eastAsia"/>
        </w:rPr>
        <w:t xml:space="preserve"> 项目与“三线一单”符合性分析</w:t>
      </w:r>
      <w:bookmarkEnd w:id="16"/>
    </w:p>
    <w:p>
      <w:pPr>
        <w:ind w:firstLine="480"/>
        <w:rPr>
          <w:b/>
          <w:bCs/>
          <w:kern w:val="0"/>
        </w:rPr>
      </w:pPr>
      <w:r>
        <w:rPr>
          <w:rFonts w:hint="eastAsia"/>
          <w:b/>
          <w:bCs/>
          <w:kern w:val="0"/>
          <w:lang w:val="en-US" w:eastAsia="zh-CN"/>
        </w:rPr>
        <w:t>1、</w:t>
      </w:r>
      <w:r>
        <w:rPr>
          <w:b/>
          <w:bCs/>
          <w:kern w:val="0"/>
        </w:rPr>
        <w:t>与生态保护红线符合性分析</w:t>
      </w:r>
    </w:p>
    <w:p>
      <w:pPr>
        <w:ind w:firstLine="480"/>
        <w:rPr>
          <w:kern w:val="0"/>
        </w:rPr>
      </w:pPr>
      <w:r>
        <w:rPr>
          <w:rFonts w:hint="eastAsia"/>
          <w:kern w:val="0"/>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技改工业项目和矿产开发项目的环评文件。</w:t>
      </w:r>
    </w:p>
    <w:p>
      <w:pPr>
        <w:keepNext w:val="0"/>
        <w:keepLines w:val="0"/>
        <w:widowControl/>
        <w:suppressLineNumbers w:val="0"/>
        <w:jc w:val="left"/>
        <w:rPr>
          <w:rFonts w:hint="eastAsia"/>
          <w:kern w:val="0"/>
        </w:rPr>
      </w:pPr>
      <w:r>
        <w:rPr>
          <w:rFonts w:hint="eastAsia"/>
          <w:kern w:val="0"/>
        </w:rPr>
        <w:t>根据河北省生态保护</w:t>
      </w:r>
      <w:bookmarkStart w:id="779" w:name="_GoBack"/>
      <w:bookmarkEnd w:id="779"/>
      <w:r>
        <w:rPr>
          <w:rFonts w:hint="eastAsia"/>
          <w:kern w:val="0"/>
        </w:rPr>
        <w:t>红线成果、承德市及</w:t>
      </w:r>
      <w:r>
        <w:rPr>
          <w:rFonts w:hint="eastAsia"/>
          <w:kern w:val="0"/>
          <w:lang w:eastAsia="zh-CN"/>
        </w:rPr>
        <w:t>兴隆</w:t>
      </w:r>
      <w:r>
        <w:rPr>
          <w:rFonts w:hint="eastAsia"/>
          <w:kern w:val="0"/>
        </w:rPr>
        <w:t>县生态保护红线成果，项目拟治理修复的河段，</w:t>
      </w:r>
      <w:r>
        <w:rPr>
          <w:rFonts w:hint="eastAsia"/>
          <w:kern w:val="0"/>
          <w:lang w:eastAsia="zh-CN"/>
        </w:rPr>
        <w:t>柳河三块石断面</w:t>
      </w:r>
      <w:r>
        <w:rPr>
          <w:rFonts w:hint="eastAsia"/>
          <w:kern w:val="0"/>
        </w:rPr>
        <w:t>河道范围内为生态保护红线。项目的建设占用区域生态保护红线。</w:t>
      </w:r>
    </w:p>
    <w:p>
      <w:pPr>
        <w:bidi w:val="0"/>
        <w:rPr>
          <w:rFonts w:hint="eastAsia" w:eastAsia="宋体"/>
          <w:lang w:eastAsia="zh-CN"/>
        </w:rPr>
      </w:pPr>
      <w:r>
        <w:rPr>
          <w:rFonts w:hint="eastAsia"/>
          <w:lang w:eastAsia="zh-CN"/>
        </w:rPr>
        <w:t>（</w:t>
      </w:r>
      <w:r>
        <w:rPr>
          <w:rFonts w:hint="eastAsia"/>
          <w:lang w:val="en-US" w:eastAsia="zh-CN"/>
        </w:rPr>
        <w:t>1</w:t>
      </w:r>
      <w:r>
        <w:rPr>
          <w:rFonts w:hint="eastAsia"/>
          <w:lang w:eastAsia="zh-CN"/>
        </w:rPr>
        <w:t>）生态保护红线类型与管控要求</w:t>
      </w:r>
    </w:p>
    <w:p>
      <w:pPr>
        <w:bidi w:val="0"/>
        <w:rPr>
          <w:rFonts w:hint="eastAsia"/>
        </w:rPr>
      </w:pPr>
      <w:r>
        <w:rPr>
          <w:rFonts w:hint="eastAsia"/>
        </w:rPr>
        <w:t>项目所在区域生态红线属燕山水源涵养--生物多样性维护生态保护红线区域。区域内以森林生态系统为主，植被覆盖率高，降水条件好，河流水系发达，具有重要的水源涵养功能。区域内物种丰富，植被保护良好，为大量生物提供了栖息地，保护了物种的完整性，具有较强的生物多样性维护功能。</w:t>
      </w:r>
    </w:p>
    <w:p>
      <w:pPr>
        <w:keepNext w:val="0"/>
        <w:keepLines w:val="0"/>
        <w:widowControl/>
        <w:suppressLineNumbers w:val="0"/>
        <w:jc w:val="left"/>
        <w:rPr>
          <w:rFonts w:hint="eastAsia"/>
          <w:kern w:val="0"/>
        </w:rPr>
      </w:pPr>
      <w:r>
        <w:rPr>
          <w:rFonts w:hint="eastAsia"/>
          <w:kern w:val="0"/>
        </w:rPr>
        <w:t>区域独特的生态区位，对生态系统服务功能的作用更加重要。良好的水源涵养生态功能，对周边地区保护和提高“京津水源地水源涵养重要区”的生态功能有示范意义，对于构建整个水源涵养生态功能区的保护、建设和管理体系具有促进作用。区域生态系统具有较强的生物多样性，良好的生态环境有利于区域生态功能区的保护。</w:t>
      </w:r>
    </w:p>
    <w:p>
      <w:pPr>
        <w:keepNext w:val="0"/>
        <w:keepLines w:val="0"/>
        <w:widowControl/>
        <w:suppressLineNumbers w:val="0"/>
        <w:jc w:val="left"/>
        <w:rPr>
          <w:rFonts w:hint="eastAsia"/>
          <w:kern w:val="0"/>
        </w:rPr>
      </w:pPr>
      <w:r>
        <w:rPr>
          <w:rFonts w:hint="eastAsia"/>
          <w:kern w:val="0"/>
        </w:rPr>
        <w:t>中共河北省委办公厅、河北省人民政府办公厅印发《关于划定并严守生态保护红线的实施意见》的通知（冀办字【2017】36号）指出：“推进生态保护修复。认真贯彻落实我省关于加快山水林田湖生态修复的实施意见，把实施生态保护红线保护与修复作为山水林田湖生态保护和修复工程的重要内容。以县级行政区域为基本单元建立生态保护红线台账系统，制定实施生态系统保护与修复方案。优先保护良好生态系统和重要物种栖息地，建立和完善生态廊道，提高生态系统完整性和连通性。分区分类开展受损生态系统修复，采取以封禁为主的自然恢复措施，辅以人工修复，改善和提升生态功能。选择水源涵养和生物多样性维护为主导生态功能的生态保护红线区域，开展保护与修复示范”。</w:t>
      </w:r>
    </w:p>
    <w:p>
      <w:pPr>
        <w:bidi w:val="0"/>
      </w:pPr>
      <w:r>
        <w:rPr>
          <w:rFonts w:hint="eastAsia"/>
          <w:lang w:eastAsia="zh-CN"/>
        </w:rPr>
        <w:t>（</w:t>
      </w:r>
      <w:r>
        <w:rPr>
          <w:rFonts w:hint="eastAsia"/>
          <w:lang w:val="en-US" w:eastAsia="zh-CN"/>
        </w:rPr>
        <w:t>2</w:t>
      </w:r>
      <w:r>
        <w:rPr>
          <w:rFonts w:hint="eastAsia"/>
          <w:lang w:eastAsia="zh-CN"/>
        </w:rPr>
        <w:t>）</w:t>
      </w:r>
      <w:r>
        <w:rPr>
          <w:rFonts w:hint="eastAsia"/>
        </w:rPr>
        <w:t>生态保护红线管控要求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根据《生态保护红线划定指南》（环办生态[2017]48号）中的“5 管控要求”：生态保护红线原则上按禁止开发区域的要求进行管理。严禁不符合主体功能定位的各类开发活动，严禁任意改变用途，确保生态功能不降低、面积不减少、性质不改变。</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——功能不降低。生态保护红线内的自然生态系统结构保持相对稳定，退化生态系统功能不断改善，质量不断提升。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——面积不减少。生态保护红线边界保持相对固定，生态保护红线面积只能增加，不能减少。</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——性质不改变。严格实施生态保护红线国土空间用途管制，严禁随意改变用地性质。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根据项目特点，同时对照上述管控要求，项目生态保护红线管控分析如下：</w:t>
      </w:r>
    </w:p>
    <w:p>
      <w:pPr>
        <w:rPr>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a、</w:t>
      </w:r>
      <w:r>
        <w:rPr>
          <w:rFonts w:hint="eastAsia"/>
          <w:b w:val="0"/>
          <w:bCs/>
          <w:color w:val="000000" w:themeColor="text1"/>
          <w14:textFill>
            <w14:solidFill>
              <w14:schemeClr w14:val="tx1"/>
            </w14:solidFill>
          </w14:textFill>
        </w:rPr>
        <w:t>功能不降低</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项目所占生态保护红线类型主要是</w:t>
      </w:r>
      <w:r>
        <w:t>水源涵养--生物多样性维护</w:t>
      </w:r>
      <w:r>
        <w:rPr>
          <w:rFonts w:hint="eastAsia"/>
        </w:rPr>
        <w:t>，</w:t>
      </w:r>
      <w:r>
        <w:rPr>
          <w:rFonts w:hint="eastAsia"/>
          <w:color w:val="000000" w:themeColor="text1"/>
          <w14:textFill>
            <w14:solidFill>
              <w14:schemeClr w14:val="tx1"/>
            </w14:solidFill>
          </w14:textFill>
        </w:rPr>
        <w:t>范围内的自然生态系统主要是水生动、植物生态系统。结合现状调查，现有河道存在一定的环境问题，一定程度上不利于河道内的水生动、植物生态系统的稳定。项目属于河流水域生态保护修复类项目，项目仅进行建设阶段的施工建设，虽然对河道水生动、植物生态系统存在一定的不利影响，但项目通过采取一系列建设阶段生态保护措施，能够将其造成的环境影响降至最低；随着建设期的结束，上述不利影响也将随之消除。项目的实施，能够维护</w:t>
      </w:r>
      <w:r>
        <w:rPr>
          <w:rFonts w:hint="eastAsia"/>
          <w:color w:val="000000" w:themeColor="text1"/>
          <w:lang w:eastAsia="zh-CN"/>
          <w14:textFill>
            <w14:solidFill>
              <w14:schemeClr w14:val="tx1"/>
            </w14:solidFill>
          </w14:textFill>
        </w:rPr>
        <w:t>柳河</w:t>
      </w:r>
      <w:r>
        <w:rPr>
          <w:rFonts w:hint="eastAsia"/>
          <w:color w:val="000000" w:themeColor="text1"/>
          <w14:textFill>
            <w14:solidFill>
              <w14:schemeClr w14:val="tx1"/>
            </w14:solidFill>
          </w14:textFill>
        </w:rPr>
        <w:t>良好的水生态环境，在一定程度上可促进稳定区域</w:t>
      </w:r>
      <w:r>
        <w:rPr>
          <w:rFonts w:hint="eastAsia"/>
          <w:color w:val="000000" w:themeColor="text1"/>
          <w:lang w:eastAsia="zh-CN"/>
          <w14:textFill>
            <w14:solidFill>
              <w14:schemeClr w14:val="tx1"/>
            </w14:solidFill>
          </w14:textFill>
        </w:rPr>
        <w:t>柳河</w:t>
      </w:r>
      <w:r>
        <w:rPr>
          <w:rFonts w:hint="eastAsia"/>
          <w:color w:val="000000" w:themeColor="text1"/>
          <w14:textFill>
            <w14:solidFill>
              <w14:schemeClr w14:val="tx1"/>
            </w14:solidFill>
          </w14:textFill>
        </w:rPr>
        <w:t>水生态系统。项目在运行阶段，河道内的水流、水质均有所改善；通过水土保持降低了污染物对河流的影响，河道沿线水土流失有所缓解，对河道内的负面影响有所降低，有利于促进区域水源涵养和生物多样性的保护，有利于区域生态保护红线功能的提升，对生态保护红线范围内的水生生态功能的保护和改善可起到正面的积极作用。项目的实施是对区域生态红线的一种保护，不会降低生态红线的功能。综上，项目满足“功能不降低”的管控要求。</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b、</w:t>
      </w:r>
      <w:r>
        <w:rPr>
          <w:rFonts w:hint="eastAsia"/>
          <w:color w:val="000000" w:themeColor="text1"/>
          <w14:textFill>
            <w14:solidFill>
              <w14:schemeClr w14:val="tx1"/>
            </w14:solidFill>
          </w14:textFill>
        </w:rPr>
        <w:t>面积不减少</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项目所占用的生态保护红线为河道范围内。项目依托</w:t>
      </w:r>
      <w:r>
        <w:rPr>
          <w:rFonts w:hint="eastAsia"/>
          <w:color w:val="000000" w:themeColor="text1"/>
          <w:lang w:eastAsia="zh-CN"/>
          <w14:textFill>
            <w14:solidFill>
              <w14:schemeClr w14:val="tx1"/>
            </w14:solidFill>
          </w14:textFill>
        </w:rPr>
        <w:t>柳河三块石村段</w:t>
      </w:r>
      <w:r>
        <w:rPr>
          <w:rFonts w:hint="eastAsia"/>
          <w:color w:val="000000" w:themeColor="text1"/>
          <w14:textFill>
            <w14:solidFill>
              <w14:schemeClr w14:val="tx1"/>
            </w14:solidFill>
          </w14:textFill>
        </w:rPr>
        <w:t>现有河道的走势、走向，通过一系列生态修复工程内容，对生态环境</w:t>
      </w:r>
      <w:r>
        <w:rPr>
          <w:rFonts w:hint="eastAsia"/>
          <w:color w:val="000000" w:themeColor="text1"/>
          <w:lang w:eastAsia="zh-CN"/>
          <w14:textFill>
            <w14:solidFill>
              <w14:schemeClr w14:val="tx1"/>
            </w14:solidFill>
          </w14:textFill>
        </w:rPr>
        <w:t>进行</w:t>
      </w:r>
      <w:r>
        <w:rPr>
          <w:rFonts w:hint="eastAsia"/>
          <w:color w:val="000000" w:themeColor="text1"/>
          <w14:textFill>
            <w14:solidFill>
              <w14:schemeClr w14:val="tx1"/>
            </w14:solidFill>
          </w14:textFill>
        </w:rPr>
        <w:t>保护修复</w:t>
      </w:r>
      <w:r>
        <w:rPr>
          <w:rFonts w:hint="eastAsia"/>
          <w:color w:val="000000" w:themeColor="text1"/>
          <w:lang w:eastAsia="zh-CN"/>
          <w14:textFill>
            <w14:solidFill>
              <w14:schemeClr w14:val="tx1"/>
            </w14:solidFill>
          </w14:textFill>
        </w:rPr>
        <w:t>建设</w:t>
      </w:r>
      <w:r>
        <w:rPr>
          <w:rFonts w:hint="eastAsia"/>
          <w:color w:val="000000" w:themeColor="text1"/>
          <w14:textFill>
            <w14:solidFill>
              <w14:schemeClr w14:val="tx1"/>
            </w14:solidFill>
          </w14:textFill>
        </w:rPr>
        <w:t>。项目仅进行建设阶段的施工建设，施工范围控制在划定的范围内，不任意占用河道，项目施工结束后，恢复施工临时占地，建设施工开挖的施工导流、围堰等临时工程全部予以恢复，项目运行阶段不进行人为干预，将河道范围恢复至建设施工前。项目的实施，不改变河道的范围，不对</w:t>
      </w:r>
      <w:r>
        <w:rPr>
          <w:rFonts w:hint="eastAsia"/>
          <w:color w:val="000000" w:themeColor="text1"/>
          <w:lang w:eastAsia="zh-CN"/>
          <w14:textFill>
            <w14:solidFill>
              <w14:schemeClr w14:val="tx1"/>
            </w14:solidFill>
          </w14:textFill>
        </w:rPr>
        <w:t>河道</w:t>
      </w:r>
      <w:r>
        <w:rPr>
          <w:rFonts w:hint="eastAsia"/>
          <w:color w:val="000000" w:themeColor="text1"/>
          <w14:textFill>
            <w14:solidFill>
              <w14:schemeClr w14:val="tx1"/>
            </w14:solidFill>
          </w14:textFill>
        </w:rPr>
        <w:t>进行扩宽与缩窄，不任意改变河道的走向与走势，能够确保河道内生态保护红线范围与面积不减少。综上，项目满足“面积不减少”的管控要求。</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c、</w:t>
      </w:r>
      <w:r>
        <w:rPr>
          <w:rFonts w:hint="eastAsia"/>
          <w:color w:val="000000" w:themeColor="text1"/>
          <w14:textFill>
            <w14:solidFill>
              <w14:schemeClr w14:val="tx1"/>
            </w14:solidFill>
          </w14:textFill>
        </w:rPr>
        <w:t>性质不改变</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项目所占生态保护红线的类型为“</w:t>
      </w:r>
      <w:r>
        <w:t>水源涵养--生物多样性维护</w:t>
      </w:r>
      <w:r>
        <w:rPr>
          <w:rFonts w:hint="eastAsia"/>
          <w:color w:val="000000" w:themeColor="text1"/>
          <w14:textFill>
            <w14:solidFill>
              <w14:schemeClr w14:val="tx1"/>
            </w14:solidFill>
          </w14:textFill>
        </w:rPr>
        <w:t>”。项目以改善</w:t>
      </w:r>
      <w:r>
        <w:rPr>
          <w:rFonts w:hint="eastAsia"/>
          <w:color w:val="000000" w:themeColor="text1"/>
          <w:lang w:eastAsia="zh-CN"/>
          <w14:textFill>
            <w14:solidFill>
              <w14:schemeClr w14:val="tx1"/>
            </w14:solidFill>
          </w14:textFill>
        </w:rPr>
        <w:t>柳河</w:t>
      </w:r>
      <w:r>
        <w:rPr>
          <w:rFonts w:hint="eastAsia"/>
          <w:color w:val="000000" w:themeColor="text1"/>
          <w14:textFill>
            <w14:solidFill>
              <w14:schemeClr w14:val="tx1"/>
            </w14:solidFill>
          </w14:textFill>
        </w:rPr>
        <w:t>良好的生态环境为出发点，实施</w:t>
      </w:r>
      <w:r>
        <w:rPr>
          <w:rFonts w:hint="eastAsia"/>
          <w:color w:val="000000" w:themeColor="text1"/>
          <w:lang w:eastAsia="zh-CN"/>
          <w14:textFill>
            <w14:solidFill>
              <w14:schemeClr w14:val="tx1"/>
            </w14:solidFill>
          </w14:textFill>
        </w:rPr>
        <w:t>河道</w:t>
      </w:r>
      <w:r>
        <w:rPr>
          <w:rFonts w:hint="eastAsia"/>
          <w:color w:val="000000" w:themeColor="text1"/>
          <w14:textFill>
            <w14:solidFill>
              <w14:schemeClr w14:val="tx1"/>
            </w14:solidFill>
          </w14:textFill>
        </w:rPr>
        <w:t>生态保护修复项目，在建设阶段实施</w:t>
      </w:r>
      <w:r>
        <w:rPr>
          <w:rFonts w:hint="eastAsia"/>
          <w:lang w:eastAsia="zh-CN"/>
        </w:rPr>
        <w:t>河道疏浚工程</w:t>
      </w:r>
      <w:r>
        <w:rPr>
          <w:rFonts w:hint="eastAsia"/>
        </w:rPr>
        <w:t>、</w:t>
      </w:r>
      <w:r>
        <w:rPr>
          <w:rFonts w:hint="eastAsia"/>
          <w:lang w:eastAsia="zh-CN"/>
        </w:rPr>
        <w:t>生态植物种植工程</w:t>
      </w:r>
      <w:r>
        <w:rPr>
          <w:rFonts w:hint="eastAsia"/>
        </w:rPr>
        <w:t>等</w:t>
      </w:r>
      <w:r>
        <w:rPr>
          <w:rFonts w:hint="eastAsia"/>
          <w:color w:val="000000" w:themeColor="text1"/>
          <w14:textFill>
            <w14:solidFill>
              <w14:schemeClr w14:val="tx1"/>
            </w14:solidFill>
          </w14:textFill>
        </w:rPr>
        <w:t>，项目建设阶段结束后，运行阶段可实现对水环境质量改善、维护</w:t>
      </w:r>
      <w:r>
        <w:rPr>
          <w:rFonts w:hint="eastAsia"/>
          <w:color w:val="000000" w:themeColor="text1"/>
          <w:lang w:eastAsia="zh-CN"/>
          <w14:textFill>
            <w14:solidFill>
              <w14:schemeClr w14:val="tx1"/>
            </w14:solidFill>
          </w14:textFill>
        </w:rPr>
        <w:t>河道</w:t>
      </w:r>
      <w:r>
        <w:rPr>
          <w:rFonts w:hint="eastAsia"/>
          <w:color w:val="000000" w:themeColor="text1"/>
          <w14:textFill>
            <w14:solidFill>
              <w14:schemeClr w14:val="tx1"/>
            </w14:solidFill>
          </w14:textFill>
        </w:rPr>
        <w:t>良好的水生态环境，从而减缓河流现存环境问题带来的水体受损等不利影响，有利于促进区域水源涵养、维护区域生物多样性，确保区域生态保护红线性质的稳定。项目的实施是对区域生态红线的一种保护，不会改变生态红线的性质。综上，项目满足“性质不改变”的管控要求。</w:t>
      </w:r>
    </w:p>
    <w:p>
      <w:pPr>
        <w:bidi w:val="0"/>
        <w:rPr>
          <w:rFonts w:hint="eastAsia" w:eastAsia="宋体"/>
          <w:lang w:eastAsia="zh-CN"/>
        </w:rPr>
      </w:pPr>
      <w:r>
        <w:rPr>
          <w:rFonts w:hint="eastAsia"/>
          <w:lang w:val="en-US" w:eastAsia="zh-CN"/>
        </w:rPr>
        <w:t>（3）</w:t>
      </w:r>
      <w:r>
        <w:rPr>
          <w:rFonts w:hint="eastAsia"/>
          <w:lang w:eastAsia="zh-CN"/>
        </w:rPr>
        <w:t>项目对生态保护红线的影响分析</w:t>
      </w:r>
    </w:p>
    <w:p>
      <w:pPr>
        <w:keepNext w:val="0"/>
        <w:keepLines w:val="0"/>
        <w:widowControl/>
        <w:suppressLineNumbers w:val="0"/>
        <w:jc w:val="left"/>
        <w:rPr>
          <w:rFonts w:hint="eastAsia"/>
          <w:kern w:val="0"/>
        </w:rPr>
      </w:pPr>
      <w:r>
        <w:rPr>
          <w:rFonts w:hint="eastAsia"/>
          <w:kern w:val="0"/>
        </w:rPr>
        <w:t>区域河道范围内为生态红线，项目仅有河道内工程（</w:t>
      </w:r>
      <w:r>
        <w:rPr>
          <w:rFonts w:hint="eastAsia"/>
          <w:kern w:val="0"/>
          <w:lang w:eastAsia="zh-CN"/>
        </w:rPr>
        <w:t>河道疏浚工程</w:t>
      </w:r>
      <w:r>
        <w:rPr>
          <w:rFonts w:hint="eastAsia"/>
          <w:kern w:val="0"/>
        </w:rPr>
        <w:t>）涉及红线，其他主体实施工程及临时工程如施工占地、施工便道、临时堆土场等全部不涉及生态红线。项目虽占用生态保护红线，但项目本身属于河流水域生态保护修复类项目，以改善</w:t>
      </w:r>
      <w:r>
        <w:rPr>
          <w:rFonts w:hint="eastAsia"/>
          <w:kern w:val="0"/>
          <w:lang w:eastAsia="zh-CN"/>
        </w:rPr>
        <w:t>柳河</w:t>
      </w:r>
      <w:r>
        <w:rPr>
          <w:rFonts w:hint="eastAsia"/>
          <w:kern w:val="0"/>
        </w:rPr>
        <w:t>水环境质量、维护良好的水生态环境为出发点，实施一系列生态修复工程，仅在建设阶段产生一定的影响，但影响均较小，随着建设期的结束，上述不利影响也将随之消除。项目的实施，能够改善</w:t>
      </w:r>
      <w:r>
        <w:rPr>
          <w:rFonts w:hint="eastAsia"/>
          <w:kern w:val="0"/>
          <w:lang w:eastAsia="zh-CN"/>
        </w:rPr>
        <w:t>河岸</w:t>
      </w:r>
      <w:r>
        <w:rPr>
          <w:rFonts w:hint="eastAsia"/>
          <w:kern w:val="0"/>
        </w:rPr>
        <w:t>生态环境，在一定程度上可促进稳定区域水生态系统。项目运行后，最终能够对生态保护红线范围内的水源涵养功能和水生生态功能的保护和改善起到正面的积极作用、能够确保河道内生态保护红线范围与面积不减少、能够促进区域水源涵养、维护区域生物多样性，确保区域生态保护红线性质的稳定。项目的建设与运行不降低区域生态保护红线的功能、不减少区域生态保护红线的面积、不改变区域生态保护红线的性质。因此，项目的实施是对区域生态红线的一种保护，项目运行后将对区域生态保护红线产生正面的积极的作用。</w:t>
      </w:r>
    </w:p>
    <w:p>
      <w:pPr>
        <w:ind w:firstLine="480"/>
        <w:rPr>
          <w:b/>
          <w:bCs/>
          <w:kern w:val="0"/>
        </w:rPr>
      </w:pPr>
      <w:r>
        <w:rPr>
          <w:rFonts w:hint="eastAsia"/>
          <w:b/>
          <w:bCs/>
          <w:kern w:val="0"/>
          <w:lang w:val="en-US" w:eastAsia="zh-CN"/>
        </w:rPr>
        <w:t>2、</w:t>
      </w:r>
      <w:r>
        <w:rPr>
          <w:b/>
          <w:bCs/>
          <w:kern w:val="0"/>
        </w:rPr>
        <w:t>与环境质量底线符合性分析</w:t>
      </w:r>
    </w:p>
    <w:p>
      <w:pPr>
        <w:ind w:firstLine="480"/>
        <w:rPr>
          <w:rFonts w:ascii="宋体" w:hAnsi="Calibri" w:cs="宋体"/>
          <w:kern w:val="0"/>
          <w:szCs w:val="24"/>
        </w:rPr>
      </w:pPr>
      <w:r>
        <w:rPr>
          <w:rFonts w:hint="eastAsia" w:ascii="宋体" w:hAnsi="Calibri" w:cs="宋体"/>
          <w:kern w:val="0"/>
          <w:szCs w:val="24"/>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具体分析如下：</w:t>
      </w:r>
    </w:p>
    <w:p>
      <w:pPr>
        <w:ind w:firstLine="480"/>
        <w:rPr>
          <w:rFonts w:hint="eastAsia"/>
          <w:kern w:val="0"/>
          <w:szCs w:val="24"/>
        </w:rPr>
      </w:pPr>
      <w:r>
        <w:rPr>
          <w:rFonts w:hint="eastAsia"/>
          <w:kern w:val="0"/>
          <w:szCs w:val="24"/>
        </w:rPr>
        <w:t>①环境空气：</w:t>
      </w:r>
    </w:p>
    <w:p>
      <w:pPr>
        <w:ind w:firstLine="480"/>
        <w:rPr>
          <w:rFonts w:hint="eastAsia"/>
          <w:kern w:val="0"/>
          <w:szCs w:val="24"/>
        </w:rPr>
      </w:pPr>
      <w:r>
        <w:rPr>
          <w:rFonts w:hint="eastAsia"/>
          <w:kern w:val="0"/>
          <w:szCs w:val="24"/>
        </w:rPr>
        <w:t>根据《2021年承德市生态环境状况公报》（2022年4月，承德市生态环境局），2021年</w:t>
      </w:r>
      <w:r>
        <w:rPr>
          <w:rFonts w:hint="eastAsia"/>
          <w:kern w:val="0"/>
          <w:szCs w:val="24"/>
          <w:lang w:eastAsia="zh-CN"/>
        </w:rPr>
        <w:t>兴隆</w:t>
      </w:r>
      <w:r>
        <w:rPr>
          <w:rFonts w:hint="eastAsia"/>
          <w:kern w:val="0"/>
          <w:szCs w:val="24"/>
        </w:rPr>
        <w:t>县环境空气质量中，PM</w:t>
      </w:r>
      <w:r>
        <w:rPr>
          <w:rFonts w:hint="eastAsia"/>
          <w:kern w:val="0"/>
          <w:szCs w:val="24"/>
          <w:vertAlign w:val="subscript"/>
        </w:rPr>
        <w:t>2.5</w:t>
      </w:r>
      <w:r>
        <w:rPr>
          <w:rFonts w:hint="eastAsia"/>
          <w:kern w:val="0"/>
          <w:szCs w:val="24"/>
        </w:rPr>
        <w:t>、PM</w:t>
      </w:r>
      <w:r>
        <w:rPr>
          <w:rFonts w:hint="eastAsia"/>
          <w:kern w:val="0"/>
          <w:szCs w:val="24"/>
          <w:vertAlign w:val="subscript"/>
        </w:rPr>
        <w:t>10</w:t>
      </w:r>
      <w:r>
        <w:rPr>
          <w:rFonts w:hint="eastAsia"/>
          <w:kern w:val="0"/>
          <w:szCs w:val="24"/>
        </w:rPr>
        <w:t>、SO</w:t>
      </w:r>
      <w:r>
        <w:rPr>
          <w:rFonts w:hint="eastAsia"/>
          <w:kern w:val="0"/>
          <w:szCs w:val="24"/>
          <w:vertAlign w:val="subscript"/>
        </w:rPr>
        <w:t>2</w:t>
      </w:r>
      <w:r>
        <w:rPr>
          <w:rFonts w:hint="eastAsia"/>
          <w:kern w:val="0"/>
          <w:szCs w:val="24"/>
        </w:rPr>
        <w:t>、NO</w:t>
      </w:r>
      <w:r>
        <w:rPr>
          <w:rFonts w:hint="eastAsia"/>
          <w:kern w:val="0"/>
          <w:szCs w:val="24"/>
          <w:vertAlign w:val="subscript"/>
        </w:rPr>
        <w:t>2</w:t>
      </w:r>
      <w:r>
        <w:rPr>
          <w:rFonts w:hint="eastAsia"/>
          <w:kern w:val="0"/>
          <w:szCs w:val="24"/>
        </w:rPr>
        <w:t>的年平均质量浓度、CO的第95百分位数24小时平均浓度、O</w:t>
      </w:r>
      <w:r>
        <w:rPr>
          <w:rFonts w:hint="eastAsia"/>
          <w:kern w:val="0"/>
          <w:szCs w:val="24"/>
          <w:vertAlign w:val="subscript"/>
        </w:rPr>
        <w:t>3</w:t>
      </w:r>
      <w:r>
        <w:rPr>
          <w:rFonts w:hint="eastAsia"/>
          <w:kern w:val="0"/>
          <w:szCs w:val="24"/>
        </w:rPr>
        <w:t>第90百分位数日最大8小时平均浓度均满足《环境空气质量标准》（GB3095-2012）及修改单中的二级标准要求。项目所在区域为环境空气质量达标区。</w:t>
      </w:r>
    </w:p>
    <w:p>
      <w:pPr>
        <w:ind w:firstLine="480"/>
        <w:rPr>
          <w:rFonts w:hint="eastAsia"/>
          <w:kern w:val="0"/>
          <w:szCs w:val="24"/>
        </w:rPr>
      </w:pPr>
      <w:r>
        <w:rPr>
          <w:rFonts w:hint="eastAsia"/>
          <w:kern w:val="0"/>
          <w:szCs w:val="24"/>
        </w:rPr>
        <w:t>根据工程分析，项目建设阶段主要进行工程的建设施工，项目运行阶段无大气污染物产生，项目不会对周边区域环境空气造成明显不利影响。</w:t>
      </w:r>
    </w:p>
    <w:p>
      <w:pPr>
        <w:ind w:firstLine="480"/>
        <w:rPr>
          <w:rFonts w:hint="eastAsia"/>
          <w:kern w:val="0"/>
          <w:szCs w:val="24"/>
          <w:highlight w:val="none"/>
        </w:rPr>
      </w:pPr>
      <w:r>
        <w:rPr>
          <w:rFonts w:hint="eastAsia"/>
          <w:kern w:val="0"/>
          <w:szCs w:val="24"/>
          <w:highlight w:val="none"/>
        </w:rPr>
        <w:t>综上所述，项目对周围环境造成影响较小，项目不会改变区域环境空气质量，不会突破项目所在地区的大气环境质量底线。</w:t>
      </w:r>
    </w:p>
    <w:p>
      <w:pPr>
        <w:ind w:firstLine="480"/>
        <w:rPr>
          <w:rFonts w:hint="eastAsia" w:eastAsia="宋体"/>
          <w:kern w:val="0"/>
          <w:szCs w:val="24"/>
          <w:highlight w:val="none"/>
          <w:lang w:val="en-US" w:eastAsia="zh-CN"/>
        </w:rPr>
      </w:pPr>
      <w:r>
        <w:rPr>
          <w:rFonts w:hint="eastAsia"/>
          <w:kern w:val="0"/>
          <w:szCs w:val="24"/>
          <w:highlight w:val="none"/>
        </w:rPr>
        <w:t>②水环境：</w:t>
      </w:r>
    </w:p>
    <w:p>
      <w:pPr>
        <w:ind w:firstLine="480"/>
        <w:rPr>
          <w:rFonts w:hint="eastAsia"/>
          <w:kern w:val="0"/>
          <w:szCs w:val="24"/>
        </w:rPr>
      </w:pPr>
      <w:r>
        <w:rPr>
          <w:rFonts w:hint="eastAsia"/>
          <w:kern w:val="0"/>
          <w:szCs w:val="24"/>
        </w:rPr>
        <w:t>根据《2021年承德市生态环境状况公报》（2022年4月，承德市生态环境局）中柳河水质及常规断面监测数据，2021年三块石、大杖子（二）断面水质类别均为I类，26#桥断面水质类别为II类，柳河流域总体水质状况为优，满足《地表水环境质量标准》（GB3838-2002）III类标准。</w:t>
      </w:r>
    </w:p>
    <w:p>
      <w:pPr>
        <w:ind w:firstLine="480"/>
        <w:rPr>
          <w:rFonts w:hint="eastAsia"/>
          <w:kern w:val="0"/>
          <w:szCs w:val="24"/>
        </w:rPr>
      </w:pPr>
      <w:r>
        <w:rPr>
          <w:rFonts w:hint="eastAsia"/>
          <w:kern w:val="0"/>
          <w:szCs w:val="24"/>
        </w:rPr>
        <w:t>根据工程分析，项目运行阶段无水污染物产生，项目不会对周边区域地表水环境造成明显不利影响。项目各工程实施后，在运行阶段，将有利于改善河流水质，有利于维护</w:t>
      </w:r>
      <w:r>
        <w:rPr>
          <w:rFonts w:hint="eastAsia"/>
          <w:kern w:val="0"/>
          <w:szCs w:val="24"/>
          <w:lang w:eastAsia="zh-CN"/>
        </w:rPr>
        <w:t>河流</w:t>
      </w:r>
      <w:r>
        <w:rPr>
          <w:rFonts w:hint="eastAsia"/>
          <w:kern w:val="0"/>
          <w:szCs w:val="24"/>
        </w:rPr>
        <w:t>良好的水生态环境，对区域水环境质量、监控断面环境质量、河流水域生态环境及生态保护红线的提升和修复都能起到正面的、长远的积极作用。综上所述，项目符合水环境质量底线的要求。</w:t>
      </w:r>
    </w:p>
    <w:p>
      <w:pPr>
        <w:ind w:firstLine="480"/>
        <w:rPr>
          <w:rFonts w:hint="eastAsia"/>
          <w:kern w:val="0"/>
          <w:szCs w:val="24"/>
        </w:rPr>
      </w:pPr>
      <w:r>
        <w:rPr>
          <w:rFonts w:hint="eastAsia"/>
          <w:kern w:val="0"/>
          <w:szCs w:val="24"/>
        </w:rPr>
        <w:t>③声环境：</w:t>
      </w:r>
    </w:p>
    <w:p>
      <w:pPr>
        <w:ind w:firstLine="480"/>
        <w:rPr>
          <w:rFonts w:hint="eastAsia"/>
          <w:kern w:val="0"/>
          <w:szCs w:val="24"/>
        </w:rPr>
      </w:pPr>
      <w:r>
        <w:rPr>
          <w:rFonts w:hint="eastAsia"/>
          <w:kern w:val="0"/>
          <w:szCs w:val="24"/>
        </w:rPr>
        <w:t>项目所在区域声环境质量执行《声环境质量标准》（GB3096-2008）1类标准。根据区域声环境质量现状监测，项目所在区域满足声环境质量标准要求。</w:t>
      </w:r>
    </w:p>
    <w:p>
      <w:pPr>
        <w:ind w:firstLine="480"/>
        <w:rPr>
          <w:rFonts w:hint="eastAsia"/>
          <w:kern w:val="0"/>
          <w:szCs w:val="24"/>
        </w:rPr>
      </w:pPr>
      <w:r>
        <w:rPr>
          <w:rFonts w:hint="eastAsia"/>
          <w:kern w:val="0"/>
          <w:szCs w:val="24"/>
        </w:rPr>
        <w:t>根据工程分析，项目运行阶段无噪声产生，项目不会对周边区域声环境造成明显不利影响。综上所述，项目符合声环境质量底线的要求。</w:t>
      </w:r>
    </w:p>
    <w:p>
      <w:pPr>
        <w:ind w:firstLine="480"/>
        <w:rPr>
          <w:rFonts w:hint="eastAsia"/>
          <w:kern w:val="0"/>
          <w:szCs w:val="24"/>
        </w:rPr>
      </w:pPr>
      <w:r>
        <w:rPr>
          <w:rFonts w:hint="eastAsia"/>
          <w:kern w:val="0"/>
          <w:szCs w:val="24"/>
        </w:rPr>
        <w:t>④土壤环境</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kern w:val="0"/>
          <w:szCs w:val="24"/>
        </w:rPr>
      </w:pPr>
      <w:r>
        <w:rPr>
          <w:rFonts w:hint="eastAsia"/>
          <w:kern w:val="0"/>
          <w:szCs w:val="24"/>
        </w:rPr>
        <w:t>根据土壤环境质量现状检测数据的统计结果，各土壤监测点各项监测因子均满足《土壤环境质量-农用地土壤污染风险管控标准》（GB15618 -2018）相应标准要求。区域农用地土壤污染风险均较低。</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kern w:val="0"/>
          <w:szCs w:val="24"/>
        </w:rPr>
      </w:pPr>
      <w:r>
        <w:rPr>
          <w:rFonts w:hint="eastAsia"/>
          <w:kern w:val="0"/>
          <w:szCs w:val="24"/>
        </w:rPr>
        <w:t>项目属于土壤生态影响型建设项目，项目运行后，对地表径流和周边地下水的水力交换过程无影响，不会导致河道两岸地下水水位较项目建设运行前发生明显变化，因此项目建设运行不会对周边土壤造成盐化、酸化和碱化等生态影响。综上所述，项目符合土壤环境质量底线的要求。</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szCs w:val="24"/>
          <w:lang w:val="en-US" w:eastAsia="zh-CN"/>
        </w:rPr>
      </w:pPr>
      <w:r>
        <w:rPr>
          <w:rFonts w:hint="eastAsia"/>
          <w:szCs w:val="24"/>
          <w:lang w:val="en-US" w:eastAsia="zh-CN"/>
        </w:rPr>
        <w:t>综上，项目的建设与运行符合环境质量底线的要求。</w:t>
      </w:r>
    </w:p>
    <w:p>
      <w:pPr>
        <w:keepNext w:val="0"/>
        <w:keepLines w:val="0"/>
        <w:pageBreakBefore w:val="0"/>
        <w:widowControl w:val="0"/>
        <w:kinsoku/>
        <w:wordWrap/>
        <w:overflowPunct/>
        <w:topLinePunct w:val="0"/>
        <w:autoSpaceDE/>
        <w:autoSpaceDN/>
        <w:bidi w:val="0"/>
        <w:adjustRightInd w:val="0"/>
        <w:snapToGrid w:val="0"/>
        <w:ind w:firstLine="480"/>
        <w:textAlignment w:val="auto"/>
        <w:rPr>
          <w:b/>
          <w:bCs/>
          <w:szCs w:val="24"/>
        </w:rPr>
      </w:pPr>
      <w:r>
        <w:rPr>
          <w:rFonts w:hint="eastAsia"/>
          <w:b/>
          <w:bCs/>
          <w:szCs w:val="24"/>
          <w:lang w:val="en-US" w:eastAsia="zh-CN"/>
        </w:rPr>
        <w:t>3、</w:t>
      </w:r>
      <w:r>
        <w:rPr>
          <w:b/>
          <w:bCs/>
          <w:szCs w:val="24"/>
        </w:rPr>
        <w:t>与资源利用上线符合性分析</w:t>
      </w:r>
    </w:p>
    <w:p>
      <w:pPr>
        <w:ind w:firstLine="480"/>
        <w:rPr>
          <w:rFonts w:hint="eastAsia"/>
          <w:szCs w:val="24"/>
        </w:rPr>
      </w:pPr>
      <w:r>
        <w:rPr>
          <w:rFonts w:hint="eastAsia"/>
          <w:kern w:val="0"/>
        </w:rPr>
        <w:t>资源是环境的载体，资源利用上线是各地区能源、水、土地等资源消耗不得突破的“天花板”。</w:t>
      </w:r>
      <w:r>
        <w:rPr>
          <w:rFonts w:hint="eastAsia"/>
          <w:szCs w:val="24"/>
        </w:rPr>
        <w:t>项目不涉及能源、水、土地等资源的开发利用，项目为为河道生态设施建设类项目，属于鼓励类项目，不会达到资源利用上线。</w:t>
      </w:r>
    </w:p>
    <w:p>
      <w:pPr>
        <w:ind w:firstLine="480"/>
        <w:rPr>
          <w:b/>
          <w:bCs/>
          <w:szCs w:val="24"/>
        </w:rPr>
      </w:pPr>
      <w:r>
        <w:rPr>
          <w:rFonts w:hint="eastAsia"/>
          <w:b/>
          <w:bCs/>
          <w:szCs w:val="24"/>
          <w:lang w:val="en-US" w:eastAsia="zh-CN"/>
        </w:rPr>
        <w:t>4、</w:t>
      </w:r>
      <w:r>
        <w:rPr>
          <w:b/>
          <w:bCs/>
          <w:szCs w:val="24"/>
        </w:rPr>
        <w:t>与环境准入负面清单符合性分析</w:t>
      </w:r>
    </w:p>
    <w:p>
      <w:pPr>
        <w:ind w:firstLine="480"/>
        <w:rPr>
          <w:rFonts w:hint="eastAsia"/>
          <w:kern w:val="0"/>
          <w:highlight w:val="none"/>
        </w:rPr>
      </w:pPr>
      <w:r>
        <w:rPr>
          <w:rFonts w:hint="eastAsia"/>
          <w:kern w:val="0"/>
          <w:highlight w:val="none"/>
          <w:lang w:eastAsia="zh-CN"/>
        </w:rPr>
        <w:t>①</w:t>
      </w:r>
      <w:r>
        <w:rPr>
          <w:rFonts w:hint="eastAsia"/>
          <w:kern w:val="0"/>
          <w:highlight w:val="none"/>
        </w:rPr>
        <w:t>《灵寿县等22县（区）国家重点生态功能区产业准入负面清单（试行）》</w:t>
      </w:r>
    </w:p>
    <w:p>
      <w:pPr>
        <w:ind w:firstLine="480"/>
        <w:rPr>
          <w:rFonts w:hint="eastAsia"/>
          <w:kern w:val="0"/>
          <w:highlight w:val="none"/>
        </w:rPr>
      </w:pPr>
      <w:r>
        <w:rPr>
          <w:rFonts w:hint="eastAsia"/>
          <w:kern w:val="0"/>
          <w:highlight w:val="none"/>
        </w:rPr>
        <w:t>对照《灵寿县等22县（区）国家重点生态功能区产业准入负面清单（试行）》（冀发改规划[2018]920号的通知）中兴隆县产业准入负面清单，本项目所属的河湖整治类工程未列入负面清单范围，与该负面清单要求不冲突。</w:t>
      </w:r>
    </w:p>
    <w:p>
      <w:pPr>
        <w:ind w:firstLine="480"/>
        <w:rPr>
          <w:rFonts w:hint="eastAsia"/>
          <w:kern w:val="0"/>
          <w:highlight w:val="none"/>
          <w:lang w:eastAsia="zh-CN"/>
        </w:rPr>
      </w:pPr>
      <w:r>
        <w:rPr>
          <w:rFonts w:hint="eastAsia"/>
          <w:kern w:val="0"/>
          <w:highlight w:val="none"/>
          <w:lang w:eastAsia="zh-CN"/>
        </w:rPr>
        <w:t>②《承德市“三线一单”生态环境准入清单》</w:t>
      </w:r>
    </w:p>
    <w:p>
      <w:pPr>
        <w:ind w:firstLine="480"/>
        <w:rPr>
          <w:rFonts w:hint="eastAsia"/>
        </w:rPr>
      </w:pPr>
      <w:r>
        <w:rPr>
          <w:rFonts w:hint="eastAsia"/>
        </w:rPr>
        <w:t>①承德市总体准入清单符合性</w:t>
      </w:r>
    </w:p>
    <w:p>
      <w:pPr>
        <w:ind w:firstLine="480"/>
        <w:rPr>
          <w:rFonts w:hint="eastAsia" w:ascii="Times New Roman" w:hAnsi="Times New Roman" w:eastAsia="宋体" w:cs="Times New Roman"/>
          <w:kern w:val="0"/>
        </w:rPr>
      </w:pPr>
      <w:r>
        <w:rPr>
          <w:rFonts w:hint="eastAsia" w:ascii="Times New Roman" w:hAnsi="Times New Roman" w:eastAsia="宋体" w:cs="Times New Roman"/>
          <w:kern w:val="0"/>
        </w:rPr>
        <w:t>承德市总体准入清单包括生态保护准入清单、大气环境准入清单、水环境准入清单、土壤环境准入清单、资源管控准入清单共五个部分。本项目不属于生产类项目，不属于资源开发类项目，不新增永久占地，运营期无大气污染物和水污染物产生和排放，因此，本项目与大气环境准入清单、水环境准入清单、土壤环境准入清单、资源管控准入清单不冲突。评价现针对生态保护准入清单进行符合性分析。</w:t>
      </w:r>
    </w:p>
    <w:p>
      <w:pPr>
        <w:ind w:firstLine="480"/>
        <w:rPr>
          <w:rFonts w:hint="eastAsia" w:ascii="Times New Roman" w:hAnsi="Times New Roman" w:eastAsia="宋体" w:cs="Times New Roman"/>
          <w:kern w:val="0"/>
        </w:rPr>
      </w:pPr>
      <w:r>
        <w:rPr>
          <w:rFonts w:hint="eastAsia" w:ascii="Times New Roman" w:hAnsi="Times New Roman" w:eastAsia="宋体" w:cs="Times New Roman"/>
          <w:kern w:val="0"/>
        </w:rPr>
        <w:t>项目</w:t>
      </w:r>
      <w:r>
        <w:rPr>
          <w:rFonts w:hint="eastAsia" w:cs="Times New Roman"/>
          <w:kern w:val="0"/>
          <w:lang w:eastAsia="zh-CN"/>
        </w:rPr>
        <w:t>河道清淤</w:t>
      </w:r>
      <w:r>
        <w:rPr>
          <w:rFonts w:hint="eastAsia" w:ascii="Times New Roman" w:hAnsi="Times New Roman" w:eastAsia="宋体" w:cs="Times New Roman"/>
          <w:kern w:val="0"/>
        </w:rPr>
        <w:t>工程占用生态保护红线，对照生态保护红线内、自然保护地核心保护区外准入清单与原则，生态保护准入正面清单中包括“必须且无法避让，符合县级以上国土空间规划的线性基础设施建设、防洪和供水设施建设与运营维护；已有合法水利、交通运输设施运行和维护等。包括公路、铁路、海堤、桥梁、隧道、电缆，油气、供水、供热管线，航道基础设施；输变电、通讯基站等点状附属设施，河道、湖泊、海湾整治、海堤加固等。”本项目属于河道整治工程，列入正面清单范围，因此，符合生态保护红线准入清单。</w:t>
      </w:r>
    </w:p>
    <w:p>
      <w:pPr>
        <w:bidi w:val="0"/>
        <w:rPr>
          <w:rFonts w:hint="eastAsia"/>
        </w:rPr>
      </w:pPr>
      <w:r>
        <w:rPr>
          <w:rFonts w:hint="eastAsia"/>
        </w:rPr>
        <w:t>除河道清淤工程外，项目其余建设内容位于一般生态空间，针对水源涵养型一般生态空间，负面清单中提出“禁止新建与扩建各种损害生态系统水源涵养功能的项目”，本项目属于强化生态功能、改善河流水质、加强水源涵养能力的</w:t>
      </w:r>
      <w:r>
        <w:rPr>
          <w:rFonts w:hint="eastAsia"/>
          <w:lang w:eastAsia="zh-CN"/>
        </w:rPr>
        <w:t>河道水环境治理类</w:t>
      </w:r>
      <w:r>
        <w:rPr>
          <w:rFonts w:hint="eastAsia"/>
        </w:rPr>
        <w:t>项目，符合一般生态空间管控要求。</w:t>
      </w:r>
    </w:p>
    <w:p>
      <w:pPr>
        <w:bidi w:val="0"/>
        <w:rPr>
          <w:rFonts w:hint="eastAsia"/>
        </w:rPr>
      </w:pPr>
      <w:r>
        <w:rPr>
          <w:rFonts w:hint="eastAsia"/>
        </w:rPr>
        <w:t>②承德市环境管控单元准入清单</w:t>
      </w:r>
    </w:p>
    <w:p>
      <w:pPr>
        <w:bidi w:val="0"/>
        <w:rPr>
          <w:rFonts w:hint="eastAsia"/>
        </w:rPr>
      </w:pPr>
      <w:r>
        <w:rPr>
          <w:rFonts w:hint="eastAsia"/>
        </w:rPr>
        <w:t>本项目位于兴隆县</w:t>
      </w:r>
      <w:r>
        <w:rPr>
          <w:rFonts w:hint="eastAsia"/>
          <w:lang w:eastAsia="zh-CN"/>
        </w:rPr>
        <w:t>李家营</w:t>
      </w:r>
      <w:r>
        <w:rPr>
          <w:rFonts w:hint="eastAsia"/>
        </w:rPr>
        <w:t>镇，管控类别为优先保护单元，环境要素类别包括生态保护红线、一般生态空间，均执行承德市总体准入清单中相应准入要求。</w:t>
      </w:r>
    </w:p>
    <w:p>
      <w:pPr>
        <w:bidi w:val="0"/>
        <w:rPr>
          <w:rFonts w:hint="eastAsia"/>
        </w:rPr>
      </w:pPr>
      <w:r>
        <w:rPr>
          <w:rFonts w:hint="eastAsia"/>
        </w:rPr>
        <w:t>本项目为地表水水质提升及水源涵养类项目，项目不属于工业类项目，项目运营期无大气污染物、水污染的产生排放，项目不涉及资源开发和资源消耗，因此项目满足区域空间布局约束、污染物排放管控、环境风险防控及资源利用效率的各项管控措施。同时本项目建成投运后，可有效提升地表水水质，提升河段水源涵养能力，项目符合承德市总体准入清单中相应管控要求。</w:t>
      </w:r>
    </w:p>
    <w:p>
      <w:pPr>
        <w:bidi w:val="0"/>
        <w:rPr>
          <w:rFonts w:hint="eastAsia"/>
          <w:kern w:val="0"/>
          <w:highlight w:val="none"/>
          <w:lang w:eastAsia="zh-CN"/>
        </w:rPr>
      </w:pPr>
      <w:r>
        <w:rPr>
          <w:rFonts w:hint="eastAsia"/>
          <w:kern w:val="0"/>
          <w:highlight w:val="none"/>
          <w:lang w:eastAsia="zh-CN"/>
        </w:rPr>
        <w:t>项目所在区域编号为ZH13082</w:t>
      </w:r>
      <w:r>
        <w:rPr>
          <w:rFonts w:hint="eastAsia"/>
          <w:kern w:val="0"/>
          <w:highlight w:val="none"/>
          <w:lang w:val="en-US" w:eastAsia="zh-CN"/>
        </w:rPr>
        <w:t>23</w:t>
      </w:r>
      <w:r>
        <w:rPr>
          <w:rFonts w:hint="eastAsia"/>
          <w:kern w:val="0"/>
          <w:highlight w:val="none"/>
          <w:lang w:eastAsia="zh-CN"/>
        </w:rPr>
        <w:t>0001，管控类型为一般管控单元，环境要素类别为：一般管控区，涉及零星农用地优先保护区、部分水环境优先保护区；维度为：空间布局约束、污染物排放管控、环境风险防控、资源利用效率。经分析，本项目符合《承德市“三线一单”生态环境准入清单》的环境管理要求。项目环境管控单元准入清单符合性分析，判定内容如下表所示。</w:t>
      </w:r>
    </w:p>
    <w:p>
      <w:pPr>
        <w:ind w:firstLine="0" w:firstLineChars="0"/>
        <w:jc w:val="center"/>
        <w:rPr>
          <w:rStyle w:val="46"/>
        </w:rPr>
      </w:pPr>
      <w:r>
        <w:rPr>
          <w:rStyle w:val="46"/>
        </w:rPr>
        <w:t>表</w:t>
      </w:r>
      <w:r>
        <w:rPr>
          <w:rStyle w:val="46"/>
          <w:rFonts w:hint="eastAsia"/>
          <w:lang w:val="en-US" w:eastAsia="zh-CN"/>
        </w:rPr>
        <w:t>1.4</w:t>
      </w:r>
      <w:r>
        <w:rPr>
          <w:rStyle w:val="46"/>
        </w:rPr>
        <w:t>-</w:t>
      </w:r>
      <w:r>
        <w:rPr>
          <w:rStyle w:val="46"/>
          <w:rFonts w:hint="eastAsia"/>
          <w:lang w:val="en-US" w:eastAsia="zh-CN"/>
        </w:rPr>
        <w:t>2</w:t>
      </w:r>
      <w:r>
        <w:rPr>
          <w:rStyle w:val="46"/>
        </w:rPr>
        <w:t xml:space="preserve">  </w:t>
      </w:r>
      <w:r>
        <w:rPr>
          <w:rStyle w:val="46"/>
          <w:rFonts w:hint="eastAsia"/>
          <w:bCs/>
        </w:rPr>
        <w:t>项目环境管控单元准入清单符合性分析表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730"/>
        <w:gridCol w:w="1109"/>
        <w:gridCol w:w="1174"/>
        <w:gridCol w:w="1802"/>
        <w:gridCol w:w="1778"/>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1" w:type="dxa"/>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color w:val="auto"/>
                <w:sz w:val="21"/>
                <w:szCs w:val="21"/>
                <w:vertAlign w:val="baseline"/>
                <w:lang w:eastAsia="zh-CN"/>
              </w:rPr>
            </w:pPr>
            <w:r>
              <w:rPr>
                <w:rFonts w:hint="eastAsia"/>
                <w:b/>
                <w:bCs/>
                <w:color w:val="auto"/>
                <w:sz w:val="21"/>
                <w:szCs w:val="21"/>
                <w:vertAlign w:val="baseline"/>
                <w:lang w:eastAsia="zh-CN"/>
              </w:rPr>
              <w:t>编号</w:t>
            </w:r>
          </w:p>
        </w:tc>
        <w:tc>
          <w:tcPr>
            <w:tcW w:w="730" w:type="dxa"/>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color w:val="auto"/>
                <w:sz w:val="21"/>
                <w:szCs w:val="21"/>
                <w:vertAlign w:val="baseline"/>
                <w:lang w:eastAsia="zh-CN"/>
              </w:rPr>
            </w:pPr>
            <w:r>
              <w:rPr>
                <w:rFonts w:hint="eastAsia"/>
                <w:b/>
                <w:bCs/>
                <w:color w:val="auto"/>
                <w:sz w:val="21"/>
                <w:szCs w:val="21"/>
                <w:vertAlign w:val="baseline"/>
                <w:lang w:eastAsia="zh-CN"/>
              </w:rPr>
              <w:t>管控类型</w:t>
            </w:r>
          </w:p>
        </w:tc>
        <w:tc>
          <w:tcPr>
            <w:tcW w:w="1109" w:type="dxa"/>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color w:val="auto"/>
                <w:sz w:val="21"/>
                <w:szCs w:val="21"/>
                <w:vertAlign w:val="baseline"/>
                <w:lang w:eastAsia="zh-CN"/>
              </w:rPr>
            </w:pPr>
            <w:r>
              <w:rPr>
                <w:rFonts w:hint="eastAsia"/>
                <w:b/>
                <w:bCs/>
                <w:color w:val="auto"/>
                <w:sz w:val="21"/>
                <w:szCs w:val="21"/>
                <w:vertAlign w:val="baseline"/>
                <w:lang w:eastAsia="zh-CN"/>
              </w:rPr>
              <w:t>环境要素类别</w:t>
            </w:r>
          </w:p>
        </w:tc>
        <w:tc>
          <w:tcPr>
            <w:tcW w:w="1174" w:type="dxa"/>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color w:val="auto"/>
                <w:sz w:val="21"/>
                <w:szCs w:val="21"/>
                <w:vertAlign w:val="baseline"/>
                <w:lang w:eastAsia="zh-CN"/>
              </w:rPr>
            </w:pPr>
            <w:r>
              <w:rPr>
                <w:rFonts w:hint="eastAsia"/>
                <w:b/>
                <w:bCs/>
                <w:color w:val="auto"/>
                <w:sz w:val="21"/>
                <w:szCs w:val="21"/>
                <w:vertAlign w:val="baseline"/>
                <w:lang w:eastAsia="zh-CN"/>
              </w:rPr>
              <w:t>维度</w:t>
            </w:r>
          </w:p>
        </w:tc>
        <w:tc>
          <w:tcPr>
            <w:tcW w:w="1802" w:type="dxa"/>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color w:val="auto"/>
                <w:sz w:val="21"/>
                <w:szCs w:val="21"/>
                <w:vertAlign w:val="baseline"/>
                <w:lang w:eastAsia="zh-CN"/>
              </w:rPr>
            </w:pPr>
            <w:r>
              <w:rPr>
                <w:rFonts w:hint="eastAsia"/>
                <w:b/>
                <w:bCs/>
                <w:color w:val="auto"/>
                <w:sz w:val="21"/>
                <w:szCs w:val="21"/>
                <w:vertAlign w:val="baseline"/>
                <w:lang w:eastAsia="zh-CN"/>
              </w:rPr>
              <w:t>管控措施</w:t>
            </w:r>
          </w:p>
        </w:tc>
        <w:tc>
          <w:tcPr>
            <w:tcW w:w="1778" w:type="dxa"/>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color w:val="auto"/>
                <w:sz w:val="21"/>
                <w:szCs w:val="21"/>
                <w:vertAlign w:val="baseline"/>
                <w:lang w:eastAsia="zh-CN"/>
              </w:rPr>
            </w:pPr>
            <w:r>
              <w:rPr>
                <w:rFonts w:hint="eastAsia"/>
                <w:b/>
                <w:bCs/>
                <w:color w:val="auto"/>
                <w:sz w:val="21"/>
                <w:szCs w:val="21"/>
                <w:vertAlign w:val="baseline"/>
                <w:lang w:eastAsia="zh-CN"/>
              </w:rPr>
              <w:t>项目情况</w:t>
            </w:r>
          </w:p>
        </w:tc>
        <w:tc>
          <w:tcPr>
            <w:tcW w:w="1312" w:type="dxa"/>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color w:val="auto"/>
                <w:sz w:val="21"/>
                <w:szCs w:val="21"/>
                <w:vertAlign w:val="baseline"/>
                <w:lang w:eastAsia="zh-CN"/>
              </w:rPr>
            </w:pPr>
            <w:r>
              <w:rPr>
                <w:rFonts w:hint="eastAsia"/>
                <w:b/>
                <w:bCs/>
                <w:color w:val="auto"/>
                <w:sz w:val="21"/>
                <w:szCs w:val="21"/>
                <w:vertAlign w:val="baseline"/>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091"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sz w:val="21"/>
                <w:szCs w:val="21"/>
                <w:vertAlign w:val="baseline"/>
                <w:lang w:val="en-US" w:eastAsia="zh-CN"/>
              </w:rPr>
            </w:pPr>
            <w:r>
              <w:rPr>
                <w:rFonts w:hint="eastAsia"/>
                <w:sz w:val="21"/>
                <w:szCs w:val="21"/>
                <w:vertAlign w:val="baseline"/>
              </w:rPr>
              <w:t>ZH13082230001</w:t>
            </w:r>
          </w:p>
        </w:tc>
        <w:tc>
          <w:tcPr>
            <w:tcW w:w="730"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一般管控单元</w:t>
            </w:r>
          </w:p>
        </w:tc>
        <w:tc>
          <w:tcPr>
            <w:tcW w:w="1109"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r>
              <w:rPr>
                <w:rFonts w:hint="eastAsia"/>
                <w:sz w:val="21"/>
                <w:szCs w:val="21"/>
                <w:vertAlign w:val="baseline"/>
              </w:rPr>
              <w:t>一般管控区，涉及零星农用地优先保护区、部分水环境优先保护区</w:t>
            </w:r>
          </w:p>
        </w:tc>
        <w:tc>
          <w:tcPr>
            <w:tcW w:w="1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宋体" w:hAnsi="宋体" w:eastAsia="宋体" w:cs="宋体"/>
                <w:color w:val="000000"/>
                <w:kern w:val="0"/>
                <w:sz w:val="21"/>
                <w:szCs w:val="21"/>
                <w:lang w:val="en-US" w:eastAsia="zh-CN" w:bidi="ar"/>
              </w:rPr>
              <w:t>空间布局约束</w:t>
            </w:r>
          </w:p>
        </w:tc>
        <w:tc>
          <w:tcPr>
            <w:tcW w:w="1802"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r>
              <w:rPr>
                <w:rFonts w:hint="eastAsia"/>
                <w:sz w:val="21"/>
                <w:szCs w:val="21"/>
                <w:vertAlign w:val="baseline"/>
              </w:rPr>
              <w:t>1、严格执行国家和省关于产业准入、总量控制和污染物排放标准等管控要求。</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r>
              <w:rPr>
                <w:rFonts w:hint="eastAsia"/>
                <w:sz w:val="21"/>
                <w:szCs w:val="21"/>
                <w:vertAlign w:val="baseline"/>
              </w:rPr>
              <w:t>2、水环境优先保护区应优化区域种植结构，完善水污染设施体系，严格执行流域水排放控制标准，加强湖滨岸带建设，保障水环境安全，现有涉水污染排放及风险项目，限期搬迁。3、农用地优先保护区执行承德市总体准入清单要求。</w:t>
            </w:r>
          </w:p>
        </w:tc>
        <w:tc>
          <w:tcPr>
            <w:tcW w:w="1778"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r>
              <w:rPr>
                <w:rFonts w:hint="eastAsia"/>
                <w:sz w:val="21"/>
                <w:szCs w:val="21"/>
                <w:vertAlign w:val="baseline"/>
              </w:rPr>
              <w:t>1、项目符合国家和省关于产业准入、总量控制和污染物排放标准等管控要求；</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r>
              <w:rPr>
                <w:rFonts w:hint="eastAsia"/>
                <w:sz w:val="21"/>
                <w:szCs w:val="21"/>
                <w:vertAlign w:val="baseline"/>
              </w:rPr>
              <w:t>2、项目不在水环境优先保护区范围内；3、项目不在农用地优先保护区范围内。</w:t>
            </w:r>
          </w:p>
        </w:tc>
        <w:tc>
          <w:tcPr>
            <w:tcW w:w="1312"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sz w:val="21"/>
                <w:szCs w:val="21"/>
                <w:vertAlign w:val="baseline"/>
                <w:lang w:eastAsia="zh-CN"/>
              </w:rPr>
            </w:pPr>
            <w:r>
              <w:rPr>
                <w:rFonts w:hint="eastAsia"/>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091"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730"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1109"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1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宋体" w:hAnsi="宋体" w:eastAsia="宋体" w:cs="宋体"/>
                <w:color w:val="000000"/>
                <w:kern w:val="0"/>
                <w:sz w:val="21"/>
                <w:szCs w:val="21"/>
                <w:lang w:val="en-US" w:eastAsia="zh-CN" w:bidi="ar"/>
              </w:rPr>
              <w:t>污染物排放管控</w:t>
            </w:r>
          </w:p>
        </w:tc>
        <w:tc>
          <w:tcPr>
            <w:tcW w:w="1802"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1778"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1312"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1091"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730"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1109"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1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宋体" w:hAnsi="宋体" w:eastAsia="宋体" w:cs="宋体"/>
                <w:color w:val="000000"/>
                <w:kern w:val="0"/>
                <w:sz w:val="21"/>
                <w:szCs w:val="21"/>
                <w:lang w:val="en-US" w:eastAsia="zh-CN" w:bidi="ar"/>
              </w:rPr>
              <w:t>环境风险防控</w:t>
            </w:r>
          </w:p>
        </w:tc>
        <w:tc>
          <w:tcPr>
            <w:tcW w:w="1802"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1778"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1312"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091"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730"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1109"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117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宋体" w:hAnsi="宋体" w:eastAsia="宋体" w:cs="宋体"/>
                <w:color w:val="000000"/>
                <w:kern w:val="0"/>
                <w:sz w:val="21"/>
                <w:szCs w:val="21"/>
                <w:lang w:val="en-US" w:eastAsia="zh-CN" w:bidi="ar"/>
              </w:rPr>
              <w:t>资源利用效率</w:t>
            </w:r>
          </w:p>
        </w:tc>
        <w:tc>
          <w:tcPr>
            <w:tcW w:w="1802"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1778"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c>
          <w:tcPr>
            <w:tcW w:w="1312"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vertAlign w:val="baseline"/>
              </w:rPr>
            </w:pPr>
          </w:p>
        </w:tc>
      </w:tr>
    </w:tbl>
    <w:p>
      <w:pPr>
        <w:bidi w:val="0"/>
        <w:rPr>
          <w:rFonts w:hint="eastAsia"/>
        </w:rPr>
      </w:pPr>
      <w:r>
        <w:rPr>
          <w:rFonts w:hint="eastAsia"/>
        </w:rPr>
        <w:t>③符合性分析结论</w:t>
      </w:r>
    </w:p>
    <w:p>
      <w:pPr>
        <w:bidi w:val="0"/>
        <w:rPr>
          <w:rFonts w:hint="eastAsia"/>
        </w:rPr>
      </w:pPr>
      <w:r>
        <w:rPr>
          <w:rFonts w:hint="eastAsia"/>
        </w:rPr>
        <w:t>综上，本项目符合《承德市人民政府关于加快实施“三线一单”生态环境分区管控的意见》（承德市生态环境局2021年6月18发布）的环境管理要求。</w:t>
      </w:r>
    </w:p>
    <w:p>
      <w:pPr>
        <w:numPr>
          <w:ilvl w:val="0"/>
          <w:numId w:val="4"/>
        </w:numPr>
        <w:bidi w:val="0"/>
        <w:rPr>
          <w:rFonts w:hint="eastAsia"/>
          <w:b/>
          <w:bCs/>
          <w:lang w:val="en-US" w:eastAsia="zh-CN"/>
        </w:rPr>
      </w:pPr>
      <w:r>
        <w:rPr>
          <w:rFonts w:hint="eastAsia"/>
          <w:b/>
          <w:bCs/>
        </w:rPr>
        <w:t>项目与“三线一单”符合性分析</w:t>
      </w:r>
      <w:r>
        <w:rPr>
          <w:rFonts w:hint="eastAsia"/>
          <w:b/>
          <w:bCs/>
          <w:lang w:eastAsia="zh-CN"/>
        </w:rPr>
        <w:t>结论</w:t>
      </w:r>
    </w:p>
    <w:p>
      <w:pPr>
        <w:bidi w:val="0"/>
        <w:rPr>
          <w:rFonts w:hint="eastAsia"/>
          <w:lang w:val="en-US" w:eastAsia="zh-CN"/>
        </w:rPr>
      </w:pPr>
      <w:r>
        <w:rPr>
          <w:rFonts w:hint="eastAsia"/>
          <w:lang w:val="en-US" w:eastAsia="zh-CN"/>
        </w:rPr>
        <w:t>项目符合《关于以改善环境质量为核心加强环境影响评价管理的通知》（环评[2016]150号）的环境管理要求。</w:t>
      </w:r>
    </w:p>
    <w:p>
      <w:pPr>
        <w:pStyle w:val="5"/>
      </w:pPr>
      <w:bookmarkStart w:id="17" w:name="_Toc22067"/>
      <w:r>
        <w:rPr>
          <w:rFonts w:hint="eastAsia"/>
        </w:rPr>
        <w:t>1.5关注的主要环境问题及环境影响</w:t>
      </w:r>
      <w:bookmarkEnd w:id="17"/>
    </w:p>
    <w:p>
      <w:pPr>
        <w:ind w:firstLine="480"/>
        <w:rPr>
          <w:rFonts w:hint="eastAsia"/>
          <w:color w:val="auto"/>
          <w:highlight w:val="none"/>
        </w:rPr>
      </w:pPr>
      <w:r>
        <w:rPr>
          <w:rFonts w:hint="eastAsia"/>
          <w:color w:val="auto"/>
          <w:highlight w:val="none"/>
        </w:rPr>
        <w:t>本次环评主要关注的环境问题为施工扰动对水环境的影响，工程建设对生态环境的影响，施工扬尘对大气环境的影响，施工机械噪声和车辆运输噪声对声环境的影响，河道工程施工土石方、施工场地生活垃圾等处置方式，以及污染防治措施可行性等方面的问题。</w:t>
      </w:r>
    </w:p>
    <w:p>
      <w:pPr>
        <w:ind w:firstLine="480"/>
        <w:rPr>
          <w:rFonts w:hint="eastAsia"/>
          <w:color w:val="auto"/>
          <w:highlight w:val="none"/>
        </w:rPr>
      </w:pPr>
      <w:r>
        <w:rPr>
          <w:rFonts w:hint="eastAsia"/>
          <w:color w:val="auto"/>
          <w:highlight w:val="none"/>
        </w:rPr>
        <w:t>本项目运营期无污染物产生和排放，需定期或根据工程损耗情况对建设内容适当维护，项目运营期对区域地表水环境及生态环境的保护和改善起到了正面的积极作用。</w:t>
      </w:r>
    </w:p>
    <w:p>
      <w:pPr>
        <w:pStyle w:val="5"/>
      </w:pPr>
      <w:bookmarkStart w:id="18" w:name="_Toc11418"/>
      <w:r>
        <w:rPr>
          <w:rFonts w:hint="eastAsia"/>
        </w:rPr>
        <w:t>1.6环境影响评价主要结论</w:t>
      </w:r>
      <w:bookmarkEnd w:id="18"/>
    </w:p>
    <w:p>
      <w:pPr>
        <w:ind w:firstLine="480"/>
        <w:rPr>
          <w:color w:val="000000"/>
        </w:rPr>
      </w:pPr>
      <w:r>
        <w:rPr>
          <w:rFonts w:hint="eastAsia"/>
          <w:color w:val="000000"/>
        </w:rPr>
        <w:t>项目建设阶段对区域环境造成的影响可接受，不会影响区域环境功能要求，在认真落实各项污染防治措施的前提下，从生态环境保护及区域环境质量改善的角度分析，项目的建设是可行的。通过采取各项污染防治措施。项目为</w:t>
      </w:r>
      <w:r>
        <w:rPr>
          <w:rFonts w:hint="eastAsia"/>
          <w:color w:val="000000"/>
          <w:lang w:eastAsia="zh-CN"/>
        </w:rPr>
        <w:t>河流</w:t>
      </w:r>
      <w:r>
        <w:rPr>
          <w:rFonts w:hint="eastAsia"/>
          <w:color w:val="000000"/>
        </w:rPr>
        <w:t>生态修复类工程，可有效改善柳河生态环境质量，减少了水污染物面源污染，有利于柳河水质</w:t>
      </w:r>
      <w:r>
        <w:rPr>
          <w:rFonts w:hint="eastAsia"/>
          <w:color w:val="000000"/>
          <w:lang w:eastAsia="zh-CN"/>
        </w:rPr>
        <w:t>稳定达标</w:t>
      </w:r>
      <w:r>
        <w:rPr>
          <w:rFonts w:hint="eastAsia"/>
          <w:color w:val="000000"/>
        </w:rPr>
        <w:t>，环境效益显著，项目具有环境可行性。</w:t>
      </w:r>
    </w:p>
    <w:p>
      <w:pPr>
        <w:ind w:firstLine="480"/>
        <w:rPr>
          <w:color w:val="FF0000"/>
        </w:rPr>
      </w:pPr>
    </w:p>
    <w:p>
      <w:pPr>
        <w:ind w:firstLine="0" w:firstLineChars="0"/>
        <w:sectPr>
          <w:headerReference r:id="rId13" w:type="default"/>
          <w:footerReference r:id="rId14" w:type="default"/>
          <w:pgSz w:w="12359" w:h="17008"/>
          <w:pgMar w:top="1701" w:right="1701" w:bottom="1701" w:left="1701" w:header="1134" w:footer="1134" w:gutter="0"/>
          <w:pgNumType w:start="1"/>
          <w:cols w:space="0" w:num="1"/>
          <w:rtlGutter w:val="0"/>
          <w:docGrid w:linePitch="326" w:charSpace="0"/>
        </w:sectPr>
      </w:pPr>
    </w:p>
    <w:p>
      <w:pPr>
        <w:pStyle w:val="3"/>
        <w:rPr>
          <w:rFonts w:ascii="Times New Roman" w:hAnsi="Times New Roman"/>
        </w:rPr>
      </w:pPr>
      <w:bookmarkStart w:id="19" w:name="_Toc326754939"/>
      <w:bookmarkStart w:id="20" w:name="_Toc286835692"/>
      <w:bookmarkStart w:id="21" w:name="_Toc282959687"/>
      <w:bookmarkStart w:id="22" w:name="_Toc282946117"/>
      <w:bookmarkStart w:id="23" w:name="_Toc286934627"/>
      <w:bookmarkStart w:id="24" w:name="_Toc283110162"/>
      <w:bookmarkStart w:id="25" w:name="_Toc332632534"/>
      <w:bookmarkStart w:id="26" w:name="_Toc470785803"/>
      <w:bookmarkStart w:id="27" w:name="_Toc13956"/>
      <w:r>
        <w:rPr>
          <w:rFonts w:ascii="Times New Roman" w:hAnsi="Times New Roman"/>
        </w:rPr>
        <w:t>第二章 总</w:t>
      </w:r>
      <w:bookmarkEnd w:id="19"/>
      <w:bookmarkEnd w:id="20"/>
      <w:bookmarkEnd w:id="21"/>
      <w:bookmarkEnd w:id="22"/>
      <w:bookmarkEnd w:id="23"/>
      <w:bookmarkEnd w:id="24"/>
      <w:bookmarkEnd w:id="25"/>
      <w:r>
        <w:rPr>
          <w:rFonts w:ascii="Times New Roman" w:hAnsi="Times New Roman"/>
        </w:rPr>
        <w:t>则</w:t>
      </w:r>
      <w:bookmarkEnd w:id="26"/>
      <w:bookmarkEnd w:id="27"/>
    </w:p>
    <w:p>
      <w:pPr>
        <w:pStyle w:val="5"/>
      </w:pPr>
      <w:bookmarkStart w:id="28" w:name="_Toc133214833"/>
      <w:bookmarkStart w:id="29" w:name="_Toc282959688"/>
      <w:bookmarkStart w:id="30" w:name="_Toc283110163"/>
      <w:bookmarkStart w:id="31" w:name="_Toc282946118"/>
      <w:bookmarkStart w:id="32" w:name="_Toc332632535"/>
      <w:bookmarkStart w:id="33" w:name="_Toc204682568"/>
      <w:bookmarkStart w:id="34" w:name="_Toc215837081"/>
      <w:bookmarkStart w:id="35" w:name="_Toc24446994"/>
      <w:bookmarkStart w:id="36" w:name="_Toc103309842"/>
      <w:bookmarkStart w:id="37" w:name="_Toc470785804"/>
      <w:bookmarkStart w:id="38" w:name="_Toc38592475"/>
      <w:bookmarkStart w:id="39" w:name="_Toc269200617"/>
      <w:bookmarkStart w:id="40" w:name="_Toc286835693"/>
      <w:bookmarkStart w:id="41" w:name="_Toc326754940"/>
      <w:bookmarkStart w:id="42" w:name="_Toc12308"/>
      <w:bookmarkStart w:id="43" w:name="_Toc286934628"/>
      <w:bookmarkStart w:id="44" w:name="_Toc184633898"/>
      <w:r>
        <w:t>2.1 评价依据</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pPr>
        <w:pStyle w:val="6"/>
      </w:pPr>
      <w:bookmarkStart w:id="45" w:name="_Toc470785805"/>
      <w:bookmarkStart w:id="46" w:name="_Toc356"/>
      <w:r>
        <w:t>2.1.1 国家相关法律、法规</w:t>
      </w:r>
      <w:bookmarkEnd w:id="45"/>
      <w:r>
        <w:t>、文件</w:t>
      </w:r>
      <w:bookmarkEnd w:id="46"/>
    </w:p>
    <w:p>
      <w:pPr>
        <w:bidi w:val="0"/>
        <w:rPr>
          <w:rFonts w:hint="eastAsia"/>
        </w:rPr>
      </w:pPr>
      <w:bookmarkStart w:id="47" w:name="_Toc470785806"/>
      <w:r>
        <w:rPr>
          <w:rFonts w:hint="eastAsia"/>
        </w:rPr>
        <w:t>（1）《中华人民共和国环境保护法》（自2015年1月1日起实行）；</w:t>
      </w:r>
    </w:p>
    <w:p>
      <w:pPr>
        <w:bidi w:val="0"/>
        <w:rPr>
          <w:rFonts w:hint="eastAsia"/>
        </w:rPr>
      </w:pPr>
      <w:r>
        <w:rPr>
          <w:rFonts w:hint="eastAsia"/>
        </w:rPr>
        <w:t>（2）《中华人民共和国环境影响评价法（第二次修订）》，2019年1月11日；；</w:t>
      </w:r>
    </w:p>
    <w:p>
      <w:pPr>
        <w:bidi w:val="0"/>
        <w:rPr>
          <w:rFonts w:hint="eastAsia"/>
        </w:rPr>
      </w:pPr>
      <w:r>
        <w:rPr>
          <w:rFonts w:hint="eastAsia"/>
        </w:rPr>
        <w:t>（3）《中华人民共和国大气污染防治法》（2018年10月26日修正）；</w:t>
      </w:r>
    </w:p>
    <w:p>
      <w:pPr>
        <w:bidi w:val="0"/>
        <w:rPr>
          <w:rFonts w:hint="eastAsia"/>
        </w:rPr>
      </w:pPr>
      <w:r>
        <w:rPr>
          <w:rFonts w:hint="eastAsia"/>
        </w:rPr>
        <w:t>（4）《中华人民共和国水污染防治法》（自2018年1月1日起施行）；</w:t>
      </w:r>
    </w:p>
    <w:p>
      <w:pPr>
        <w:bidi w:val="0"/>
        <w:rPr>
          <w:rFonts w:hint="eastAsia"/>
        </w:rPr>
      </w:pPr>
      <w:r>
        <w:rPr>
          <w:rFonts w:hint="eastAsia"/>
        </w:rPr>
        <w:t>（5）《中华人民共和国噪声污染防治法》（20</w:t>
      </w:r>
      <w:r>
        <w:rPr>
          <w:rFonts w:hint="eastAsia"/>
          <w:lang w:val="en-US" w:eastAsia="zh-CN"/>
        </w:rPr>
        <w:t>22</w:t>
      </w:r>
      <w:r>
        <w:rPr>
          <w:rFonts w:hint="eastAsia"/>
        </w:rPr>
        <w:t>年</w:t>
      </w:r>
      <w:r>
        <w:rPr>
          <w:rFonts w:hint="eastAsia"/>
          <w:lang w:val="en-US" w:eastAsia="zh-CN"/>
        </w:rPr>
        <w:t>6</w:t>
      </w:r>
      <w:r>
        <w:rPr>
          <w:rFonts w:hint="eastAsia"/>
        </w:rPr>
        <w:t>月</w:t>
      </w:r>
      <w:r>
        <w:rPr>
          <w:rFonts w:hint="eastAsia"/>
          <w:lang w:val="en-US" w:eastAsia="zh-CN"/>
        </w:rPr>
        <w:t>5</w:t>
      </w:r>
      <w:r>
        <w:rPr>
          <w:rFonts w:hint="eastAsia"/>
        </w:rPr>
        <w:t>日</w:t>
      </w:r>
      <w:r>
        <w:rPr>
          <w:rFonts w:hint="eastAsia"/>
          <w:lang w:eastAsia="zh-CN"/>
        </w:rPr>
        <w:t>起实施</w:t>
      </w:r>
      <w:r>
        <w:rPr>
          <w:rFonts w:hint="eastAsia"/>
        </w:rPr>
        <w:t>）；</w:t>
      </w:r>
    </w:p>
    <w:p>
      <w:pPr>
        <w:bidi w:val="0"/>
        <w:rPr>
          <w:rFonts w:hint="eastAsia"/>
        </w:rPr>
      </w:pPr>
      <w:r>
        <w:rPr>
          <w:rFonts w:hint="eastAsia"/>
        </w:rPr>
        <w:t>（6）《中华人民共和国固体废物污染环境防治法》（自2020年9月1日起施行）；</w:t>
      </w:r>
    </w:p>
    <w:p>
      <w:pPr>
        <w:bidi w:val="0"/>
        <w:rPr>
          <w:rFonts w:hint="eastAsia"/>
        </w:rPr>
      </w:pPr>
      <w:r>
        <w:rPr>
          <w:rFonts w:hint="eastAsia"/>
        </w:rPr>
        <w:t>（7）《中华人民共和国土壤污染防治法》（2019年1月1日起施行）；</w:t>
      </w:r>
    </w:p>
    <w:p>
      <w:pPr>
        <w:bidi w:val="0"/>
        <w:rPr>
          <w:rFonts w:hint="eastAsia"/>
        </w:rPr>
      </w:pPr>
      <w:r>
        <w:rPr>
          <w:rFonts w:hint="eastAsia"/>
        </w:rPr>
        <w:t>（8）《中华人民共和国防洪法》（2016年7月2日）；</w:t>
      </w:r>
    </w:p>
    <w:p>
      <w:pPr>
        <w:bidi w:val="0"/>
        <w:rPr>
          <w:rFonts w:hint="eastAsia"/>
        </w:rPr>
      </w:pPr>
      <w:r>
        <w:rPr>
          <w:rFonts w:hint="eastAsia"/>
        </w:rPr>
        <w:t>（9）《中华人民共和国水土保持法》（自2011年3月1日起施行）；</w:t>
      </w:r>
    </w:p>
    <w:p>
      <w:pPr>
        <w:bidi w:val="0"/>
        <w:rPr>
          <w:rFonts w:hint="eastAsia"/>
        </w:rPr>
      </w:pPr>
      <w:r>
        <w:rPr>
          <w:rFonts w:hint="eastAsia"/>
        </w:rPr>
        <w:t>（10）《中华人民共和国河道管理条例》（2017年3月1日）；；</w:t>
      </w:r>
    </w:p>
    <w:p>
      <w:pPr>
        <w:bidi w:val="0"/>
        <w:rPr>
          <w:rFonts w:hint="eastAsia"/>
        </w:rPr>
      </w:pPr>
      <w:r>
        <w:rPr>
          <w:rFonts w:hint="eastAsia"/>
        </w:rPr>
        <w:t>（11）《中华人民共和国水法》（2016年7月2日修改）；</w:t>
      </w:r>
    </w:p>
    <w:p>
      <w:pPr>
        <w:bidi w:val="0"/>
        <w:rPr>
          <w:rFonts w:hint="eastAsia"/>
          <w:lang w:eastAsia="zh-CN"/>
        </w:rPr>
      </w:pPr>
      <w:r>
        <w:rPr>
          <w:rFonts w:hint="eastAsia"/>
        </w:rPr>
        <w:t>（12）《中华人民共和国森林法》（2020年7月1日起施行）</w:t>
      </w:r>
      <w:r>
        <w:rPr>
          <w:rFonts w:hint="eastAsia"/>
          <w:lang w:eastAsia="zh-CN"/>
        </w:rPr>
        <w:t>；</w:t>
      </w:r>
    </w:p>
    <w:p>
      <w:pPr>
        <w:bidi w:val="0"/>
        <w:rPr>
          <w:rFonts w:hint="eastAsia"/>
        </w:rPr>
      </w:pPr>
      <w:r>
        <w:rPr>
          <w:rFonts w:hint="eastAsia"/>
        </w:rPr>
        <w:t>（13）《中华人民共和国循环经济促进法》（2018年10月26日修正）；</w:t>
      </w:r>
    </w:p>
    <w:p>
      <w:pPr>
        <w:bidi w:val="0"/>
        <w:rPr>
          <w:rFonts w:hint="eastAsia"/>
        </w:rPr>
      </w:pPr>
      <w:r>
        <w:rPr>
          <w:rFonts w:hint="eastAsia"/>
        </w:rPr>
        <w:t>（14）《中华人民共和国节约能源法》（修订）（2018年10月26日实施）；</w:t>
      </w:r>
    </w:p>
    <w:p>
      <w:pPr>
        <w:bidi w:val="0"/>
        <w:rPr>
          <w:rFonts w:hint="eastAsia" w:eastAsia="宋体"/>
          <w:lang w:eastAsia="zh-CN"/>
        </w:rPr>
      </w:pPr>
      <w:r>
        <w:rPr>
          <w:rFonts w:hint="eastAsia"/>
        </w:rPr>
        <w:t>（15）《中华人民共和国野生动物保护法》（2018年10月26日修正）</w:t>
      </w:r>
      <w:r>
        <w:rPr>
          <w:rFonts w:hint="eastAsia"/>
          <w:lang w:eastAsia="zh-CN"/>
        </w:rPr>
        <w:t>。</w:t>
      </w:r>
    </w:p>
    <w:bookmarkEnd w:id="47"/>
    <w:p>
      <w:pPr>
        <w:pStyle w:val="6"/>
        <w:rPr>
          <w:rFonts w:ascii="Times New Roman" w:hAnsi="Times New Roman" w:eastAsia="宋体" w:cs="Times New Roman"/>
          <w:color w:val="000000" w:themeColor="text1"/>
          <w14:textFill>
            <w14:solidFill>
              <w14:schemeClr w14:val="tx1"/>
            </w14:solidFill>
          </w14:textFill>
        </w:rPr>
      </w:pPr>
      <w:bookmarkStart w:id="48" w:name="_Toc1960"/>
      <w:bookmarkStart w:id="49" w:name="_Toc29475"/>
      <w:bookmarkStart w:id="50" w:name="_Toc470785808"/>
      <w:r>
        <w:rPr>
          <w:rFonts w:hint="eastAsia" w:ascii="Times New Roman" w:hAnsi="Times New Roman" w:eastAsia="宋体" w:cs="Times New Roman"/>
          <w:color w:val="000000" w:themeColor="text1"/>
          <w:lang w:val="en-US" w:eastAsia="zh-CN"/>
          <w14:textFill>
            <w14:solidFill>
              <w14:schemeClr w14:val="tx1"/>
            </w14:solidFill>
          </w14:textFill>
        </w:rPr>
        <w:t xml:space="preserve">2.1.2 </w:t>
      </w:r>
      <w:r>
        <w:rPr>
          <w:rFonts w:hint="eastAsia" w:ascii="Times New Roman" w:hAnsi="Times New Roman" w:eastAsia="宋体" w:cs="Times New Roman"/>
          <w:color w:val="000000" w:themeColor="text1"/>
          <w14:textFill>
            <w14:solidFill>
              <w14:schemeClr w14:val="tx1"/>
            </w14:solidFill>
          </w14:textFill>
        </w:rPr>
        <w:t>行政法规、决定、命令</w:t>
      </w:r>
      <w:bookmarkEnd w:id="48"/>
      <w:bookmarkEnd w:id="49"/>
    </w:p>
    <w:p>
      <w:pPr>
        <w:pStyle w:val="33"/>
        <w:numPr>
          <w:ilvl w:val="0"/>
          <w:numId w:val="5"/>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《建设项目环境保护管理条例》（自</w:t>
      </w:r>
      <w:r>
        <w:rPr>
          <w:color w:val="000000" w:themeColor="text1"/>
          <w:sz w:val="24"/>
          <w:szCs w:val="24"/>
          <w14:textFill>
            <w14:solidFill>
              <w14:schemeClr w14:val="tx1"/>
            </w14:solidFill>
          </w14:textFill>
        </w:rPr>
        <w:t>2017</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10</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日起施行）；</w:t>
      </w:r>
    </w:p>
    <w:p>
      <w:pPr>
        <w:pStyle w:val="33"/>
        <w:numPr>
          <w:ilvl w:val="0"/>
          <w:numId w:val="5"/>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《地下水管理条例》（自</w:t>
      </w:r>
      <w:r>
        <w:rPr>
          <w:color w:val="000000" w:themeColor="text1"/>
          <w:sz w:val="24"/>
          <w:szCs w:val="24"/>
          <w14:textFill>
            <w14:solidFill>
              <w14:schemeClr w14:val="tx1"/>
            </w14:solidFill>
          </w14:textFill>
        </w:rPr>
        <w:t>2021</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12</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日起施行）；</w:t>
      </w:r>
    </w:p>
    <w:p>
      <w:pPr>
        <w:pStyle w:val="33"/>
        <w:numPr>
          <w:ilvl w:val="0"/>
          <w:numId w:val="5"/>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《排污许可管理条例》（自</w:t>
      </w:r>
      <w:r>
        <w:rPr>
          <w:color w:val="000000" w:themeColor="text1"/>
          <w:sz w:val="24"/>
          <w:szCs w:val="24"/>
          <w14:textFill>
            <w14:solidFill>
              <w14:schemeClr w14:val="tx1"/>
            </w14:solidFill>
          </w14:textFill>
        </w:rPr>
        <w:t>2021</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日起施行）；</w:t>
      </w:r>
    </w:p>
    <w:p>
      <w:pPr>
        <w:pStyle w:val="33"/>
        <w:numPr>
          <w:ilvl w:val="0"/>
          <w:numId w:val="5"/>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《国务院关于印发大气污染防治行动计划的通知》（国发</w:t>
      </w:r>
      <w:r>
        <w:rPr>
          <w:color w:val="000000" w:themeColor="text1"/>
          <w:sz w:val="24"/>
          <w:szCs w:val="24"/>
          <w14:textFill>
            <w14:solidFill>
              <w14:schemeClr w14:val="tx1"/>
            </w14:solidFill>
          </w14:textFill>
        </w:rPr>
        <w:t>[2013]37</w:t>
      </w:r>
      <w:r>
        <w:rPr>
          <w:rFonts w:hint="eastAsia"/>
          <w:color w:val="000000" w:themeColor="text1"/>
          <w:sz w:val="24"/>
          <w:szCs w:val="24"/>
          <w14:textFill>
            <w14:solidFill>
              <w14:schemeClr w14:val="tx1"/>
            </w14:solidFill>
          </w14:textFill>
        </w:rPr>
        <w:t>号，</w:t>
      </w:r>
      <w:r>
        <w:rPr>
          <w:color w:val="000000" w:themeColor="text1"/>
          <w:sz w:val="24"/>
          <w:szCs w:val="24"/>
          <w14:textFill>
            <w14:solidFill>
              <w14:schemeClr w14:val="tx1"/>
            </w14:solidFill>
          </w14:textFill>
        </w:rPr>
        <w:t>2013</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9</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10</w:t>
      </w:r>
      <w:r>
        <w:rPr>
          <w:rFonts w:hint="eastAsia"/>
          <w:color w:val="000000" w:themeColor="text1"/>
          <w:sz w:val="24"/>
          <w:szCs w:val="24"/>
          <w14:textFill>
            <w14:solidFill>
              <w14:schemeClr w14:val="tx1"/>
            </w14:solidFill>
          </w14:textFill>
        </w:rPr>
        <w:t>日实施）；</w:t>
      </w:r>
    </w:p>
    <w:p>
      <w:pPr>
        <w:pStyle w:val="33"/>
        <w:numPr>
          <w:ilvl w:val="0"/>
          <w:numId w:val="5"/>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《国务院关于印发水污染防治行动计划的通知》（国发</w:t>
      </w:r>
      <w:r>
        <w:rPr>
          <w:color w:val="000000" w:themeColor="text1"/>
          <w:sz w:val="24"/>
          <w:szCs w:val="24"/>
          <w14:textFill>
            <w14:solidFill>
              <w14:schemeClr w14:val="tx1"/>
            </w14:solidFill>
          </w14:textFill>
        </w:rPr>
        <w:t>[2015]17</w:t>
      </w:r>
      <w:r>
        <w:rPr>
          <w:rFonts w:hint="eastAsia"/>
          <w:color w:val="000000" w:themeColor="text1"/>
          <w:sz w:val="24"/>
          <w:szCs w:val="24"/>
          <w14:textFill>
            <w14:solidFill>
              <w14:schemeClr w14:val="tx1"/>
            </w14:solidFill>
          </w14:textFill>
        </w:rPr>
        <w:t>号，</w:t>
      </w:r>
      <w:r>
        <w:rPr>
          <w:color w:val="000000" w:themeColor="text1"/>
          <w:sz w:val="24"/>
          <w:szCs w:val="24"/>
          <w14:textFill>
            <w14:solidFill>
              <w14:schemeClr w14:val="tx1"/>
            </w14:solidFill>
          </w14:textFill>
        </w:rPr>
        <w:t>2015</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日实施）；</w:t>
      </w:r>
    </w:p>
    <w:p>
      <w:pPr>
        <w:pStyle w:val="33"/>
        <w:numPr>
          <w:ilvl w:val="0"/>
          <w:numId w:val="5"/>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《国务院关于印发土壤污染防治行动计划的通知》（国发</w:t>
      </w:r>
      <w:r>
        <w:rPr>
          <w:color w:val="000000" w:themeColor="text1"/>
          <w:sz w:val="24"/>
          <w:szCs w:val="24"/>
          <w14:textFill>
            <w14:solidFill>
              <w14:schemeClr w14:val="tx1"/>
            </w14:solidFill>
          </w14:textFill>
        </w:rPr>
        <w:t>[2016]31</w:t>
      </w:r>
      <w:r>
        <w:rPr>
          <w:rFonts w:hint="eastAsia"/>
          <w:color w:val="000000" w:themeColor="text1"/>
          <w:sz w:val="24"/>
          <w:szCs w:val="24"/>
          <w14:textFill>
            <w14:solidFill>
              <w14:schemeClr w14:val="tx1"/>
            </w14:solidFill>
          </w14:textFill>
        </w:rPr>
        <w:t>号，</w:t>
      </w:r>
      <w:r>
        <w:rPr>
          <w:color w:val="000000" w:themeColor="text1"/>
          <w:sz w:val="24"/>
          <w:szCs w:val="24"/>
          <w14:textFill>
            <w14:solidFill>
              <w14:schemeClr w14:val="tx1"/>
            </w14:solidFill>
          </w14:textFill>
        </w:rPr>
        <w:t>2016</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28</w:t>
      </w:r>
      <w:r>
        <w:rPr>
          <w:rFonts w:hint="eastAsia"/>
          <w:color w:val="000000" w:themeColor="text1"/>
          <w:sz w:val="24"/>
          <w:szCs w:val="24"/>
          <w14:textFill>
            <w14:solidFill>
              <w14:schemeClr w14:val="tx1"/>
            </w14:solidFill>
          </w14:textFill>
        </w:rPr>
        <w:t>日实施）；</w:t>
      </w:r>
    </w:p>
    <w:p>
      <w:pPr>
        <w:snapToGrid/>
        <w:ind w:firstLine="540"/>
        <w:rPr>
          <w:szCs w:val="24"/>
        </w:rPr>
      </w:pPr>
      <w:r>
        <w:rPr>
          <w:szCs w:val="24"/>
        </w:rPr>
        <w:t>（</w:t>
      </w:r>
      <w:r>
        <w:rPr>
          <w:rFonts w:hint="eastAsia"/>
          <w:szCs w:val="24"/>
          <w:lang w:val="en-US" w:eastAsia="zh-CN"/>
        </w:rPr>
        <w:t>7</w:t>
      </w:r>
      <w:r>
        <w:rPr>
          <w:szCs w:val="24"/>
        </w:rPr>
        <w:t>）《关于切实加强风险防范严格环境影响评价管理的通知》（环发[2012]98号）；</w:t>
      </w:r>
    </w:p>
    <w:p>
      <w:pPr>
        <w:snapToGrid/>
        <w:ind w:firstLine="540"/>
        <w:rPr>
          <w:szCs w:val="24"/>
        </w:rPr>
      </w:pPr>
      <w:r>
        <w:rPr>
          <w:szCs w:val="24"/>
        </w:rPr>
        <w:t>（</w:t>
      </w:r>
      <w:r>
        <w:rPr>
          <w:rFonts w:hint="eastAsia"/>
          <w:szCs w:val="24"/>
          <w:lang w:val="en-US" w:eastAsia="zh-CN"/>
        </w:rPr>
        <w:t>8</w:t>
      </w:r>
      <w:r>
        <w:rPr>
          <w:szCs w:val="24"/>
        </w:rPr>
        <w:t>）《国务院关于印发水污染防治行动计划的通知》（国发[2015]17号）；</w:t>
      </w:r>
    </w:p>
    <w:p>
      <w:pPr>
        <w:snapToGrid/>
        <w:ind w:firstLine="540"/>
        <w:rPr>
          <w:szCs w:val="24"/>
        </w:rPr>
      </w:pPr>
      <w:r>
        <w:rPr>
          <w:szCs w:val="24"/>
        </w:rPr>
        <w:t>（</w:t>
      </w:r>
      <w:r>
        <w:rPr>
          <w:rFonts w:hint="eastAsia"/>
          <w:szCs w:val="24"/>
          <w:lang w:val="en-US" w:eastAsia="zh-CN"/>
        </w:rPr>
        <w:t>9</w:t>
      </w:r>
      <w:r>
        <w:rPr>
          <w:szCs w:val="24"/>
        </w:rPr>
        <w:t>）关于印发《京津冀及周边地区落实大气污染防治行动计划实施细则》的通知（环发[2013]104号）；</w:t>
      </w:r>
    </w:p>
    <w:p>
      <w:pPr>
        <w:snapToGrid/>
        <w:ind w:firstLine="540"/>
        <w:rPr>
          <w:szCs w:val="24"/>
        </w:rPr>
      </w:pPr>
      <w:r>
        <w:rPr>
          <w:szCs w:val="24"/>
        </w:rPr>
        <w:t>（</w:t>
      </w:r>
      <w:r>
        <w:rPr>
          <w:rFonts w:hint="eastAsia"/>
          <w:szCs w:val="24"/>
          <w:lang w:val="en-US" w:eastAsia="zh-CN"/>
        </w:rPr>
        <w:t>10</w:t>
      </w:r>
      <w:r>
        <w:rPr>
          <w:szCs w:val="24"/>
        </w:rPr>
        <w:t>）《以改善环境质量为核心加强环境影响评价管理的通知》（环环评[2016]150号）；</w:t>
      </w:r>
    </w:p>
    <w:p>
      <w:pPr>
        <w:snapToGrid/>
        <w:ind w:firstLine="540"/>
        <w:rPr>
          <w:color w:val="000000" w:themeColor="text1"/>
          <w:sz w:val="24"/>
          <w:szCs w:val="24"/>
          <w14:textFill>
            <w14:solidFill>
              <w14:schemeClr w14:val="tx1"/>
            </w14:solidFill>
          </w14:textFill>
        </w:rPr>
      </w:pPr>
      <w:r>
        <w:rPr>
          <w:szCs w:val="24"/>
        </w:rPr>
        <w:t>（</w:t>
      </w:r>
      <w:r>
        <w:rPr>
          <w:rFonts w:hint="eastAsia"/>
          <w:szCs w:val="24"/>
          <w:lang w:val="en-US" w:eastAsia="zh-CN"/>
        </w:rPr>
        <w:t>11</w:t>
      </w:r>
      <w:r>
        <w:rPr>
          <w:szCs w:val="24"/>
        </w:rPr>
        <w:t>）《国务院关于加强环境保护重点工作的意见》（国发[2011]35号）。</w:t>
      </w:r>
    </w:p>
    <w:p>
      <w:pPr>
        <w:pStyle w:val="6"/>
        <w:rPr>
          <w:color w:val="000000" w:themeColor="text1"/>
          <w14:textFill>
            <w14:solidFill>
              <w14:schemeClr w14:val="tx1"/>
            </w14:solidFill>
          </w14:textFill>
        </w:rPr>
      </w:pPr>
      <w:bookmarkStart w:id="51" w:name="_Toc10677"/>
      <w:bookmarkStart w:id="52" w:name="_Toc6114"/>
      <w:r>
        <w:rPr>
          <w:color w:val="000000" w:themeColor="text1"/>
          <w14:textFill>
            <w14:solidFill>
              <w14:schemeClr w14:val="tx1"/>
            </w14:solidFill>
          </w14:textFill>
        </w:rPr>
        <w:t>2.1.</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部门规章、规范性文件</w:t>
      </w:r>
      <w:bookmarkEnd w:id="51"/>
      <w:bookmarkEnd w:id="52"/>
    </w:p>
    <w:p>
      <w:pPr>
        <w:pStyle w:val="33"/>
        <w:numPr>
          <w:ilvl w:val="0"/>
          <w:numId w:val="6"/>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《建设项目环境影响评价分类管理名录（</w:t>
      </w:r>
      <w:r>
        <w:rPr>
          <w:color w:val="000000" w:themeColor="text1"/>
          <w:sz w:val="24"/>
          <w:szCs w:val="24"/>
          <w14:textFill>
            <w14:solidFill>
              <w14:schemeClr w14:val="tx1"/>
            </w14:solidFill>
          </w14:textFill>
        </w:rPr>
        <w:t>2021</w:t>
      </w:r>
      <w:r>
        <w:rPr>
          <w:rFonts w:hint="eastAsia"/>
          <w:color w:val="000000" w:themeColor="text1"/>
          <w:sz w:val="24"/>
          <w:szCs w:val="24"/>
          <w14:textFill>
            <w14:solidFill>
              <w14:schemeClr w14:val="tx1"/>
            </w14:solidFill>
          </w14:textFill>
        </w:rPr>
        <w:t>年版）》（</w:t>
      </w:r>
      <w:r>
        <w:rPr>
          <w:color w:val="000000" w:themeColor="text1"/>
          <w:sz w:val="24"/>
          <w:szCs w:val="24"/>
          <w14:textFill>
            <w14:solidFill>
              <w14:schemeClr w14:val="tx1"/>
            </w14:solidFill>
          </w14:textFill>
        </w:rPr>
        <w:t>2021</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日起施行）；</w:t>
      </w:r>
    </w:p>
    <w:p>
      <w:pPr>
        <w:pStyle w:val="33"/>
        <w:numPr>
          <w:ilvl w:val="0"/>
          <w:numId w:val="6"/>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《产业结构调整指导目录（</w:t>
      </w:r>
      <w:r>
        <w:rPr>
          <w:color w:val="000000" w:themeColor="text1"/>
          <w:sz w:val="24"/>
          <w:szCs w:val="24"/>
          <w14:textFill>
            <w14:solidFill>
              <w14:schemeClr w14:val="tx1"/>
            </w14:solidFill>
          </w14:textFill>
        </w:rPr>
        <w:t>20</w:t>
      </w:r>
      <w:r>
        <w:rPr>
          <w:rFonts w:hint="eastAsia"/>
          <w:color w:val="000000" w:themeColor="text1"/>
          <w:sz w:val="24"/>
          <w:szCs w:val="24"/>
          <w:lang w:val="en-US" w:eastAsia="zh-CN"/>
          <w14:textFill>
            <w14:solidFill>
              <w14:schemeClr w14:val="tx1"/>
            </w14:solidFill>
          </w14:textFill>
        </w:rPr>
        <w:t>22</w:t>
      </w:r>
      <w:r>
        <w:rPr>
          <w:rFonts w:hint="eastAsia"/>
          <w:color w:val="000000" w:themeColor="text1"/>
          <w:sz w:val="24"/>
          <w:szCs w:val="24"/>
          <w14:textFill>
            <w14:solidFill>
              <w14:schemeClr w14:val="tx1"/>
            </w14:solidFill>
          </w14:textFill>
        </w:rPr>
        <w:t>年本）》</w:t>
      </w:r>
      <w:r>
        <w:rPr>
          <w:color w:val="000000" w:themeColor="text1"/>
          <w:sz w:val="24"/>
          <w:szCs w:val="24"/>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日实施</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w:t>
      </w:r>
    </w:p>
    <w:p>
      <w:pPr>
        <w:pStyle w:val="33"/>
        <w:numPr>
          <w:ilvl w:val="0"/>
          <w:numId w:val="6"/>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《关于做好环境影响评价制度与排污许可制衔接相关工作的通知》</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环办环评</w:t>
      </w:r>
      <w:r>
        <w:rPr>
          <w:color w:val="000000" w:themeColor="text1"/>
          <w:sz w:val="24"/>
          <w:szCs w:val="24"/>
          <w14:textFill>
            <w14:solidFill>
              <w14:schemeClr w14:val="tx1"/>
            </w14:solidFill>
          </w14:textFill>
        </w:rPr>
        <w:t>[2017]84</w:t>
      </w:r>
      <w:r>
        <w:rPr>
          <w:rFonts w:hint="eastAsia"/>
          <w:color w:val="000000" w:themeColor="text1"/>
          <w:sz w:val="24"/>
          <w:szCs w:val="24"/>
          <w14:textFill>
            <w14:solidFill>
              <w14:schemeClr w14:val="tx1"/>
            </w14:solidFill>
          </w14:textFill>
        </w:rPr>
        <w:t>号，</w:t>
      </w:r>
      <w:r>
        <w:rPr>
          <w:color w:val="000000" w:themeColor="text1"/>
          <w:sz w:val="24"/>
          <w:szCs w:val="24"/>
          <w14:textFill>
            <w14:solidFill>
              <w14:schemeClr w14:val="tx1"/>
            </w14:solidFill>
          </w14:textFill>
        </w:rPr>
        <w:t>2017</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11</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14</w:t>
      </w:r>
      <w:r>
        <w:rPr>
          <w:rFonts w:hint="eastAsia"/>
          <w:color w:val="000000" w:themeColor="text1"/>
          <w:sz w:val="24"/>
          <w:szCs w:val="24"/>
          <w14:textFill>
            <w14:solidFill>
              <w14:schemeClr w14:val="tx1"/>
            </w14:solidFill>
          </w14:textFill>
        </w:rPr>
        <w:t>日发布并实施</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w:t>
      </w:r>
    </w:p>
    <w:p>
      <w:pPr>
        <w:pStyle w:val="33"/>
        <w:numPr>
          <w:ilvl w:val="0"/>
          <w:numId w:val="6"/>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《关于印发</w:t>
      </w:r>
      <w:r>
        <w:rPr>
          <w:color w:val="000000" w:themeColor="text1"/>
          <w:sz w:val="24"/>
          <w:szCs w:val="24"/>
          <w14:textFill>
            <w14:solidFill>
              <w14:schemeClr w14:val="tx1"/>
            </w14:solidFill>
          </w14:textFill>
        </w:rPr>
        <w:t>&lt;“</w:t>
      </w:r>
      <w:r>
        <w:rPr>
          <w:rFonts w:hint="eastAsia"/>
          <w:color w:val="000000" w:themeColor="text1"/>
          <w:sz w:val="24"/>
          <w:szCs w:val="24"/>
          <w14:textFill>
            <w14:solidFill>
              <w14:schemeClr w14:val="tx1"/>
            </w14:solidFill>
          </w14:textFill>
        </w:rPr>
        <w:t>十三五</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环境影响评价改革实施方案</w:t>
      </w:r>
      <w:r>
        <w:rPr>
          <w:color w:val="000000" w:themeColor="text1"/>
          <w:sz w:val="24"/>
          <w:szCs w:val="24"/>
          <w14:textFill>
            <w14:solidFill>
              <w14:schemeClr w14:val="tx1"/>
            </w14:solidFill>
          </w14:textFill>
        </w:rPr>
        <w:t>&gt;</w:t>
      </w:r>
      <w:r>
        <w:rPr>
          <w:rFonts w:hint="eastAsia"/>
          <w:color w:val="000000" w:themeColor="text1"/>
          <w:sz w:val="24"/>
          <w:szCs w:val="24"/>
          <w14:textFill>
            <w14:solidFill>
              <w14:schemeClr w14:val="tx1"/>
            </w14:solidFill>
          </w14:textFill>
        </w:rPr>
        <w:t>的通知》（环环评</w:t>
      </w:r>
      <w:r>
        <w:rPr>
          <w:color w:val="000000" w:themeColor="text1"/>
          <w:sz w:val="24"/>
          <w:szCs w:val="24"/>
          <w14:textFill>
            <w14:solidFill>
              <w14:schemeClr w14:val="tx1"/>
            </w14:solidFill>
          </w14:textFill>
        </w:rPr>
        <w:t>[2016]95</w:t>
      </w:r>
      <w:r>
        <w:rPr>
          <w:rFonts w:hint="eastAsia"/>
          <w:color w:val="000000" w:themeColor="text1"/>
          <w:sz w:val="24"/>
          <w:szCs w:val="24"/>
          <w14:textFill>
            <w14:solidFill>
              <w14:schemeClr w14:val="tx1"/>
            </w14:solidFill>
          </w14:textFill>
        </w:rPr>
        <w:t>号，</w:t>
      </w:r>
      <w:r>
        <w:rPr>
          <w:color w:val="000000" w:themeColor="text1"/>
          <w:sz w:val="24"/>
          <w:szCs w:val="24"/>
          <w14:textFill>
            <w14:solidFill>
              <w14:schemeClr w14:val="tx1"/>
            </w14:solidFill>
          </w14:textFill>
        </w:rPr>
        <w:t>2016</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7</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15</w:t>
      </w:r>
      <w:r>
        <w:rPr>
          <w:rFonts w:hint="eastAsia"/>
          <w:color w:val="000000" w:themeColor="text1"/>
          <w:sz w:val="24"/>
          <w:szCs w:val="24"/>
          <w14:textFill>
            <w14:solidFill>
              <w14:schemeClr w14:val="tx1"/>
            </w14:solidFill>
          </w14:textFill>
        </w:rPr>
        <w:t>日发布并实施）；</w:t>
      </w:r>
    </w:p>
    <w:p>
      <w:pPr>
        <w:pStyle w:val="33"/>
        <w:numPr>
          <w:ilvl w:val="0"/>
          <w:numId w:val="6"/>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《关于建设项目主要污染物排放总量指标审核及管理暂行办法的通知》（环发</w:t>
      </w:r>
      <w:r>
        <w:rPr>
          <w:color w:val="000000" w:themeColor="text1"/>
          <w:sz w:val="24"/>
          <w:szCs w:val="24"/>
          <w14:textFill>
            <w14:solidFill>
              <w14:schemeClr w14:val="tx1"/>
            </w14:solidFill>
          </w14:textFill>
        </w:rPr>
        <w:t>[2014]197</w:t>
      </w:r>
      <w:r>
        <w:rPr>
          <w:rFonts w:hint="eastAsia"/>
          <w:color w:val="000000" w:themeColor="text1"/>
          <w:sz w:val="24"/>
          <w:szCs w:val="24"/>
          <w14:textFill>
            <w14:solidFill>
              <w14:schemeClr w14:val="tx1"/>
            </w14:solidFill>
          </w14:textFill>
        </w:rPr>
        <w:t>号，</w:t>
      </w:r>
      <w:r>
        <w:rPr>
          <w:color w:val="000000" w:themeColor="text1"/>
          <w:sz w:val="24"/>
          <w:szCs w:val="24"/>
          <w14:textFill>
            <w14:solidFill>
              <w14:schemeClr w14:val="tx1"/>
            </w14:solidFill>
          </w14:textFill>
        </w:rPr>
        <w:t>2014</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12</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30</w:t>
      </w:r>
      <w:r>
        <w:rPr>
          <w:rFonts w:hint="eastAsia"/>
          <w:color w:val="000000" w:themeColor="text1"/>
          <w:sz w:val="24"/>
          <w:szCs w:val="24"/>
          <w14:textFill>
            <w14:solidFill>
              <w14:schemeClr w14:val="tx1"/>
            </w14:solidFill>
          </w14:textFill>
        </w:rPr>
        <w:t>日发布并实施）；</w:t>
      </w:r>
    </w:p>
    <w:p>
      <w:pPr>
        <w:pStyle w:val="33"/>
        <w:numPr>
          <w:ilvl w:val="0"/>
          <w:numId w:val="6"/>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《关于落实大气污染防治行动计划严格环境影响评价准入的通知》（环办</w:t>
      </w:r>
      <w:r>
        <w:rPr>
          <w:color w:val="000000" w:themeColor="text1"/>
          <w:sz w:val="24"/>
          <w:szCs w:val="24"/>
          <w14:textFill>
            <w14:solidFill>
              <w14:schemeClr w14:val="tx1"/>
            </w14:solidFill>
          </w14:textFill>
        </w:rPr>
        <w:t>[2014]30</w:t>
      </w:r>
      <w:r>
        <w:rPr>
          <w:rFonts w:hint="eastAsia"/>
          <w:color w:val="000000" w:themeColor="text1"/>
          <w:sz w:val="24"/>
          <w:szCs w:val="24"/>
          <w14:textFill>
            <w14:solidFill>
              <w14:schemeClr w14:val="tx1"/>
            </w14:solidFill>
          </w14:textFill>
        </w:rPr>
        <w:t>号，</w:t>
      </w:r>
      <w:r>
        <w:rPr>
          <w:color w:val="000000" w:themeColor="text1"/>
          <w:sz w:val="24"/>
          <w:szCs w:val="24"/>
          <w14:textFill>
            <w14:solidFill>
              <w14:schemeClr w14:val="tx1"/>
            </w14:solidFill>
          </w14:textFill>
        </w:rPr>
        <w:t>2014</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25</w:t>
      </w:r>
      <w:r>
        <w:rPr>
          <w:rFonts w:hint="eastAsia"/>
          <w:color w:val="000000" w:themeColor="text1"/>
          <w:sz w:val="24"/>
          <w:szCs w:val="24"/>
          <w14:textFill>
            <w14:solidFill>
              <w14:schemeClr w14:val="tx1"/>
            </w14:solidFill>
          </w14:textFill>
        </w:rPr>
        <w:t>日发布并实施）</w:t>
      </w:r>
      <w:r>
        <w:rPr>
          <w:rFonts w:hint="eastAsia"/>
          <w:color w:val="000000" w:themeColor="text1"/>
          <w:sz w:val="24"/>
          <w:szCs w:val="24"/>
          <w:lang w:eastAsia="zh-CN"/>
          <w14:textFill>
            <w14:solidFill>
              <w14:schemeClr w14:val="tx1"/>
            </w14:solidFill>
          </w14:textFill>
        </w:rPr>
        <w:t>。</w:t>
      </w:r>
    </w:p>
    <w:p>
      <w:pPr>
        <w:pStyle w:val="6"/>
        <w:rPr>
          <w:color w:val="000000" w:themeColor="text1"/>
          <w14:textFill>
            <w14:solidFill>
              <w14:schemeClr w14:val="tx1"/>
            </w14:solidFill>
          </w14:textFill>
        </w:rPr>
      </w:pPr>
      <w:bookmarkStart w:id="53" w:name="_Toc30520"/>
      <w:bookmarkStart w:id="54" w:name="_Toc31409"/>
      <w:r>
        <w:rPr>
          <w:color w:val="000000" w:themeColor="text1"/>
          <w14:textFill>
            <w14:solidFill>
              <w14:schemeClr w14:val="tx1"/>
            </w14:solidFill>
          </w14:textFill>
        </w:rPr>
        <w:t>2.1.</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 xml:space="preserve"> </w:t>
      </w:r>
      <w:bookmarkStart w:id="55" w:name="_Toc1459"/>
      <w:r>
        <w:rPr>
          <w:rFonts w:hint="eastAsia"/>
          <w:color w:val="000000" w:themeColor="text1"/>
          <w14:textFill>
            <w14:solidFill>
              <w14:schemeClr w14:val="tx1"/>
            </w14:solidFill>
          </w14:textFill>
        </w:rPr>
        <w:t>地方性法规、规章</w:t>
      </w:r>
      <w:bookmarkEnd w:id="55"/>
      <w:r>
        <w:rPr>
          <w:rFonts w:hint="eastAsia"/>
          <w:color w:val="000000" w:themeColor="text1"/>
          <w14:textFill>
            <w14:solidFill>
              <w14:schemeClr w14:val="tx1"/>
            </w14:solidFill>
          </w14:textFill>
        </w:rPr>
        <w:t>、规范性文件</w:t>
      </w:r>
      <w:bookmarkEnd w:id="53"/>
      <w:bookmarkEnd w:id="54"/>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《河北省土壤污染防治条例》（自</w:t>
      </w:r>
      <w:r>
        <w:rPr>
          <w:color w:val="000000" w:themeColor="text1"/>
          <w:sz w:val="24"/>
          <w:szCs w:val="24"/>
          <w14:textFill>
            <w14:solidFill>
              <w14:schemeClr w14:val="tx1"/>
            </w14:solidFill>
          </w14:textFill>
        </w:rPr>
        <w:t>2022</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日起施行）；</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《河北省大气污染防治条例》（</w:t>
      </w:r>
      <w:r>
        <w:rPr>
          <w:color w:val="000000" w:themeColor="text1"/>
          <w:sz w:val="24"/>
          <w:szCs w:val="24"/>
          <w14:textFill>
            <w14:solidFill>
              <w14:schemeClr w14:val="tx1"/>
            </w14:solidFill>
          </w14:textFill>
        </w:rPr>
        <w:t>2021</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9</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29</w:t>
      </w:r>
      <w:r>
        <w:rPr>
          <w:rFonts w:hint="eastAsia"/>
          <w:color w:val="000000" w:themeColor="text1"/>
          <w:sz w:val="24"/>
          <w:szCs w:val="24"/>
          <w14:textFill>
            <w14:solidFill>
              <w14:schemeClr w14:val="tx1"/>
            </w14:solidFill>
          </w14:textFill>
        </w:rPr>
        <w:t>日修正）；</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《河北省环境保护公众参与条例》（</w:t>
      </w:r>
      <w:r>
        <w:rPr>
          <w:color w:val="000000" w:themeColor="text1"/>
          <w:sz w:val="24"/>
          <w:szCs w:val="24"/>
          <w14:textFill>
            <w14:solidFill>
              <w14:schemeClr w14:val="tx1"/>
            </w14:solidFill>
          </w14:textFill>
        </w:rPr>
        <w:t>2020</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7</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30</w:t>
      </w:r>
      <w:r>
        <w:rPr>
          <w:rFonts w:hint="eastAsia"/>
          <w:color w:val="000000" w:themeColor="text1"/>
          <w:sz w:val="24"/>
          <w:szCs w:val="24"/>
          <w14:textFill>
            <w14:solidFill>
              <w14:schemeClr w14:val="tx1"/>
            </w14:solidFill>
          </w14:textFill>
        </w:rPr>
        <w:t>日修正）</w:t>
      </w:r>
      <w:r>
        <w:rPr>
          <w:color w:val="000000" w:themeColor="text1"/>
          <w:sz w:val="24"/>
          <w:szCs w:val="24"/>
          <w14:textFill>
            <w14:solidFill>
              <w14:schemeClr w14:val="tx1"/>
            </w14:solidFill>
          </w14:textFill>
        </w:rPr>
        <w:t>;</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《河北省生态环境保护条例》（自</w:t>
      </w:r>
      <w:r>
        <w:rPr>
          <w:color w:val="000000" w:themeColor="text1"/>
          <w:sz w:val="24"/>
          <w:szCs w:val="24"/>
          <w14:textFill>
            <w14:solidFill>
              <w14:schemeClr w14:val="tx1"/>
            </w14:solidFill>
          </w14:textFill>
        </w:rPr>
        <w:t>2020</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7</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日起施行）；</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《河北省扬尘污染防治办法》（自</w:t>
      </w:r>
      <w:r>
        <w:rPr>
          <w:color w:val="000000" w:themeColor="text1"/>
          <w:sz w:val="24"/>
          <w:szCs w:val="24"/>
          <w14:textFill>
            <w14:solidFill>
              <w14:schemeClr w14:val="tx1"/>
            </w14:solidFill>
          </w14:textFill>
        </w:rPr>
        <w:t>2020</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日起施行）；</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《河北省地下水管理条例》（自</w:t>
      </w:r>
      <w:r>
        <w:rPr>
          <w:color w:val="000000" w:themeColor="text1"/>
          <w:sz w:val="24"/>
          <w:szCs w:val="24"/>
          <w14:textFill>
            <w14:solidFill>
              <w14:schemeClr w14:val="tx1"/>
            </w14:solidFill>
          </w14:textFill>
        </w:rPr>
        <w:t>2018</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11</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日起施行）；</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《河北省人民代表大会常务委员会关于加强扬尘污染防治的决定》（</w:t>
      </w:r>
      <w:r>
        <w:rPr>
          <w:color w:val="000000" w:themeColor="text1"/>
          <w:sz w:val="24"/>
          <w:szCs w:val="24"/>
          <w14:textFill>
            <w14:solidFill>
              <w14:schemeClr w14:val="tx1"/>
            </w14:solidFill>
          </w14:textFill>
        </w:rPr>
        <w:t>2018</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11</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日起施行）；</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《河北省水污染防治条例》（自</w:t>
      </w:r>
      <w:r>
        <w:rPr>
          <w:color w:val="000000" w:themeColor="text1"/>
          <w:sz w:val="24"/>
          <w:szCs w:val="24"/>
          <w14:textFill>
            <w14:solidFill>
              <w14:schemeClr w14:val="tx1"/>
            </w14:solidFill>
          </w14:textFill>
        </w:rPr>
        <w:t>2018</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9</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日起施行）；</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《河北省固体废物污染环境防治条例》（</w:t>
      </w:r>
      <w:r>
        <w:rPr>
          <w:color w:val="000000" w:themeColor="text1"/>
          <w:sz w:val="24"/>
          <w:szCs w:val="24"/>
          <w14:textFill>
            <w14:solidFill>
              <w14:schemeClr w14:val="tx1"/>
            </w14:solidFill>
          </w14:textFill>
        </w:rPr>
        <w:t>2015</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6</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日起施行）；</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《河北省人民政府关于印发河北省打赢蓝天保卫战三年行动方案的通知》</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冀政发</w:t>
      </w:r>
      <w:r>
        <w:rPr>
          <w:color w:val="000000" w:themeColor="text1"/>
          <w:sz w:val="24"/>
          <w:szCs w:val="24"/>
          <w14:textFill>
            <w14:solidFill>
              <w14:schemeClr w14:val="tx1"/>
            </w14:solidFill>
          </w14:textFill>
        </w:rPr>
        <w:t>[2018]18</w:t>
      </w:r>
      <w:r>
        <w:rPr>
          <w:rFonts w:hint="eastAsia"/>
          <w:color w:val="000000" w:themeColor="text1"/>
          <w:sz w:val="24"/>
          <w:szCs w:val="24"/>
          <w14:textFill>
            <w14:solidFill>
              <w14:schemeClr w14:val="tx1"/>
            </w14:solidFill>
          </w14:textFill>
        </w:rPr>
        <w:t>号</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《河北省人民政府关于发布</w:t>
      </w:r>
      <w:r>
        <w:rPr>
          <w:color w:val="000000" w:themeColor="text1"/>
          <w:sz w:val="24"/>
          <w:szCs w:val="24"/>
          <w14:textFill>
            <w14:solidFill>
              <w14:schemeClr w14:val="tx1"/>
            </w14:solidFill>
          </w14:textFill>
        </w:rPr>
        <w:t>&lt;</w:t>
      </w:r>
      <w:r>
        <w:rPr>
          <w:rFonts w:hint="eastAsia"/>
          <w:color w:val="000000" w:themeColor="text1"/>
          <w:sz w:val="24"/>
          <w:szCs w:val="24"/>
          <w14:textFill>
            <w14:solidFill>
              <w14:schemeClr w14:val="tx1"/>
            </w14:solidFill>
          </w14:textFill>
        </w:rPr>
        <w:t>河北省生态保护红线</w:t>
      </w:r>
      <w:r>
        <w:rPr>
          <w:color w:val="000000" w:themeColor="text1"/>
          <w:sz w:val="24"/>
          <w:szCs w:val="24"/>
          <w14:textFill>
            <w14:solidFill>
              <w14:schemeClr w14:val="tx1"/>
            </w14:solidFill>
          </w14:textFill>
        </w:rPr>
        <w:t>&gt;</w:t>
      </w:r>
      <w:r>
        <w:rPr>
          <w:rFonts w:hint="eastAsia"/>
          <w:color w:val="000000" w:themeColor="text1"/>
          <w:sz w:val="24"/>
          <w:szCs w:val="24"/>
          <w14:textFill>
            <w14:solidFill>
              <w14:schemeClr w14:val="tx1"/>
            </w14:solidFill>
          </w14:textFill>
        </w:rPr>
        <w:t>的通知》</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省政府办公厅，</w:t>
      </w:r>
      <w:r>
        <w:rPr>
          <w:color w:val="000000" w:themeColor="text1"/>
          <w:sz w:val="24"/>
          <w:szCs w:val="24"/>
          <w14:textFill>
            <w14:solidFill>
              <w14:schemeClr w14:val="tx1"/>
            </w14:solidFill>
          </w14:textFill>
        </w:rPr>
        <w:t>2018</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6</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30</w:t>
      </w:r>
      <w:r>
        <w:rPr>
          <w:rFonts w:hint="eastAsia"/>
          <w:color w:val="000000" w:themeColor="text1"/>
          <w:sz w:val="24"/>
          <w:szCs w:val="24"/>
          <w14:textFill>
            <w14:solidFill>
              <w14:schemeClr w14:val="tx1"/>
            </w14:solidFill>
          </w14:textFill>
        </w:rPr>
        <w:t>日发布</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《中共河北省委</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河北省人民政府</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关于印发</w:t>
      </w:r>
      <w:r>
        <w:rPr>
          <w:color w:val="000000" w:themeColor="text1"/>
          <w:sz w:val="24"/>
          <w:szCs w:val="24"/>
          <w14:textFill>
            <w14:solidFill>
              <w14:schemeClr w14:val="tx1"/>
            </w14:solidFill>
          </w14:textFill>
        </w:rPr>
        <w:t>&lt;</w:t>
      </w:r>
      <w:r>
        <w:rPr>
          <w:rFonts w:hint="eastAsia"/>
          <w:color w:val="000000" w:themeColor="text1"/>
          <w:sz w:val="24"/>
          <w:szCs w:val="24"/>
          <w14:textFill>
            <w14:solidFill>
              <w14:schemeClr w14:val="tx1"/>
            </w14:solidFill>
          </w14:textFill>
        </w:rPr>
        <w:t>河北省水污染防治工作方案</w:t>
      </w:r>
      <w:r>
        <w:rPr>
          <w:color w:val="000000" w:themeColor="text1"/>
          <w:sz w:val="24"/>
          <w:szCs w:val="24"/>
          <w14:textFill>
            <w14:solidFill>
              <w14:schemeClr w14:val="tx1"/>
            </w14:solidFill>
          </w14:textFill>
        </w:rPr>
        <w:t>&gt;</w:t>
      </w:r>
      <w:r>
        <w:rPr>
          <w:rFonts w:hint="eastAsia"/>
          <w:color w:val="000000" w:themeColor="text1"/>
          <w:sz w:val="24"/>
          <w:szCs w:val="24"/>
          <w14:textFill>
            <w14:solidFill>
              <w14:schemeClr w14:val="tx1"/>
            </w14:solidFill>
          </w14:textFill>
        </w:rPr>
        <w:t>的通知》（冀发</w:t>
      </w:r>
      <w:r>
        <w:rPr>
          <w:color w:val="000000" w:themeColor="text1"/>
          <w:sz w:val="24"/>
          <w:szCs w:val="24"/>
          <w14:textFill>
            <w14:solidFill>
              <w14:schemeClr w14:val="tx1"/>
            </w14:solidFill>
          </w14:textFill>
        </w:rPr>
        <w:t>[2015]28</w:t>
      </w:r>
      <w:r>
        <w:rPr>
          <w:rFonts w:hint="eastAsia"/>
          <w:color w:val="000000" w:themeColor="text1"/>
          <w:sz w:val="24"/>
          <w:szCs w:val="24"/>
          <w14:textFill>
            <w14:solidFill>
              <w14:schemeClr w14:val="tx1"/>
            </w14:solidFill>
          </w14:textFill>
        </w:rPr>
        <w:t>号）；</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《关于加强重要生态功能区及周边区域环境管理工作的通知》（河北省生态环境厅，</w:t>
      </w:r>
      <w:r>
        <w:rPr>
          <w:color w:val="000000" w:themeColor="text1"/>
          <w:sz w:val="24"/>
          <w:szCs w:val="24"/>
          <w14:textFill>
            <w14:solidFill>
              <w14:schemeClr w14:val="tx1"/>
            </w14:solidFill>
          </w14:textFill>
        </w:rPr>
        <w:t>2020</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10</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19</w:t>
      </w:r>
      <w:r>
        <w:rPr>
          <w:rFonts w:hint="eastAsia"/>
          <w:color w:val="000000" w:themeColor="text1"/>
          <w:sz w:val="24"/>
          <w:szCs w:val="24"/>
          <w14:textFill>
            <w14:solidFill>
              <w14:schemeClr w14:val="tx1"/>
            </w14:solidFill>
          </w14:textFill>
        </w:rPr>
        <w:t>日）；</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《关于调整公布</w:t>
      </w:r>
      <w:r>
        <w:rPr>
          <w:color w:val="000000" w:themeColor="text1"/>
          <w:sz w:val="24"/>
          <w:szCs w:val="24"/>
          <w14:textFill>
            <w14:solidFill>
              <w14:schemeClr w14:val="tx1"/>
            </w14:solidFill>
          </w14:textFill>
        </w:rPr>
        <w:t>&lt;</w:t>
      </w:r>
      <w:r>
        <w:rPr>
          <w:rFonts w:hint="eastAsia"/>
          <w:color w:val="000000" w:themeColor="text1"/>
          <w:sz w:val="24"/>
          <w:szCs w:val="24"/>
          <w14:textFill>
            <w14:solidFill>
              <w14:schemeClr w14:val="tx1"/>
            </w14:solidFill>
          </w14:textFill>
        </w:rPr>
        <w:t>河北省水功能区划</w:t>
      </w:r>
      <w:r>
        <w:rPr>
          <w:color w:val="000000" w:themeColor="text1"/>
          <w:sz w:val="24"/>
          <w:szCs w:val="24"/>
          <w14:textFill>
            <w14:solidFill>
              <w14:schemeClr w14:val="tx1"/>
            </w14:solidFill>
          </w14:textFill>
        </w:rPr>
        <w:t>&gt;</w:t>
      </w:r>
      <w:r>
        <w:rPr>
          <w:rFonts w:hint="eastAsia"/>
          <w:color w:val="000000" w:themeColor="text1"/>
          <w:sz w:val="24"/>
          <w:szCs w:val="24"/>
          <w14:textFill>
            <w14:solidFill>
              <w14:schemeClr w14:val="tx1"/>
            </w14:solidFill>
          </w14:textFill>
        </w:rPr>
        <w:t>的通知》（冀水资</w:t>
      </w:r>
      <w:r>
        <w:rPr>
          <w:color w:val="000000" w:themeColor="text1"/>
          <w:sz w:val="24"/>
          <w:szCs w:val="24"/>
          <w14:textFill>
            <w14:solidFill>
              <w14:schemeClr w14:val="tx1"/>
            </w14:solidFill>
          </w14:textFill>
        </w:rPr>
        <w:t>[2017]127</w:t>
      </w:r>
      <w:r>
        <w:rPr>
          <w:rFonts w:hint="eastAsia"/>
          <w:color w:val="000000" w:themeColor="text1"/>
          <w:sz w:val="24"/>
          <w:szCs w:val="24"/>
          <w14:textFill>
            <w14:solidFill>
              <w14:schemeClr w14:val="tx1"/>
            </w14:solidFill>
          </w14:textFill>
        </w:rPr>
        <w:t>号，</w:t>
      </w:r>
      <w:r>
        <w:rPr>
          <w:color w:val="000000" w:themeColor="text1"/>
          <w:sz w:val="24"/>
          <w:szCs w:val="24"/>
          <w14:textFill>
            <w14:solidFill>
              <w14:schemeClr w14:val="tx1"/>
            </w14:solidFill>
          </w14:textFill>
        </w:rPr>
        <w:t>2017</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11</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30</w:t>
      </w:r>
      <w:r>
        <w:rPr>
          <w:rFonts w:hint="eastAsia"/>
          <w:color w:val="000000" w:themeColor="text1"/>
          <w:sz w:val="24"/>
          <w:szCs w:val="24"/>
          <w14:textFill>
            <w14:solidFill>
              <w14:schemeClr w14:val="tx1"/>
            </w14:solidFill>
          </w14:textFill>
        </w:rPr>
        <w:t>日发布并实施）；</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《承德市人民政府关于加快实施“三线一单”生态环境分区管控的意见》（</w:t>
      </w:r>
      <w:r>
        <w:rPr>
          <w:color w:val="000000" w:themeColor="text1"/>
          <w:sz w:val="24"/>
          <w:szCs w:val="24"/>
          <w14:textFill>
            <w14:solidFill>
              <w14:schemeClr w14:val="tx1"/>
            </w14:solidFill>
          </w14:textFill>
        </w:rPr>
        <w:t>2021</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6</w:t>
      </w:r>
      <w:r>
        <w:rPr>
          <w:rFonts w:hint="eastAsia"/>
          <w:color w:val="000000" w:themeColor="text1"/>
          <w:sz w:val="24"/>
          <w:szCs w:val="24"/>
          <w14:textFill>
            <w14:solidFill>
              <w14:schemeClr w14:val="tx1"/>
            </w14:solidFill>
          </w14:textFill>
        </w:rPr>
        <w:t>月</w:t>
      </w:r>
      <w:r>
        <w:rPr>
          <w:color w:val="000000" w:themeColor="text1"/>
          <w:sz w:val="24"/>
          <w:szCs w:val="24"/>
          <w14:textFill>
            <w14:solidFill>
              <w14:schemeClr w14:val="tx1"/>
            </w14:solidFill>
          </w14:textFill>
        </w:rPr>
        <w:t>18</w:t>
      </w:r>
      <w:r>
        <w:rPr>
          <w:rFonts w:hint="eastAsia"/>
          <w:color w:val="000000" w:themeColor="text1"/>
          <w:sz w:val="24"/>
          <w:szCs w:val="24"/>
          <w14:textFill>
            <w14:solidFill>
              <w14:schemeClr w14:val="tx1"/>
            </w14:solidFill>
          </w14:textFill>
        </w:rPr>
        <w:t>日）；</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《承德市大气污染防治工作领导小组办公室关于进一步加强扬尘精细化管理的通知》（承气领办（</w:t>
      </w:r>
      <w:r>
        <w:rPr>
          <w:color w:val="000000" w:themeColor="text1"/>
          <w:sz w:val="24"/>
          <w:szCs w:val="24"/>
          <w14:textFill>
            <w14:solidFill>
              <w14:schemeClr w14:val="tx1"/>
            </w14:solidFill>
          </w14:textFill>
        </w:rPr>
        <w:t>2018</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26</w:t>
      </w:r>
      <w:r>
        <w:rPr>
          <w:rFonts w:hint="eastAsia"/>
          <w:color w:val="000000" w:themeColor="text1"/>
          <w:sz w:val="24"/>
          <w:szCs w:val="24"/>
          <w14:textFill>
            <w14:solidFill>
              <w14:schemeClr w14:val="tx1"/>
            </w14:solidFill>
          </w14:textFill>
        </w:rPr>
        <w:t>号）；</w:t>
      </w:r>
    </w:p>
    <w:p>
      <w:pPr>
        <w:pStyle w:val="33"/>
        <w:numPr>
          <w:ilvl w:val="0"/>
          <w:numId w:val="7"/>
        </w:numPr>
        <w:spacing w:after="0" w:line="360" w:lineRule="auto"/>
        <w:ind w:left="0" w:leftChars="0"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《中共承德市委承德市人民政府关于印发《承德市水污染防治工作方案》的通知》（承发（</w:t>
      </w:r>
      <w:r>
        <w:rPr>
          <w:color w:val="000000" w:themeColor="text1"/>
          <w:sz w:val="24"/>
          <w:szCs w:val="24"/>
          <w14:textFill>
            <w14:solidFill>
              <w14:schemeClr w14:val="tx1"/>
            </w14:solidFill>
          </w14:textFill>
        </w:rPr>
        <w:t>2016</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13</w:t>
      </w:r>
      <w:r>
        <w:rPr>
          <w:rFonts w:hint="eastAsia"/>
          <w:color w:val="000000" w:themeColor="text1"/>
          <w:sz w:val="24"/>
          <w:szCs w:val="24"/>
          <w14:textFill>
            <w14:solidFill>
              <w14:schemeClr w14:val="tx1"/>
            </w14:solidFill>
          </w14:textFill>
        </w:rPr>
        <w:t>号）。</w:t>
      </w:r>
    </w:p>
    <w:p>
      <w:pPr>
        <w:pStyle w:val="6"/>
      </w:pPr>
      <w:bookmarkStart w:id="56" w:name="_Toc8517"/>
      <w:r>
        <w:t>2.1.</w:t>
      </w:r>
      <w:r>
        <w:rPr>
          <w:rFonts w:hint="eastAsia"/>
          <w:lang w:val="en-US" w:eastAsia="zh-CN"/>
        </w:rPr>
        <w:t>5</w:t>
      </w:r>
      <w:r>
        <w:t xml:space="preserve"> 相关规划</w:t>
      </w:r>
      <w:bookmarkEnd w:id="50"/>
      <w:bookmarkEnd w:id="56"/>
    </w:p>
    <w:p>
      <w:pPr>
        <w:ind w:firstLine="480"/>
        <w:rPr>
          <w:highlight w:val="none"/>
        </w:rPr>
      </w:pPr>
      <w:bookmarkStart w:id="57" w:name="_Toc470785809"/>
      <w:r>
        <w:rPr>
          <w:highlight w:val="none"/>
        </w:rPr>
        <w:t>（1）《河北省主体功能区规划》；</w:t>
      </w:r>
    </w:p>
    <w:p>
      <w:pPr>
        <w:ind w:firstLine="480"/>
        <w:rPr>
          <w:highlight w:val="none"/>
        </w:rPr>
      </w:pPr>
      <w:r>
        <w:rPr>
          <w:rFonts w:hint="eastAsia"/>
          <w:highlight w:val="none"/>
        </w:rPr>
        <w:t>（</w:t>
      </w:r>
      <w:r>
        <w:rPr>
          <w:rFonts w:hint="eastAsia"/>
          <w:highlight w:val="none"/>
          <w:lang w:val="en-US" w:eastAsia="zh-CN"/>
        </w:rPr>
        <w:t>2</w:t>
      </w:r>
      <w:r>
        <w:rPr>
          <w:rFonts w:hint="eastAsia"/>
          <w:highlight w:val="none"/>
        </w:rPr>
        <w:t>）</w:t>
      </w:r>
      <w:r>
        <w:t>《承德市城市总体规划》（201</w:t>
      </w:r>
      <w:r>
        <w:rPr>
          <w:rFonts w:hint="eastAsia"/>
        </w:rPr>
        <w:t>6</w:t>
      </w:r>
      <w:r>
        <w:t>-2030年）；</w:t>
      </w:r>
    </w:p>
    <w:p>
      <w:pPr>
        <w:ind w:firstLine="480"/>
        <w:rPr>
          <w:rFonts w:hint="eastAsia" w:eastAsia="宋体"/>
          <w:highlight w:val="none"/>
          <w:lang w:val="en-US" w:eastAsia="zh-CN"/>
        </w:rPr>
      </w:pPr>
      <w:r>
        <w:rPr>
          <w:rFonts w:hint="eastAsia"/>
          <w:color w:val="000000"/>
          <w:highlight w:val="none"/>
        </w:rPr>
        <w:t>（</w:t>
      </w:r>
      <w:r>
        <w:rPr>
          <w:rFonts w:hint="eastAsia"/>
          <w:color w:val="000000"/>
          <w:highlight w:val="none"/>
          <w:lang w:val="en-US" w:eastAsia="zh-CN"/>
        </w:rPr>
        <w:t>3</w:t>
      </w:r>
      <w:r>
        <w:rPr>
          <w:rFonts w:hint="eastAsia"/>
          <w:color w:val="000000"/>
          <w:highlight w:val="none"/>
        </w:rPr>
        <w:t>）《兴隆县城乡总体规划（2013-2030）》</w:t>
      </w:r>
      <w:r>
        <w:rPr>
          <w:rFonts w:hint="eastAsia"/>
          <w:color w:val="000000"/>
          <w:highlight w:val="none"/>
          <w:lang w:eastAsia="zh-CN"/>
        </w:rPr>
        <w:t>；</w:t>
      </w:r>
    </w:p>
    <w:p>
      <w:pPr>
        <w:ind w:firstLine="480"/>
        <w:rPr>
          <w:rFonts w:hint="eastAsia"/>
          <w:color w:val="000000"/>
          <w:highlight w:val="none"/>
        </w:rPr>
      </w:pPr>
      <w:r>
        <w:rPr>
          <w:rFonts w:hint="eastAsia"/>
          <w:color w:val="000000"/>
          <w:highlight w:val="none"/>
          <w:lang w:eastAsia="zh-CN"/>
        </w:rPr>
        <w:t>（</w:t>
      </w:r>
      <w:r>
        <w:rPr>
          <w:rFonts w:hint="eastAsia"/>
          <w:color w:val="000000"/>
          <w:highlight w:val="none"/>
          <w:lang w:val="en-US" w:eastAsia="zh-CN"/>
        </w:rPr>
        <w:t>4</w:t>
      </w:r>
      <w:r>
        <w:rPr>
          <w:rFonts w:hint="eastAsia"/>
          <w:color w:val="000000"/>
          <w:highlight w:val="none"/>
          <w:lang w:eastAsia="zh-CN"/>
        </w:rPr>
        <w:t>）</w:t>
      </w:r>
      <w:r>
        <w:rPr>
          <w:rFonts w:hint="eastAsia"/>
          <w:color w:val="000000"/>
          <w:highlight w:val="none"/>
        </w:rPr>
        <w:t>《承德市滦河流域生态环境保护规划（2019-2025年）》；</w:t>
      </w:r>
    </w:p>
    <w:p>
      <w:pPr>
        <w:ind w:firstLine="480"/>
        <w:rPr>
          <w:rFonts w:hint="eastAsia"/>
          <w:color w:val="000000"/>
          <w:highlight w:val="none"/>
        </w:rPr>
      </w:pPr>
      <w:r>
        <w:rPr>
          <w:rFonts w:hint="eastAsia"/>
          <w:color w:val="000000"/>
          <w:highlight w:val="none"/>
        </w:rPr>
        <w:t>（</w:t>
      </w:r>
      <w:r>
        <w:rPr>
          <w:rFonts w:hint="eastAsia"/>
          <w:color w:val="000000"/>
          <w:highlight w:val="none"/>
          <w:lang w:val="en-US" w:eastAsia="zh-CN"/>
        </w:rPr>
        <w:t>5</w:t>
      </w:r>
      <w:r>
        <w:rPr>
          <w:rFonts w:hint="eastAsia"/>
          <w:color w:val="000000"/>
          <w:highlight w:val="none"/>
        </w:rPr>
        <w:t>）《承德市重点水源涵养生态功能保护区规划》（2010年4月）（承德市环境保护局）；</w:t>
      </w:r>
    </w:p>
    <w:p>
      <w:pPr>
        <w:ind w:firstLine="480"/>
        <w:rPr>
          <w:rFonts w:hint="eastAsia"/>
          <w:color w:val="000000"/>
          <w:highlight w:val="none"/>
          <w:lang w:eastAsia="zh-CN"/>
        </w:rPr>
      </w:pPr>
      <w:r>
        <w:rPr>
          <w:rFonts w:hint="eastAsia"/>
          <w:color w:val="000000"/>
          <w:highlight w:val="none"/>
          <w:lang w:eastAsia="zh-CN"/>
        </w:rPr>
        <w:t>（</w:t>
      </w:r>
      <w:r>
        <w:rPr>
          <w:rFonts w:hint="eastAsia"/>
          <w:color w:val="000000"/>
          <w:highlight w:val="none"/>
          <w:lang w:val="en-US" w:eastAsia="zh-CN"/>
        </w:rPr>
        <w:t>6</w:t>
      </w:r>
      <w:r>
        <w:rPr>
          <w:rFonts w:hint="eastAsia"/>
          <w:color w:val="000000"/>
          <w:highlight w:val="none"/>
          <w:lang w:eastAsia="zh-CN"/>
        </w:rPr>
        <w:t>）</w:t>
      </w:r>
      <w:r>
        <w:rPr>
          <w:rFonts w:hint="eastAsia"/>
          <w:color w:val="000000"/>
          <w:highlight w:val="none"/>
        </w:rPr>
        <w:t>《河北省建设京津冀生态环境支撑区”十四五”规划》</w:t>
      </w:r>
      <w:r>
        <w:rPr>
          <w:rFonts w:hint="eastAsia"/>
          <w:color w:val="000000"/>
          <w:highlight w:val="none"/>
          <w:lang w:eastAsia="zh-CN"/>
        </w:rPr>
        <w:t>；</w:t>
      </w:r>
    </w:p>
    <w:p>
      <w:pPr>
        <w:ind w:firstLine="480"/>
        <w:rPr>
          <w:rFonts w:hint="eastAsia"/>
          <w:color w:val="000000"/>
          <w:highlight w:val="none"/>
          <w:lang w:eastAsia="zh-CN"/>
        </w:rPr>
      </w:pPr>
      <w:r>
        <w:rPr>
          <w:rFonts w:hint="eastAsia"/>
          <w:color w:val="000000"/>
          <w:highlight w:val="none"/>
          <w:lang w:eastAsia="zh-CN"/>
        </w:rPr>
        <w:t>（</w:t>
      </w:r>
      <w:r>
        <w:rPr>
          <w:rFonts w:hint="eastAsia"/>
          <w:color w:val="000000"/>
          <w:highlight w:val="none"/>
          <w:lang w:val="en-US" w:eastAsia="zh-CN"/>
        </w:rPr>
        <w:t>7</w:t>
      </w:r>
      <w:r>
        <w:rPr>
          <w:rFonts w:hint="eastAsia"/>
          <w:color w:val="000000"/>
          <w:highlight w:val="none"/>
          <w:lang w:eastAsia="zh-CN"/>
        </w:rPr>
        <w:t>）</w:t>
      </w:r>
      <w:r>
        <w:rPr>
          <w:rFonts w:hint="eastAsia"/>
          <w:color w:val="000000"/>
          <w:highlight w:val="none"/>
        </w:rPr>
        <w:t>《河北省生态环境保护“十四五”规划》</w:t>
      </w:r>
      <w:r>
        <w:rPr>
          <w:rFonts w:hint="eastAsia"/>
          <w:color w:val="000000"/>
          <w:highlight w:val="none"/>
          <w:lang w:eastAsia="zh-CN"/>
        </w:rPr>
        <w:t>；</w:t>
      </w:r>
    </w:p>
    <w:p>
      <w:pPr>
        <w:ind w:firstLine="480"/>
        <w:rPr>
          <w:rFonts w:hint="eastAsia" w:eastAsia="宋体"/>
          <w:color w:val="000000"/>
          <w:highlight w:val="none"/>
          <w:lang w:val="en-US" w:eastAsia="zh-CN"/>
        </w:rPr>
      </w:pPr>
      <w:r>
        <w:rPr>
          <w:rFonts w:hint="eastAsia"/>
          <w:color w:val="000000"/>
          <w:highlight w:val="none"/>
          <w:lang w:eastAsia="zh-CN"/>
        </w:rPr>
        <w:t>（</w:t>
      </w:r>
      <w:r>
        <w:rPr>
          <w:rFonts w:hint="eastAsia"/>
          <w:color w:val="000000"/>
          <w:highlight w:val="none"/>
          <w:lang w:val="en-US" w:eastAsia="zh-CN"/>
        </w:rPr>
        <w:t>8</w:t>
      </w:r>
      <w:r>
        <w:rPr>
          <w:rFonts w:hint="eastAsia"/>
          <w:color w:val="000000"/>
          <w:highlight w:val="none"/>
          <w:lang w:eastAsia="zh-CN"/>
        </w:rPr>
        <w:t>）</w:t>
      </w:r>
      <w:r>
        <w:rPr>
          <w:rFonts w:hint="eastAsia"/>
          <w:color w:val="000000"/>
          <w:highlight w:val="none"/>
        </w:rPr>
        <w:t>《河北省水功能区划》（冀水资[2017]127号）</w:t>
      </w:r>
      <w:r>
        <w:rPr>
          <w:rFonts w:hint="eastAsia"/>
          <w:color w:val="000000"/>
          <w:highlight w:val="none"/>
          <w:lang w:eastAsia="zh-CN"/>
        </w:rPr>
        <w:t>。</w:t>
      </w:r>
    </w:p>
    <w:p>
      <w:pPr>
        <w:pStyle w:val="6"/>
        <w:bidi w:val="0"/>
      </w:pPr>
      <w:bookmarkStart w:id="58" w:name="_Toc25636"/>
      <w:r>
        <w:t>2.1.</w:t>
      </w:r>
      <w:r>
        <w:rPr>
          <w:rFonts w:hint="eastAsia"/>
          <w:lang w:val="en-US" w:eastAsia="zh-CN"/>
        </w:rPr>
        <w:t>6</w:t>
      </w:r>
      <w:r>
        <w:t xml:space="preserve"> 环境影响评价技术导则、规范</w:t>
      </w:r>
      <w:bookmarkEnd w:id="57"/>
      <w:bookmarkEnd w:id="58"/>
    </w:p>
    <w:p>
      <w:pPr>
        <w:keepNext w:val="0"/>
        <w:keepLines w:val="0"/>
        <w:pageBreakBefore w:val="0"/>
        <w:widowControl w:val="0"/>
        <w:kinsoku/>
        <w:wordWrap/>
        <w:overflowPunct/>
        <w:topLinePunct w:val="0"/>
        <w:autoSpaceDE/>
        <w:autoSpaceDN/>
        <w:bidi w:val="0"/>
        <w:adjustRightInd w:val="0"/>
        <w:snapToGrid w:val="0"/>
        <w:ind w:left="0" w:leftChars="0" w:firstLine="480"/>
        <w:textAlignment w:val="auto"/>
      </w:pPr>
      <w:r>
        <w:t>（1）《环境影响评价技术导则-总纲》（HJ2.1-2016）；</w:t>
      </w:r>
    </w:p>
    <w:p>
      <w:pPr>
        <w:keepNext w:val="0"/>
        <w:keepLines w:val="0"/>
        <w:pageBreakBefore w:val="0"/>
        <w:widowControl w:val="0"/>
        <w:kinsoku/>
        <w:wordWrap/>
        <w:overflowPunct/>
        <w:topLinePunct w:val="0"/>
        <w:autoSpaceDE/>
        <w:autoSpaceDN/>
        <w:bidi w:val="0"/>
        <w:adjustRightInd w:val="0"/>
        <w:snapToGrid w:val="0"/>
        <w:ind w:left="0" w:leftChars="0" w:firstLine="480"/>
        <w:textAlignment w:val="auto"/>
      </w:pPr>
      <w:r>
        <w:t>（2）《环境影响评价技术导则-大气环境》(HJ2.2-2018)；</w:t>
      </w:r>
    </w:p>
    <w:p>
      <w:pPr>
        <w:keepNext w:val="0"/>
        <w:keepLines w:val="0"/>
        <w:pageBreakBefore w:val="0"/>
        <w:widowControl w:val="0"/>
        <w:kinsoku/>
        <w:wordWrap/>
        <w:overflowPunct/>
        <w:topLinePunct w:val="0"/>
        <w:autoSpaceDE/>
        <w:autoSpaceDN/>
        <w:bidi w:val="0"/>
        <w:adjustRightInd w:val="0"/>
        <w:snapToGrid w:val="0"/>
        <w:ind w:left="0" w:leftChars="0" w:firstLine="480"/>
        <w:textAlignment w:val="auto"/>
      </w:pPr>
      <w:r>
        <w:t>（3）《环境影响评价技术导则-声环境》(HJ2.4-2</w:t>
      </w:r>
      <w:r>
        <w:rPr>
          <w:rFonts w:hint="eastAsia"/>
          <w:lang w:val="en-US" w:eastAsia="zh-CN"/>
        </w:rPr>
        <w:t>021</w:t>
      </w:r>
      <w:r>
        <w:t>)；</w:t>
      </w:r>
    </w:p>
    <w:p>
      <w:pPr>
        <w:keepNext w:val="0"/>
        <w:keepLines w:val="0"/>
        <w:pageBreakBefore w:val="0"/>
        <w:widowControl w:val="0"/>
        <w:kinsoku/>
        <w:wordWrap/>
        <w:overflowPunct/>
        <w:topLinePunct w:val="0"/>
        <w:autoSpaceDE/>
        <w:autoSpaceDN/>
        <w:bidi w:val="0"/>
        <w:adjustRightInd w:val="0"/>
        <w:snapToGrid w:val="0"/>
        <w:ind w:left="0" w:leftChars="0" w:firstLine="480"/>
        <w:textAlignment w:val="auto"/>
      </w:pPr>
      <w:r>
        <w:t>（4）《环境影响评价技术导则-地表水环境》(HJ/T2.3-2018)；</w:t>
      </w:r>
    </w:p>
    <w:p>
      <w:pPr>
        <w:keepNext w:val="0"/>
        <w:keepLines w:val="0"/>
        <w:pageBreakBefore w:val="0"/>
        <w:widowControl w:val="0"/>
        <w:kinsoku/>
        <w:wordWrap/>
        <w:overflowPunct/>
        <w:topLinePunct w:val="0"/>
        <w:autoSpaceDE/>
        <w:autoSpaceDN/>
        <w:bidi w:val="0"/>
        <w:adjustRightInd w:val="0"/>
        <w:snapToGrid w:val="0"/>
        <w:ind w:left="0" w:leftChars="0" w:firstLine="480"/>
        <w:textAlignment w:val="auto"/>
      </w:pPr>
      <w:r>
        <w:t>（5）《环境影响评价技术导则-地下水环境》（HJ610-2016）；</w:t>
      </w:r>
    </w:p>
    <w:p>
      <w:pPr>
        <w:keepNext w:val="0"/>
        <w:keepLines w:val="0"/>
        <w:pageBreakBefore w:val="0"/>
        <w:widowControl w:val="0"/>
        <w:kinsoku/>
        <w:wordWrap/>
        <w:overflowPunct/>
        <w:topLinePunct w:val="0"/>
        <w:autoSpaceDE/>
        <w:autoSpaceDN/>
        <w:bidi w:val="0"/>
        <w:adjustRightInd w:val="0"/>
        <w:snapToGrid w:val="0"/>
        <w:ind w:left="0" w:leftChars="0" w:firstLine="480"/>
        <w:textAlignment w:val="auto"/>
      </w:pPr>
      <w:r>
        <w:t>（6）《环境影响评价技术导则-生态影响</w:t>
      </w:r>
      <w:r>
        <w:rPr>
          <w:rFonts w:hint="eastAsia"/>
          <w:lang w:eastAsia="zh-CN"/>
        </w:rPr>
        <w:t>（试行）</w:t>
      </w:r>
      <w:r>
        <w:t>》（HJ19-20</w:t>
      </w:r>
      <w:r>
        <w:rPr>
          <w:rFonts w:hint="eastAsia"/>
          <w:lang w:val="en-US" w:eastAsia="zh-CN"/>
        </w:rPr>
        <w:t>22</w:t>
      </w:r>
      <w:r>
        <w:t>）；</w:t>
      </w:r>
    </w:p>
    <w:p>
      <w:pPr>
        <w:keepNext w:val="0"/>
        <w:keepLines w:val="0"/>
        <w:pageBreakBefore w:val="0"/>
        <w:widowControl w:val="0"/>
        <w:kinsoku/>
        <w:wordWrap/>
        <w:overflowPunct/>
        <w:topLinePunct w:val="0"/>
        <w:autoSpaceDE/>
        <w:autoSpaceDN/>
        <w:bidi w:val="0"/>
        <w:adjustRightInd w:val="0"/>
        <w:snapToGrid w:val="0"/>
        <w:ind w:left="0" w:leftChars="0" w:firstLine="480"/>
        <w:textAlignment w:val="auto"/>
      </w:pPr>
      <w:r>
        <w:t>（7）《建设项目环境风险评价技术导则》（HJ/T169-2018）；</w:t>
      </w:r>
    </w:p>
    <w:p>
      <w:pPr>
        <w:keepNext w:val="0"/>
        <w:keepLines w:val="0"/>
        <w:pageBreakBefore w:val="0"/>
        <w:widowControl w:val="0"/>
        <w:kinsoku/>
        <w:wordWrap/>
        <w:overflowPunct/>
        <w:topLinePunct w:val="0"/>
        <w:autoSpaceDE/>
        <w:autoSpaceDN/>
        <w:bidi w:val="0"/>
        <w:adjustRightInd w:val="0"/>
        <w:snapToGrid w:val="0"/>
        <w:ind w:left="0" w:leftChars="0" w:firstLine="480"/>
        <w:textAlignment w:val="auto"/>
      </w:pPr>
      <w:r>
        <w:t>（8）《环境影响评价技术导则 土壤环境（试行）》（HJ 964-2018）</w:t>
      </w:r>
      <w:bookmarkStart w:id="59" w:name="_Hlk488395868"/>
      <w:r>
        <w:t>；</w:t>
      </w:r>
    </w:p>
    <w:p>
      <w:pPr>
        <w:keepNext w:val="0"/>
        <w:keepLines w:val="0"/>
        <w:pageBreakBefore w:val="0"/>
        <w:widowControl w:val="0"/>
        <w:tabs>
          <w:tab w:val="left" w:pos="1062"/>
        </w:tabs>
        <w:kinsoku/>
        <w:wordWrap/>
        <w:overflowPunct/>
        <w:topLinePunct w:val="0"/>
        <w:autoSpaceDE/>
        <w:autoSpaceDN/>
        <w:bidi w:val="0"/>
        <w:adjustRightInd w:val="0"/>
        <w:snapToGrid w:val="0"/>
        <w:spacing w:line="360" w:lineRule="auto"/>
        <w:ind w:left="0" w:leftChars="0" w:firstLine="480" w:firstLineChars="200"/>
        <w:textAlignment w:val="auto"/>
        <w:rPr>
          <w:sz w:val="24"/>
        </w:rPr>
      </w:pPr>
      <w:r>
        <w:t>（9）</w:t>
      </w:r>
      <w:r>
        <w:rPr>
          <w:sz w:val="24"/>
        </w:rPr>
        <w:t>《排污单位自行监测技术指南</w:t>
      </w:r>
      <w:r>
        <w:rPr>
          <w:rFonts w:hint="eastAsia"/>
          <w:sz w:val="24"/>
          <w:lang w:val="en-US" w:eastAsia="zh-CN"/>
        </w:rPr>
        <w:t xml:space="preserve"> </w:t>
      </w:r>
      <w:r>
        <w:rPr>
          <w:sz w:val="24"/>
        </w:rPr>
        <w:t>总则》（HJ819-2017）；</w:t>
      </w:r>
    </w:p>
    <w:p>
      <w:pPr>
        <w:keepNext w:val="0"/>
        <w:keepLines w:val="0"/>
        <w:pageBreakBefore w:val="0"/>
        <w:widowControl w:val="0"/>
        <w:tabs>
          <w:tab w:val="left" w:pos="1062"/>
        </w:tabs>
        <w:kinsoku/>
        <w:wordWrap/>
        <w:overflowPunct/>
        <w:topLinePunct w:val="0"/>
        <w:autoSpaceDE/>
        <w:autoSpaceDN/>
        <w:bidi w:val="0"/>
        <w:adjustRightInd w:val="0"/>
        <w:snapToGrid w:val="0"/>
        <w:spacing w:line="360" w:lineRule="auto"/>
        <w:ind w:left="0" w:leftChars="0" w:firstLine="480" w:firstLineChars="200"/>
        <w:textAlignment w:val="auto"/>
        <w:rPr>
          <w:sz w:val="24"/>
        </w:rPr>
      </w:pPr>
      <w:r>
        <w:rPr>
          <w:sz w:val="24"/>
        </w:rPr>
        <w:t>（</w:t>
      </w:r>
      <w:r>
        <w:rPr>
          <w:rFonts w:hint="eastAsia"/>
          <w:sz w:val="24"/>
          <w:lang w:val="en-US" w:eastAsia="zh-CN"/>
        </w:rPr>
        <w:t>10</w:t>
      </w:r>
      <w:r>
        <w:rPr>
          <w:sz w:val="24"/>
        </w:rPr>
        <w:t>）</w:t>
      </w:r>
      <w:r>
        <w:rPr>
          <w:szCs w:val="24"/>
        </w:rPr>
        <w:t>《污染源源强核算技术指南 准则》（HJ884-2018）</w:t>
      </w:r>
      <w:r>
        <w:rPr>
          <w:sz w:val="24"/>
        </w:rPr>
        <w:t>。</w:t>
      </w:r>
    </w:p>
    <w:bookmarkEnd w:id="59"/>
    <w:p>
      <w:pPr>
        <w:pStyle w:val="6"/>
        <w:rPr>
          <w:color w:val="000000"/>
        </w:rPr>
      </w:pPr>
      <w:bookmarkStart w:id="60" w:name="_Toc470785810"/>
      <w:bookmarkStart w:id="61" w:name="_Toc11813"/>
      <w:r>
        <w:rPr>
          <w:color w:val="000000"/>
        </w:rPr>
        <w:t>2.1.</w:t>
      </w:r>
      <w:r>
        <w:rPr>
          <w:rFonts w:hint="eastAsia"/>
          <w:color w:val="000000"/>
          <w:lang w:val="en-US" w:eastAsia="zh-CN"/>
        </w:rPr>
        <w:t>7</w:t>
      </w:r>
      <w:r>
        <w:rPr>
          <w:color w:val="000000"/>
        </w:rPr>
        <w:t xml:space="preserve"> 相关文件及技术资料</w:t>
      </w:r>
      <w:bookmarkEnd w:id="60"/>
      <w:bookmarkEnd w:id="61"/>
    </w:p>
    <w:p>
      <w:pPr>
        <w:ind w:firstLine="480"/>
        <w:rPr>
          <w:rFonts w:hint="eastAsia"/>
          <w:color w:val="000000"/>
          <w:highlight w:val="none"/>
        </w:rPr>
      </w:pPr>
      <w:bookmarkStart w:id="62" w:name="_Toc326754941"/>
      <w:bookmarkStart w:id="63" w:name="_Toc286835694"/>
      <w:bookmarkStart w:id="64" w:name="_Toc269200618"/>
      <w:bookmarkStart w:id="65" w:name="_Toc283110164"/>
      <w:bookmarkStart w:id="66" w:name="_Toc332632536"/>
      <w:bookmarkStart w:id="67" w:name="_Toc282959689"/>
      <w:bookmarkStart w:id="68" w:name="_Toc282946119"/>
      <w:bookmarkStart w:id="69" w:name="_Toc286934629"/>
      <w:bookmarkStart w:id="70" w:name="_Toc470785811"/>
      <w:r>
        <w:rPr>
          <w:rFonts w:hint="eastAsia"/>
          <w:color w:val="000000"/>
          <w:highlight w:val="none"/>
        </w:rPr>
        <w:t>（1）《</w:t>
      </w:r>
      <w:r>
        <w:rPr>
          <w:rFonts w:hint="eastAsia"/>
          <w:color w:val="000000"/>
          <w:highlight w:val="none"/>
          <w:lang w:eastAsia="zh-CN"/>
        </w:rPr>
        <w:t>三块石国考断面周边环境综合整治工程</w:t>
      </w:r>
      <w:r>
        <w:rPr>
          <w:rFonts w:hint="eastAsia"/>
          <w:color w:val="000000"/>
          <w:highlight w:val="none"/>
        </w:rPr>
        <w:t>方案设计说明</w:t>
      </w:r>
      <w:r>
        <w:rPr>
          <w:rFonts w:hint="eastAsia"/>
          <w:color w:val="000000"/>
          <w:highlight w:val="none"/>
          <w:lang w:eastAsia="zh-CN"/>
        </w:rPr>
        <w:t>》（中智美城工程设计有限公司</w:t>
      </w:r>
      <w:r>
        <w:rPr>
          <w:rFonts w:hint="eastAsia"/>
          <w:color w:val="000000"/>
          <w:highlight w:val="none"/>
        </w:rPr>
        <w:t>，202</w:t>
      </w:r>
      <w:r>
        <w:rPr>
          <w:rFonts w:hint="eastAsia"/>
          <w:color w:val="000000"/>
          <w:highlight w:val="none"/>
          <w:lang w:val="en-US" w:eastAsia="zh-CN"/>
        </w:rPr>
        <w:t>2</w:t>
      </w:r>
      <w:r>
        <w:rPr>
          <w:rFonts w:hint="eastAsia"/>
          <w:color w:val="000000"/>
          <w:highlight w:val="none"/>
        </w:rPr>
        <w:t>年</w:t>
      </w:r>
      <w:r>
        <w:rPr>
          <w:rFonts w:hint="eastAsia"/>
          <w:color w:val="000000"/>
          <w:highlight w:val="none"/>
          <w:lang w:val="en-US" w:eastAsia="zh-CN"/>
        </w:rPr>
        <w:t>6</w:t>
      </w:r>
      <w:r>
        <w:rPr>
          <w:rFonts w:hint="eastAsia"/>
          <w:color w:val="000000"/>
          <w:highlight w:val="none"/>
        </w:rPr>
        <w:t>月）；</w:t>
      </w:r>
    </w:p>
    <w:p>
      <w:pPr>
        <w:ind w:firstLine="480"/>
        <w:rPr>
          <w:rFonts w:hint="eastAsia"/>
          <w:color w:val="000000"/>
          <w:highlight w:val="none"/>
          <w:lang w:eastAsia="zh-CN"/>
        </w:rPr>
      </w:pPr>
      <w:r>
        <w:rPr>
          <w:rFonts w:hint="eastAsia"/>
          <w:color w:val="000000"/>
          <w:highlight w:val="none"/>
        </w:rPr>
        <w:t>（</w:t>
      </w:r>
      <w:r>
        <w:rPr>
          <w:rFonts w:hint="eastAsia"/>
          <w:color w:val="000000"/>
          <w:highlight w:val="none"/>
          <w:lang w:val="en-US" w:eastAsia="zh-CN"/>
        </w:rPr>
        <w:t>2</w:t>
      </w:r>
      <w:r>
        <w:rPr>
          <w:rFonts w:hint="eastAsia"/>
          <w:color w:val="000000"/>
          <w:highlight w:val="none"/>
        </w:rPr>
        <w:t>）</w:t>
      </w:r>
      <w:r>
        <w:rPr>
          <w:rFonts w:hint="eastAsia"/>
          <w:color w:val="000000"/>
          <w:highlight w:val="none"/>
          <w:lang w:eastAsia="zh-CN"/>
        </w:rPr>
        <w:t>《三块石国考断面周边环境综合整治工程环境质量现状监测》（（辽鹏环测）字PY2209488-001号）。</w:t>
      </w:r>
    </w:p>
    <w:p>
      <w:pPr>
        <w:keepNext w:val="0"/>
        <w:keepLines w:val="0"/>
        <w:pageBreakBefore w:val="0"/>
        <w:widowControl w:val="0"/>
        <w:tabs>
          <w:tab w:val="left" w:pos="1062"/>
        </w:tabs>
        <w:kinsoku/>
        <w:wordWrap/>
        <w:overflowPunct/>
        <w:topLinePunct w:val="0"/>
        <w:autoSpaceDE/>
        <w:autoSpaceDN/>
        <w:bidi w:val="0"/>
        <w:adjustRightInd w:val="0"/>
        <w:snapToGrid w:val="0"/>
        <w:spacing w:line="360" w:lineRule="auto"/>
        <w:ind w:left="0" w:leftChars="0" w:firstLine="480" w:firstLineChars="200"/>
        <w:textAlignment w:val="auto"/>
        <w:rPr>
          <w:rFonts w:hint="eastAsia"/>
          <w:kern w:val="24"/>
          <w:sz w:val="24"/>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kern w:val="24"/>
          <w:sz w:val="24"/>
          <w:highlight w:val="none"/>
        </w:rPr>
        <w:t>环境影响评价委托书；</w:t>
      </w:r>
    </w:p>
    <w:p>
      <w:pPr>
        <w:keepNext w:val="0"/>
        <w:keepLines w:val="0"/>
        <w:pageBreakBefore w:val="0"/>
        <w:widowControl w:val="0"/>
        <w:tabs>
          <w:tab w:val="left" w:pos="1062"/>
        </w:tabs>
        <w:kinsoku/>
        <w:wordWrap/>
        <w:overflowPunct/>
        <w:topLinePunct w:val="0"/>
        <w:autoSpaceDE/>
        <w:autoSpaceDN/>
        <w:bidi w:val="0"/>
        <w:adjustRightInd w:val="0"/>
        <w:snapToGrid w:val="0"/>
        <w:spacing w:line="360" w:lineRule="auto"/>
        <w:ind w:left="0" w:leftChars="0" w:firstLine="480" w:firstLineChars="200"/>
        <w:textAlignment w:val="auto"/>
        <w:rPr>
          <w:rFonts w:hint="eastAsia"/>
          <w:b/>
          <w:bCs/>
          <w:lang w:eastAsia="zh-CN"/>
        </w:rPr>
      </w:pPr>
      <w:r>
        <w:rPr>
          <w:rFonts w:hint="eastAsia"/>
          <w:kern w:val="24"/>
          <w:sz w:val="24"/>
        </w:rPr>
        <w:t>（</w:t>
      </w:r>
      <w:r>
        <w:rPr>
          <w:rFonts w:hint="eastAsia"/>
          <w:kern w:val="24"/>
          <w:sz w:val="24"/>
          <w:lang w:val="en-US" w:eastAsia="zh-CN"/>
        </w:rPr>
        <w:t>4</w:t>
      </w:r>
      <w:r>
        <w:rPr>
          <w:rFonts w:hint="eastAsia"/>
          <w:kern w:val="24"/>
          <w:sz w:val="24"/>
        </w:rPr>
        <w:t>）建设单位提供的其他技术资料。</w:t>
      </w:r>
    </w:p>
    <w:p>
      <w:pPr>
        <w:pStyle w:val="5"/>
      </w:pPr>
      <w:bookmarkStart w:id="71" w:name="_Toc13555"/>
      <w:r>
        <w:t>2.2 评价</w:t>
      </w:r>
      <w:bookmarkEnd w:id="62"/>
      <w:bookmarkEnd w:id="63"/>
      <w:bookmarkEnd w:id="64"/>
      <w:bookmarkEnd w:id="65"/>
      <w:bookmarkEnd w:id="66"/>
      <w:bookmarkEnd w:id="67"/>
      <w:bookmarkEnd w:id="68"/>
      <w:bookmarkEnd w:id="69"/>
      <w:r>
        <w:t>原则</w:t>
      </w:r>
      <w:bookmarkEnd w:id="70"/>
      <w:bookmarkEnd w:id="71"/>
    </w:p>
    <w:p>
      <w:pPr>
        <w:ind w:right="113" w:firstLine="480"/>
        <w:rPr>
          <w:color w:val="000000"/>
        </w:rPr>
      </w:pPr>
      <w:bookmarkStart w:id="72" w:name="_Toc286835696"/>
      <w:bookmarkStart w:id="73" w:name="_Toc205697166"/>
      <w:bookmarkStart w:id="74" w:name="_Toc326754943"/>
      <w:bookmarkStart w:id="75" w:name="_Toc283110166"/>
      <w:bookmarkStart w:id="76" w:name="_Toc286934631"/>
      <w:bookmarkStart w:id="77" w:name="_Toc282946121"/>
      <w:bookmarkStart w:id="78" w:name="_Toc332632538"/>
      <w:bookmarkStart w:id="79" w:name="_Toc269200621"/>
      <w:bookmarkStart w:id="80" w:name="_Toc282959691"/>
      <w:bookmarkStart w:id="81" w:name="_Toc215837084"/>
      <w:r>
        <w:rPr>
          <w:color w:val="000000"/>
        </w:rPr>
        <w:t>在贯彻执行国家和地方环境保护相关法律、法规、标准、政策和规划和区划等的基础上，运用规范的环境影响评价方法，科学分析项目建设对环境质量的影响，应用最新科技成果，优化项目建设，充分利用符合时效的数据资料及成果，尽量减少重复工作，突出重点，结论明确。</w:t>
      </w:r>
    </w:p>
    <w:p>
      <w:pPr>
        <w:pStyle w:val="5"/>
      </w:pPr>
      <w:bookmarkStart w:id="82" w:name="_Toc23556"/>
      <w:bookmarkStart w:id="83" w:name="_Toc470785812"/>
      <w:r>
        <w:t>2.3 环境影响因素识别与评价因子</w:t>
      </w:r>
      <w:bookmarkEnd w:id="72"/>
      <w:bookmarkEnd w:id="73"/>
      <w:bookmarkEnd w:id="74"/>
      <w:bookmarkEnd w:id="75"/>
      <w:bookmarkEnd w:id="76"/>
      <w:bookmarkEnd w:id="77"/>
      <w:bookmarkEnd w:id="78"/>
      <w:bookmarkEnd w:id="79"/>
      <w:bookmarkEnd w:id="80"/>
      <w:bookmarkEnd w:id="81"/>
      <w:bookmarkEnd w:id="82"/>
      <w:bookmarkEnd w:id="83"/>
    </w:p>
    <w:p>
      <w:pPr>
        <w:pStyle w:val="6"/>
      </w:pPr>
      <w:bookmarkStart w:id="84" w:name="_Toc470785813"/>
      <w:bookmarkStart w:id="85" w:name="_Toc13970"/>
      <w:r>
        <w:t>2.3.1 环境影响因素识别</w:t>
      </w:r>
      <w:bookmarkEnd w:id="84"/>
      <w:bookmarkEnd w:id="85"/>
    </w:p>
    <w:p>
      <w:pPr>
        <w:ind w:firstLine="480"/>
      </w:pPr>
      <w:bookmarkStart w:id="86" w:name="_Hlk488396737"/>
      <w:r>
        <w:t>根据项目工程特点，结合建设项目所在区域发展规划、环境保护规划、环境功能区划、生态功能区划及环境现状，采用矩阵法对可能受项目影响的因素进行识别</w:t>
      </w:r>
      <w:r>
        <w:rPr>
          <w:rFonts w:hint="eastAsia"/>
          <w:lang w:eastAsia="zh-CN"/>
        </w:rPr>
        <w:t>，</w:t>
      </w:r>
      <w:r>
        <w:t>结果见下表</w:t>
      </w:r>
      <w:bookmarkEnd w:id="86"/>
      <w:r>
        <w:t>。</w:t>
      </w:r>
    </w:p>
    <w:p>
      <w:pPr>
        <w:ind w:firstLine="0" w:firstLineChars="0"/>
        <w:jc w:val="center"/>
        <w:rPr>
          <w:rStyle w:val="46"/>
          <w:highlight w:val="none"/>
        </w:rPr>
      </w:pPr>
      <w:r>
        <w:rPr>
          <w:rStyle w:val="46"/>
          <w:highlight w:val="none"/>
        </w:rPr>
        <w:t>表2</w:t>
      </w:r>
      <w:r>
        <w:rPr>
          <w:rStyle w:val="46"/>
          <w:rFonts w:hint="eastAsia"/>
          <w:highlight w:val="none"/>
        </w:rPr>
        <w:t>.3</w:t>
      </w:r>
      <w:r>
        <w:rPr>
          <w:rStyle w:val="46"/>
          <w:highlight w:val="none"/>
        </w:rPr>
        <w:t>-1  环境影响因素识别结果</w:t>
      </w:r>
    </w:p>
    <w:tbl>
      <w:tblPr>
        <w:tblStyle w:val="39"/>
        <w:tblW w:w="50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45"/>
        <w:gridCol w:w="1098"/>
        <w:gridCol w:w="634"/>
        <w:gridCol w:w="683"/>
        <w:gridCol w:w="838"/>
        <w:gridCol w:w="1032"/>
        <w:gridCol w:w="790"/>
        <w:gridCol w:w="790"/>
        <w:gridCol w:w="805"/>
        <w:gridCol w:w="805"/>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4" w:type="pct"/>
            <w:vMerge w:val="restar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项目阶段</w:t>
            </w:r>
          </w:p>
        </w:tc>
        <w:tc>
          <w:tcPr>
            <w:tcW w:w="582" w:type="pct"/>
            <w:vMerge w:val="restar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影响</w:t>
            </w:r>
          </w:p>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因素</w:t>
            </w:r>
          </w:p>
        </w:tc>
        <w:tc>
          <w:tcPr>
            <w:tcW w:w="2108" w:type="pct"/>
            <w:gridSpan w:val="5"/>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自然环境</w:t>
            </w:r>
          </w:p>
        </w:tc>
        <w:tc>
          <w:tcPr>
            <w:tcW w:w="1754" w:type="pct"/>
            <w:gridSpan w:val="4"/>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4" w:type="pct"/>
            <w:vMerge w:val="continue"/>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p>
        </w:tc>
        <w:tc>
          <w:tcPr>
            <w:tcW w:w="582" w:type="pct"/>
            <w:vMerge w:val="continue"/>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p>
        </w:tc>
        <w:tc>
          <w:tcPr>
            <w:tcW w:w="336"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环境空气</w:t>
            </w:r>
          </w:p>
        </w:tc>
        <w:tc>
          <w:tcPr>
            <w:tcW w:w="362"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地表水</w:t>
            </w:r>
          </w:p>
        </w:tc>
        <w:tc>
          <w:tcPr>
            <w:tcW w:w="444"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地下水</w:t>
            </w:r>
          </w:p>
        </w:tc>
        <w:tc>
          <w:tcPr>
            <w:tcW w:w="547"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声环境</w:t>
            </w:r>
          </w:p>
        </w:tc>
        <w:tc>
          <w:tcPr>
            <w:tcW w:w="418"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土壤环境</w:t>
            </w:r>
          </w:p>
        </w:tc>
        <w:tc>
          <w:tcPr>
            <w:tcW w:w="419"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景观</w:t>
            </w:r>
          </w:p>
        </w:tc>
        <w:tc>
          <w:tcPr>
            <w:tcW w:w="427"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地表植被</w:t>
            </w:r>
          </w:p>
        </w:tc>
        <w:tc>
          <w:tcPr>
            <w:tcW w:w="427"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水土流失</w:t>
            </w:r>
          </w:p>
        </w:tc>
        <w:tc>
          <w:tcPr>
            <w:tcW w:w="479"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4" w:type="pct"/>
            <w:vMerge w:val="restart"/>
            <w:noWrap w:val="0"/>
            <w:vAlign w:val="center"/>
          </w:tcPr>
          <w:p>
            <w:pPr>
              <w:keepNext w:val="0"/>
              <w:keepLines w:val="0"/>
              <w:suppressLineNumbers w:val="0"/>
              <w:adjustRightInd w:val="0"/>
              <w:spacing w:before="0" w:beforeAutospacing="0" w:after="0" w:afterAutospacing="0" w:line="30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建设阶段</w:t>
            </w:r>
          </w:p>
        </w:tc>
        <w:tc>
          <w:tcPr>
            <w:tcW w:w="582" w:type="pct"/>
            <w:noWrap w:val="0"/>
            <w:vAlign w:val="center"/>
          </w:tcPr>
          <w:p>
            <w:pPr>
              <w:keepNext w:val="0"/>
              <w:keepLines w:val="0"/>
              <w:suppressLineNumbers w:val="0"/>
              <w:adjustRightInd w:val="0"/>
              <w:spacing w:before="0" w:beforeAutospacing="0" w:after="0" w:afterAutospacing="0" w:line="30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物料堆存</w:t>
            </w:r>
          </w:p>
        </w:tc>
        <w:tc>
          <w:tcPr>
            <w:tcW w:w="336"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-1D</w:t>
            </w:r>
          </w:p>
        </w:tc>
        <w:tc>
          <w:tcPr>
            <w:tcW w:w="362"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-1D</w:t>
            </w:r>
          </w:p>
        </w:tc>
        <w:tc>
          <w:tcPr>
            <w:tcW w:w="444"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47"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18"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w:t>
            </w:r>
          </w:p>
        </w:tc>
        <w:tc>
          <w:tcPr>
            <w:tcW w:w="419"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-1D</w:t>
            </w:r>
          </w:p>
        </w:tc>
        <w:tc>
          <w:tcPr>
            <w:tcW w:w="427"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-1D</w:t>
            </w:r>
          </w:p>
        </w:tc>
        <w:tc>
          <w:tcPr>
            <w:tcW w:w="427"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w:t>
            </w:r>
          </w:p>
        </w:tc>
        <w:tc>
          <w:tcPr>
            <w:tcW w:w="479"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54" w:type="pct"/>
            <w:vMerge w:val="continue"/>
            <w:noWrap w:val="0"/>
            <w:vAlign w:val="center"/>
          </w:tcPr>
          <w:p>
            <w:pPr>
              <w:keepNext w:val="0"/>
              <w:keepLines w:val="0"/>
              <w:suppressLineNumbers w:val="0"/>
              <w:adjustRightInd w:val="0"/>
              <w:spacing w:before="0" w:beforeAutospacing="0" w:after="0" w:afterAutospacing="0" w:line="300" w:lineRule="atLeast"/>
              <w:ind w:left="0" w:right="0" w:firstLine="0" w:firstLineChars="0"/>
              <w:jc w:val="center"/>
              <w:rPr>
                <w:rFonts w:hint="default" w:ascii="Times New Roman" w:hAnsi="Times New Roman" w:cs="Times New Roman"/>
                <w:sz w:val="21"/>
                <w:szCs w:val="21"/>
              </w:rPr>
            </w:pPr>
          </w:p>
        </w:tc>
        <w:tc>
          <w:tcPr>
            <w:tcW w:w="582" w:type="pct"/>
            <w:noWrap w:val="0"/>
            <w:vAlign w:val="center"/>
          </w:tcPr>
          <w:p>
            <w:pPr>
              <w:keepNext w:val="0"/>
              <w:keepLines w:val="0"/>
              <w:suppressLineNumbers w:val="0"/>
              <w:adjustRightInd w:val="0"/>
              <w:spacing w:before="0" w:beforeAutospacing="0" w:after="0" w:afterAutospacing="0" w:line="30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车辆运输</w:t>
            </w:r>
          </w:p>
        </w:tc>
        <w:tc>
          <w:tcPr>
            <w:tcW w:w="336"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-1D</w:t>
            </w:r>
          </w:p>
        </w:tc>
        <w:tc>
          <w:tcPr>
            <w:tcW w:w="362"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4"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547"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-1D</w:t>
            </w:r>
          </w:p>
        </w:tc>
        <w:tc>
          <w:tcPr>
            <w:tcW w:w="418"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w:t>
            </w:r>
          </w:p>
        </w:tc>
        <w:tc>
          <w:tcPr>
            <w:tcW w:w="419"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w:t>
            </w:r>
          </w:p>
        </w:tc>
        <w:tc>
          <w:tcPr>
            <w:tcW w:w="427"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w:t>
            </w:r>
          </w:p>
        </w:tc>
        <w:tc>
          <w:tcPr>
            <w:tcW w:w="427"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w:t>
            </w:r>
          </w:p>
        </w:tc>
        <w:tc>
          <w:tcPr>
            <w:tcW w:w="479"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4" w:type="pct"/>
            <w:vMerge w:val="continue"/>
            <w:noWrap w:val="0"/>
            <w:vAlign w:val="center"/>
          </w:tcPr>
          <w:p>
            <w:pPr>
              <w:keepNext w:val="0"/>
              <w:keepLines w:val="0"/>
              <w:suppressLineNumbers w:val="0"/>
              <w:adjustRightInd w:val="0"/>
              <w:spacing w:before="0" w:beforeAutospacing="0" w:after="0" w:afterAutospacing="0" w:line="300" w:lineRule="atLeast"/>
              <w:ind w:left="0" w:right="0" w:firstLine="0" w:firstLineChars="0"/>
              <w:jc w:val="center"/>
              <w:rPr>
                <w:rFonts w:hint="default" w:ascii="Times New Roman" w:hAnsi="Times New Roman" w:cs="Times New Roman"/>
                <w:sz w:val="21"/>
                <w:szCs w:val="21"/>
              </w:rPr>
            </w:pPr>
          </w:p>
        </w:tc>
        <w:tc>
          <w:tcPr>
            <w:tcW w:w="582" w:type="pct"/>
            <w:noWrap w:val="0"/>
            <w:vAlign w:val="center"/>
          </w:tcPr>
          <w:p>
            <w:pPr>
              <w:keepNext w:val="0"/>
              <w:keepLines w:val="0"/>
              <w:suppressLineNumbers w:val="0"/>
              <w:adjustRightInd w:val="0"/>
              <w:spacing w:before="0" w:beforeAutospacing="0" w:after="0" w:afterAutospacing="0" w:line="300" w:lineRule="atLeast"/>
              <w:ind w:left="0" w:right="0"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eastAsia="zh-CN"/>
              </w:rPr>
              <w:t>河道疏浚工程、河岸岸堤建设</w:t>
            </w:r>
          </w:p>
        </w:tc>
        <w:tc>
          <w:tcPr>
            <w:tcW w:w="336"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-1D</w:t>
            </w:r>
          </w:p>
        </w:tc>
        <w:tc>
          <w:tcPr>
            <w:tcW w:w="362"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-1D</w:t>
            </w:r>
          </w:p>
        </w:tc>
        <w:tc>
          <w:tcPr>
            <w:tcW w:w="444"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w:t>
            </w:r>
          </w:p>
        </w:tc>
        <w:tc>
          <w:tcPr>
            <w:tcW w:w="547"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-1D</w:t>
            </w:r>
          </w:p>
        </w:tc>
        <w:tc>
          <w:tcPr>
            <w:tcW w:w="418"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w:t>
            </w:r>
          </w:p>
        </w:tc>
        <w:tc>
          <w:tcPr>
            <w:tcW w:w="419"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-1D</w:t>
            </w:r>
          </w:p>
        </w:tc>
        <w:tc>
          <w:tcPr>
            <w:tcW w:w="427"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w:t>
            </w:r>
          </w:p>
        </w:tc>
        <w:tc>
          <w:tcPr>
            <w:tcW w:w="427"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+1C</w:t>
            </w:r>
          </w:p>
        </w:tc>
        <w:tc>
          <w:tcPr>
            <w:tcW w:w="479"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4" w:type="pct"/>
            <w:vMerge w:val="continue"/>
            <w:noWrap w:val="0"/>
            <w:vAlign w:val="center"/>
          </w:tcPr>
          <w:p>
            <w:pPr>
              <w:keepNext w:val="0"/>
              <w:keepLines w:val="0"/>
              <w:suppressLineNumbers w:val="0"/>
              <w:adjustRightInd w:val="0"/>
              <w:spacing w:before="0" w:beforeAutospacing="0" w:after="0" w:afterAutospacing="0" w:line="300" w:lineRule="atLeast"/>
              <w:ind w:left="0" w:right="0" w:firstLine="0" w:firstLineChars="0"/>
              <w:jc w:val="center"/>
              <w:rPr>
                <w:rFonts w:hint="default" w:ascii="Times New Roman" w:hAnsi="Times New Roman" w:cs="Times New Roman"/>
                <w:sz w:val="21"/>
                <w:szCs w:val="21"/>
              </w:rPr>
            </w:pPr>
          </w:p>
        </w:tc>
        <w:tc>
          <w:tcPr>
            <w:tcW w:w="582" w:type="pct"/>
            <w:noWrap w:val="0"/>
            <w:vAlign w:val="center"/>
          </w:tcPr>
          <w:p>
            <w:pPr>
              <w:keepNext w:val="0"/>
              <w:keepLines w:val="0"/>
              <w:suppressLineNumbers w:val="0"/>
              <w:adjustRightInd w:val="0"/>
              <w:spacing w:before="0" w:beforeAutospacing="0" w:after="0" w:afterAutospacing="0" w:line="300" w:lineRule="atLeast"/>
              <w:ind w:left="0" w:right="0"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河岸缓冲带建设工程</w:t>
            </w:r>
          </w:p>
        </w:tc>
        <w:tc>
          <w:tcPr>
            <w:tcW w:w="336"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+1C</w:t>
            </w:r>
          </w:p>
        </w:tc>
        <w:tc>
          <w:tcPr>
            <w:tcW w:w="362"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+1C</w:t>
            </w:r>
          </w:p>
        </w:tc>
        <w:tc>
          <w:tcPr>
            <w:tcW w:w="444"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+1C</w:t>
            </w:r>
          </w:p>
        </w:tc>
        <w:tc>
          <w:tcPr>
            <w:tcW w:w="547"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18"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w:t>
            </w:r>
          </w:p>
        </w:tc>
        <w:tc>
          <w:tcPr>
            <w:tcW w:w="419"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+1C</w:t>
            </w:r>
          </w:p>
        </w:tc>
        <w:tc>
          <w:tcPr>
            <w:tcW w:w="427"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+1C</w:t>
            </w:r>
          </w:p>
        </w:tc>
        <w:tc>
          <w:tcPr>
            <w:tcW w:w="427"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b/>
                <w:bCs/>
                <w:szCs w:val="21"/>
              </w:rPr>
            </w:pPr>
            <w:r>
              <w:rPr>
                <w:rFonts w:hint="default" w:ascii="Times New Roman" w:hAnsi="Times New Roman" w:cs="Times New Roman"/>
                <w:szCs w:val="21"/>
              </w:rPr>
              <w:t>+1C</w:t>
            </w:r>
          </w:p>
        </w:tc>
        <w:tc>
          <w:tcPr>
            <w:tcW w:w="479"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54" w:type="pct"/>
            <w:noWrap w:val="0"/>
            <w:vAlign w:val="center"/>
          </w:tcPr>
          <w:p>
            <w:pPr>
              <w:keepNext w:val="0"/>
              <w:keepLines w:val="0"/>
              <w:suppressLineNumbers w:val="0"/>
              <w:adjustRightInd w:val="0"/>
              <w:spacing w:before="0" w:beforeAutospacing="0" w:after="0" w:afterAutospacing="0" w:line="30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生产运营阶段</w:t>
            </w:r>
          </w:p>
        </w:tc>
        <w:tc>
          <w:tcPr>
            <w:tcW w:w="582" w:type="pct"/>
            <w:noWrap w:val="0"/>
            <w:vAlign w:val="center"/>
          </w:tcPr>
          <w:p>
            <w:pPr>
              <w:keepNext w:val="0"/>
              <w:keepLines w:val="0"/>
              <w:suppressLineNumbers w:val="0"/>
              <w:adjustRightInd w:val="0"/>
              <w:spacing w:before="0" w:beforeAutospacing="0" w:after="0" w:afterAutospacing="0" w:line="30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项目各水源涵养工程</w:t>
            </w:r>
          </w:p>
        </w:tc>
        <w:tc>
          <w:tcPr>
            <w:tcW w:w="336"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+1C</w:t>
            </w:r>
          </w:p>
        </w:tc>
        <w:tc>
          <w:tcPr>
            <w:tcW w:w="362"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+1C</w:t>
            </w:r>
          </w:p>
        </w:tc>
        <w:tc>
          <w:tcPr>
            <w:tcW w:w="444"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+1C</w:t>
            </w:r>
          </w:p>
        </w:tc>
        <w:tc>
          <w:tcPr>
            <w:tcW w:w="547" w:type="pct"/>
            <w:noWrap w:val="0"/>
            <w:vAlign w:val="center"/>
          </w:tcPr>
          <w:p>
            <w:pPr>
              <w:keepNext w:val="0"/>
              <w:keepLines w:val="0"/>
              <w:suppressLineNumbers w:val="0"/>
              <w:adjustRightInd w:val="0"/>
              <w:spacing w:before="0" w:beforeAutospacing="0" w:after="0" w:afterAutospacing="0" w:line="320" w:lineRule="exac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18"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w:t>
            </w:r>
          </w:p>
        </w:tc>
        <w:tc>
          <w:tcPr>
            <w:tcW w:w="419"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+1C</w:t>
            </w:r>
          </w:p>
        </w:tc>
        <w:tc>
          <w:tcPr>
            <w:tcW w:w="427"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+1C</w:t>
            </w:r>
          </w:p>
        </w:tc>
        <w:tc>
          <w:tcPr>
            <w:tcW w:w="427"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rPr>
                <w:rFonts w:hint="default" w:ascii="Times New Roman" w:hAnsi="Times New Roman" w:cs="Times New Roman"/>
                <w:szCs w:val="21"/>
              </w:rPr>
            </w:pPr>
            <w:r>
              <w:rPr>
                <w:rFonts w:hint="default" w:ascii="Times New Roman" w:hAnsi="Times New Roman" w:cs="Times New Roman"/>
                <w:szCs w:val="21"/>
              </w:rPr>
              <w:t>+1C</w:t>
            </w:r>
          </w:p>
        </w:tc>
        <w:tc>
          <w:tcPr>
            <w:tcW w:w="479" w:type="pct"/>
            <w:noWrap w:val="0"/>
            <w:vAlign w:val="center"/>
          </w:tcPr>
          <w:p>
            <w:pPr>
              <w:pStyle w:val="164"/>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w:t>
            </w:r>
          </w:p>
        </w:tc>
      </w:tr>
    </w:tbl>
    <w:p>
      <w:pPr>
        <w:pageBreakBefore w:val="0"/>
        <w:widowControl w:val="0"/>
        <w:kinsoku/>
        <w:wordWrap/>
        <w:overflowPunct/>
        <w:topLinePunct w:val="0"/>
        <w:autoSpaceDE/>
        <w:autoSpaceDN/>
        <w:bidi w:val="0"/>
        <w:adjustRightInd w:val="0"/>
        <w:snapToGrid w:val="0"/>
        <w:spacing w:line="360" w:lineRule="auto"/>
        <w:ind w:firstLine="360"/>
        <w:textAlignment w:val="auto"/>
        <w:rPr>
          <w:sz w:val="18"/>
          <w:szCs w:val="18"/>
        </w:rPr>
      </w:pPr>
      <w:r>
        <w:rPr>
          <w:sz w:val="18"/>
          <w:szCs w:val="18"/>
        </w:rPr>
        <w:t>注：“-”表示不利影响，“+”表示有利影响，“1”轻度影响、“2”中等影响、“3”重大影响、“D”短期影响、“C”长期影响。</w:t>
      </w:r>
    </w:p>
    <w:p>
      <w:pPr>
        <w:snapToGrid/>
        <w:ind w:firstLine="540"/>
      </w:pPr>
      <w:r>
        <w:rPr>
          <w:szCs w:val="24"/>
        </w:rPr>
        <w:t>通过分析可知，项目建设阶段机械作业、物料堆存、车辆运输等工序将对环境空气、水环境、声环境、土壤环境和生态环境产生一定程度的不利影响，该影响是局部的、短期的、可逆的，随着施工期的结束影响也将消失；项目</w:t>
      </w:r>
      <w:r>
        <w:rPr>
          <w:rFonts w:hint="eastAsia"/>
          <w:szCs w:val="24"/>
          <w:lang w:eastAsia="zh-CN"/>
        </w:rPr>
        <w:t>各水源涵养工程</w:t>
      </w:r>
      <w:r>
        <w:rPr>
          <w:szCs w:val="24"/>
        </w:rPr>
        <w:t>投入运行后，项目运营期对区域环境质量的提升起到正面的积极作用。</w:t>
      </w:r>
    </w:p>
    <w:p>
      <w:pPr>
        <w:pStyle w:val="6"/>
        <w:bidi w:val="0"/>
      </w:pPr>
      <w:bookmarkStart w:id="87" w:name="_Toc470785814"/>
      <w:bookmarkStart w:id="88" w:name="_Toc28952"/>
      <w:bookmarkStart w:id="89" w:name="_Toc269200622"/>
      <w:bookmarkStart w:id="90" w:name="_Toc215742682"/>
      <w:bookmarkStart w:id="91" w:name="_Toc286835697"/>
      <w:bookmarkStart w:id="92" w:name="_Toc205697167"/>
      <w:bookmarkStart w:id="93" w:name="_Toc282946122"/>
      <w:bookmarkStart w:id="94" w:name="_Toc215837085"/>
      <w:bookmarkStart w:id="95" w:name="_Toc286934632"/>
      <w:bookmarkStart w:id="96" w:name="_Toc283110167"/>
      <w:bookmarkStart w:id="97" w:name="_Toc282959692"/>
      <w:r>
        <w:t>2.3.2 评价因子</w:t>
      </w:r>
      <w:bookmarkEnd w:id="87"/>
      <w:r>
        <w:t>筛选</w:t>
      </w:r>
      <w:bookmarkEnd w:id="88"/>
    </w:p>
    <w:p>
      <w:pPr>
        <w:ind w:firstLine="480"/>
      </w:pPr>
      <w:r>
        <w:t>根据建设项目的特点、环境影响的主要特征</w:t>
      </w:r>
      <w:r>
        <w:rPr>
          <w:rFonts w:hint="eastAsia"/>
          <w:lang w:eastAsia="zh-CN"/>
        </w:rPr>
        <w:t>、</w:t>
      </w:r>
      <w:r>
        <w:rPr>
          <w:rFonts w:hint="default" w:ascii="Times New Roman" w:hAnsi="Times New Roman" w:cs="Times New Roman"/>
          <w:color w:val="auto"/>
          <w:spacing w:val="-2"/>
          <w:kern w:val="0"/>
          <w:szCs w:val="24"/>
        </w:rPr>
        <w:t>《环境影响评价技术导则 生态影响》（HJ19-2022）</w:t>
      </w:r>
      <w:r>
        <w:rPr>
          <w:rFonts w:hint="eastAsia" w:cs="Times New Roman"/>
          <w:color w:val="auto"/>
          <w:spacing w:val="-2"/>
          <w:kern w:val="0"/>
          <w:szCs w:val="24"/>
          <w:lang w:eastAsia="zh-CN"/>
        </w:rPr>
        <w:t>附录</w:t>
      </w:r>
      <w:r>
        <w:rPr>
          <w:rFonts w:hint="eastAsia" w:cs="Times New Roman"/>
          <w:color w:val="auto"/>
          <w:spacing w:val="-2"/>
          <w:kern w:val="0"/>
          <w:szCs w:val="24"/>
          <w:lang w:val="en-US" w:eastAsia="zh-CN"/>
        </w:rPr>
        <w:t>A的</w:t>
      </w:r>
      <w:r>
        <w:rPr>
          <w:rFonts w:hint="default" w:ascii="Times New Roman" w:hAnsi="Times New Roman" w:cs="Times New Roman"/>
          <w:color w:val="auto"/>
          <w:spacing w:val="-2"/>
          <w:kern w:val="0"/>
          <w:szCs w:val="24"/>
        </w:rPr>
        <w:t>相关规定</w:t>
      </w:r>
      <w:r>
        <w:t>，结合区域环境功能要求、环境保护目标、评价标准和环境制约因素，筛选确定评价因子。</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Style w:val="46"/>
          <w:rFonts w:hint="eastAsia" w:eastAsia="宋体"/>
          <w:bCs/>
          <w:color w:val="auto"/>
          <w:lang w:eastAsia="zh-CN"/>
        </w:rPr>
      </w:pPr>
      <w:r>
        <w:rPr>
          <w:rFonts w:hint="eastAsia"/>
          <w:b/>
          <w:color w:val="auto"/>
          <w:sz w:val="21"/>
          <w:szCs w:val="21"/>
        </w:rPr>
        <w:t>表</w:t>
      </w:r>
      <w:r>
        <w:rPr>
          <w:rStyle w:val="46"/>
          <w:rFonts w:hAnsi="Times New Roman"/>
        </w:rPr>
        <w:t>2</w:t>
      </w:r>
      <w:r>
        <w:rPr>
          <w:rStyle w:val="46"/>
          <w:rFonts w:hint="eastAsia" w:hAnsi="Times New Roman"/>
        </w:rPr>
        <w:t>.3</w:t>
      </w:r>
      <w:r>
        <w:rPr>
          <w:rStyle w:val="46"/>
          <w:rFonts w:hAnsi="Times New Roman"/>
        </w:rPr>
        <w:t xml:space="preserve">-2  </w:t>
      </w:r>
      <w:r>
        <w:rPr>
          <w:rStyle w:val="46"/>
          <w:rFonts w:hint="eastAsia"/>
          <w:bCs/>
          <w:color w:val="auto"/>
          <w:lang w:eastAsia="zh-CN"/>
        </w:rPr>
        <w:t>生态评价因子的确定</w:t>
      </w:r>
    </w:p>
    <w:tbl>
      <w:tblPr>
        <w:tblStyle w:val="40"/>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467"/>
        <w:gridCol w:w="3001"/>
        <w:gridCol w:w="2608"/>
        <w:gridCol w:w="786"/>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152" w:type="pct"/>
            <w:gridSpan w:val="2"/>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s="宋体"/>
                <w:b/>
                <w:bCs/>
                <w:color w:val="auto"/>
                <w:sz w:val="21"/>
                <w:szCs w:val="21"/>
                <w:lang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s="宋体"/>
                <w:b/>
                <w:bCs/>
                <w:color w:val="auto"/>
                <w:sz w:val="21"/>
                <w:szCs w:val="21"/>
                <w:lang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mc:AlternateContent>
                <mc:Choice Requires="wpsCustomData">
                  <wpsCustomData:diagonalParaType/>
                </mc:Choice>
              </mc:AlternateContent>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受影响对象</w:t>
            </w:r>
          </w:p>
          <w:p>
            <w:pPr>
              <w:pStyle w:val="2"/>
              <w:keepNext w:val="0"/>
              <w:keepLines w:val="0"/>
              <w:suppressLineNumbers w:val="0"/>
              <w:spacing w:before="0" w:beforeAutospacing="0" w:afterAutospacing="0"/>
              <w:ind w:left="0" w:right="0" w:firstLine="620" w:firstLineChars="300"/>
              <w:rPr>
                <w:rFonts w:hint="eastAsia" w:ascii="宋体" w:hAnsi="宋体" w:eastAsia="宋体" w:cs="宋体"/>
                <w:b/>
                <w:bCs/>
                <w:color w:val="auto"/>
                <w:spacing w:val="-2"/>
                <w:kern w:val="0"/>
                <w:sz w:val="21"/>
                <w:szCs w:val="21"/>
                <w:vertAlign w:val="baseline"/>
                <w:lang w:val="en-US" w:eastAsia="zh-CN"/>
              </w:rPr>
            </w:pPr>
            <w:r>
              <w:rPr>
                <w:rFonts w:hint="eastAsia" w:ascii="宋体" w:hAnsi="宋体" w:eastAsia="宋体" w:cs="宋体"/>
                <w:b/>
                <w:bCs/>
                <w:color w:val="auto"/>
                <w:spacing w:val="-2"/>
                <w:kern w:val="0"/>
                <w:sz w:val="21"/>
                <w:szCs w:val="21"/>
                <w:vertAlign w:val="baseline"/>
                <w:lang w:val="en-US" w:eastAsia="zh-CN"/>
              </w:rPr>
              <w:t>施工期</w:t>
            </w:r>
          </w:p>
          <w:p>
            <w:pPr>
              <w:pStyle w:val="2"/>
              <w:keepNext w:val="0"/>
              <w:keepLines w:val="0"/>
              <w:suppressLineNumbers w:val="0"/>
              <w:spacing w:before="0" w:beforeAutospacing="0" w:afterAutospacing="0"/>
              <w:ind w:left="0" w:right="0"/>
              <w:rPr>
                <w:rFonts w:hint="eastAsia" w:ascii="宋体" w:hAnsi="宋体" w:eastAsia="宋体" w:cs="宋体"/>
                <w:b/>
                <w:bCs/>
                <w:color w:val="auto"/>
                <w:spacing w:val="-2"/>
                <w:kern w:val="0"/>
                <w:sz w:val="21"/>
                <w:szCs w:val="21"/>
                <w:vertAlign w:val="baseline"/>
              </w:rPr>
            </w:pPr>
          </w:p>
          <w:p>
            <w:pPr>
              <w:pStyle w:val="2"/>
              <w:keepNext w:val="0"/>
              <w:keepLines w:val="0"/>
              <w:suppressLineNumbers w:val="0"/>
              <w:spacing w:before="0" w:beforeAutospacing="0" w:afterAutospacing="0"/>
              <w:ind w:left="0" w:right="0"/>
              <w:rPr>
                <w:rFonts w:hint="eastAsia" w:ascii="宋体" w:hAnsi="宋体" w:eastAsia="宋体" w:cs="宋体"/>
                <w:b/>
                <w:bCs/>
                <w:color w:val="auto"/>
                <w:spacing w:val="-2"/>
                <w:kern w:val="0"/>
                <w:sz w:val="21"/>
                <w:szCs w:val="21"/>
                <w:vertAlign w:val="baseline"/>
              </w:rPr>
            </w:pPr>
          </w:p>
        </w:tc>
        <w:tc>
          <w:tcPr>
            <w:tcW w:w="1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2"/>
                <w:kern w:val="0"/>
                <w:sz w:val="21"/>
                <w:szCs w:val="21"/>
                <w:vertAlign w:val="baseline"/>
                <w:lang w:val="en-US" w:eastAsia="zh-CN" w:bidi="ar-SA"/>
              </w:rPr>
            </w:pPr>
            <w:r>
              <w:rPr>
                <w:rFonts w:hint="eastAsia" w:cs="Times New Roman"/>
                <w:b/>
                <w:bCs/>
                <w:color w:val="auto"/>
                <w:spacing w:val="-2"/>
                <w:kern w:val="0"/>
                <w:sz w:val="21"/>
                <w:szCs w:val="21"/>
                <w:lang w:val="en-US" w:eastAsia="zh-CN"/>
              </w:rPr>
              <w:t>评价因子</w:t>
            </w:r>
          </w:p>
        </w:tc>
        <w:tc>
          <w:tcPr>
            <w:tcW w:w="140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bCs/>
                <w:color w:val="auto"/>
                <w:spacing w:val="-2"/>
                <w:kern w:val="0"/>
                <w:sz w:val="21"/>
                <w:szCs w:val="21"/>
                <w:lang w:val="en-US" w:eastAsia="zh-CN"/>
              </w:rPr>
            </w:pPr>
            <w:r>
              <w:rPr>
                <w:rFonts w:hint="eastAsia" w:cs="Times New Roman"/>
                <w:b/>
                <w:bCs/>
                <w:color w:val="auto"/>
                <w:spacing w:val="-2"/>
                <w:kern w:val="0"/>
                <w:sz w:val="21"/>
                <w:szCs w:val="21"/>
                <w:lang w:val="en-US" w:eastAsia="zh-CN"/>
              </w:rPr>
              <w:t>工程内容及影响</w:t>
            </w:r>
            <w:r>
              <w:rPr>
                <w:rFonts w:hint="eastAsia" w:cs="Times New Roman"/>
                <w:b/>
                <w:bCs/>
                <w:color w:val="auto"/>
                <w:spacing w:val="-2"/>
                <w:kern w:val="0"/>
                <w:sz w:val="21"/>
                <w:szCs w:val="21"/>
                <w:vertAlign w:val="baseline"/>
                <w:lang w:eastAsia="zh-CN"/>
              </w:rPr>
              <w:t>方式</w:t>
            </w:r>
          </w:p>
        </w:tc>
        <w:tc>
          <w:tcPr>
            <w:tcW w:w="42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2"/>
                <w:kern w:val="0"/>
                <w:sz w:val="21"/>
                <w:szCs w:val="21"/>
                <w:vertAlign w:val="baseline"/>
                <w:lang w:val="en-US" w:eastAsia="zh-CN" w:bidi="ar-SA"/>
              </w:rPr>
            </w:pPr>
            <w:r>
              <w:rPr>
                <w:rFonts w:hint="eastAsia" w:cs="Times New Roman"/>
                <w:b/>
                <w:bCs/>
                <w:color w:val="auto"/>
                <w:spacing w:val="-2"/>
                <w:kern w:val="0"/>
                <w:sz w:val="21"/>
                <w:szCs w:val="21"/>
                <w:lang w:val="en-US" w:eastAsia="zh-CN"/>
              </w:rPr>
              <w:t>影响性质</w:t>
            </w:r>
          </w:p>
        </w:tc>
        <w:tc>
          <w:tcPr>
            <w:tcW w:w="41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2"/>
                <w:kern w:val="0"/>
                <w:sz w:val="21"/>
                <w:szCs w:val="21"/>
                <w:vertAlign w:val="baseline"/>
                <w:lang w:eastAsia="zh-CN"/>
              </w:rPr>
            </w:pPr>
            <w:r>
              <w:rPr>
                <w:rFonts w:hint="eastAsia" w:cs="Times New Roman"/>
                <w:b/>
                <w:bCs/>
                <w:color w:val="auto"/>
                <w:spacing w:val="-2"/>
                <w:kern w:val="0"/>
                <w:sz w:val="21"/>
                <w:szCs w:val="21"/>
                <w:vertAlign w:val="baseline"/>
                <w:lang w:eastAsia="zh-CN"/>
              </w:rP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水生生态</w:t>
            </w:r>
          </w:p>
        </w:tc>
        <w:tc>
          <w:tcPr>
            <w:tcW w:w="7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物种</w:t>
            </w:r>
          </w:p>
        </w:tc>
        <w:tc>
          <w:tcPr>
            <w:tcW w:w="1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2"/>
                <w:kern w:val="0"/>
                <w:sz w:val="21"/>
                <w:szCs w:val="21"/>
                <w:vertAlign w:val="baseline"/>
                <w:lang w:val="en-US" w:eastAsia="zh-CN" w:bidi="ar-SA"/>
              </w:rPr>
            </w:pPr>
            <w:r>
              <w:rPr>
                <w:rFonts w:hint="eastAsia" w:cs="Times New Roman"/>
                <w:color w:val="auto"/>
                <w:spacing w:val="-2"/>
                <w:kern w:val="0"/>
                <w:sz w:val="21"/>
                <w:szCs w:val="21"/>
                <w:vertAlign w:val="baseline"/>
                <w:lang w:val="en-US" w:eastAsia="zh-CN" w:bidi="ar-SA"/>
              </w:rPr>
              <w:t>分布范围、种群数量</w:t>
            </w:r>
          </w:p>
        </w:tc>
        <w:tc>
          <w:tcPr>
            <w:tcW w:w="140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工程内容：河道疏浚工程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影响方式：直接生态影响</w:t>
            </w:r>
          </w:p>
        </w:tc>
        <w:tc>
          <w:tcPr>
            <w:tcW w:w="42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短期可逆</w:t>
            </w:r>
          </w:p>
        </w:tc>
        <w:tc>
          <w:tcPr>
            <w:tcW w:w="41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p>
        </w:tc>
        <w:tc>
          <w:tcPr>
            <w:tcW w:w="7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生境</w:t>
            </w:r>
          </w:p>
        </w:tc>
        <w:tc>
          <w:tcPr>
            <w:tcW w:w="1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面积、质量、连通性</w:t>
            </w:r>
          </w:p>
        </w:tc>
        <w:tc>
          <w:tcPr>
            <w:tcW w:w="140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工程内容：河道疏浚工程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影响方式：直接生态影响</w:t>
            </w:r>
          </w:p>
        </w:tc>
        <w:tc>
          <w:tcPr>
            <w:tcW w:w="42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短期可逆</w:t>
            </w:r>
          </w:p>
        </w:tc>
        <w:tc>
          <w:tcPr>
            <w:tcW w:w="41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p>
        </w:tc>
        <w:tc>
          <w:tcPr>
            <w:tcW w:w="7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生物群落</w:t>
            </w:r>
          </w:p>
        </w:tc>
        <w:tc>
          <w:tcPr>
            <w:tcW w:w="1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物种组成、群落结构</w:t>
            </w:r>
          </w:p>
        </w:tc>
        <w:tc>
          <w:tcPr>
            <w:tcW w:w="140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工程内容：河道疏浚工程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影响方式：直接生态影响</w:t>
            </w:r>
          </w:p>
        </w:tc>
        <w:tc>
          <w:tcPr>
            <w:tcW w:w="42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短期可逆</w:t>
            </w:r>
          </w:p>
        </w:tc>
        <w:tc>
          <w:tcPr>
            <w:tcW w:w="41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p>
        </w:tc>
        <w:tc>
          <w:tcPr>
            <w:tcW w:w="7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生态敏感区</w:t>
            </w:r>
          </w:p>
        </w:tc>
        <w:tc>
          <w:tcPr>
            <w:tcW w:w="1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主要保护对象、生态功能</w:t>
            </w:r>
          </w:p>
        </w:tc>
        <w:tc>
          <w:tcPr>
            <w:tcW w:w="140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工程内容：河道疏浚工程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影响方式：直接生态影响</w:t>
            </w:r>
          </w:p>
        </w:tc>
        <w:tc>
          <w:tcPr>
            <w:tcW w:w="42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短期可逆</w:t>
            </w:r>
          </w:p>
        </w:tc>
        <w:tc>
          <w:tcPr>
            <w:tcW w:w="41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p>
        </w:tc>
        <w:tc>
          <w:tcPr>
            <w:tcW w:w="78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自然景观</w:t>
            </w:r>
          </w:p>
        </w:tc>
        <w:tc>
          <w:tcPr>
            <w:tcW w:w="1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景观</w:t>
            </w:r>
          </w:p>
        </w:tc>
        <w:tc>
          <w:tcPr>
            <w:tcW w:w="140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工程内容：河道疏浚工程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影响方式：直接生态影响</w:t>
            </w:r>
          </w:p>
        </w:tc>
        <w:tc>
          <w:tcPr>
            <w:tcW w:w="42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短期可逆</w:t>
            </w:r>
          </w:p>
        </w:tc>
        <w:tc>
          <w:tcPr>
            <w:tcW w:w="41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pacing w:val="-2"/>
                <w:kern w:val="0"/>
                <w:sz w:val="21"/>
                <w:szCs w:val="21"/>
                <w:vertAlign w:val="baseline"/>
                <w:lang w:eastAsia="zh-CN"/>
              </w:rPr>
            </w:pPr>
            <w:r>
              <w:rPr>
                <w:rFonts w:hint="eastAsia" w:cs="Times New Roman"/>
                <w:color w:val="auto"/>
                <w:spacing w:val="-2"/>
                <w:kern w:val="0"/>
                <w:sz w:val="21"/>
                <w:szCs w:val="21"/>
                <w:vertAlign w:val="baseline"/>
                <w:lang w:eastAsia="zh-CN"/>
              </w:rPr>
              <w:t>弱</w:t>
            </w:r>
          </w:p>
        </w:tc>
      </w:tr>
    </w:tbl>
    <w:p>
      <w:pPr>
        <w:pStyle w:val="20"/>
        <w:keepNext w:val="0"/>
        <w:keepLines w:val="0"/>
        <w:pageBreakBefore w:val="0"/>
        <w:widowControl w:val="0"/>
        <w:kinsoku/>
        <w:wordWrap/>
        <w:overflowPunct/>
        <w:topLinePunct w:val="0"/>
        <w:autoSpaceDE/>
        <w:autoSpaceDN/>
        <w:bidi w:val="0"/>
        <w:adjustRightInd w:val="0"/>
        <w:snapToGrid w:val="0"/>
        <w:spacing w:before="174" w:beforeLines="50"/>
        <w:ind w:firstLine="0" w:firstLineChars="0"/>
        <w:jc w:val="center"/>
        <w:textAlignment w:val="auto"/>
        <w:rPr>
          <w:rStyle w:val="46"/>
          <w:rFonts w:hAnsi="Times New Roman"/>
        </w:rPr>
      </w:pPr>
      <w:r>
        <w:rPr>
          <w:rStyle w:val="46"/>
          <w:rFonts w:hAnsi="Times New Roman"/>
        </w:rPr>
        <w:t>表2</w:t>
      </w:r>
      <w:r>
        <w:rPr>
          <w:rStyle w:val="46"/>
          <w:rFonts w:hint="eastAsia" w:hAnsi="Times New Roman"/>
        </w:rPr>
        <w:t>.3</w:t>
      </w:r>
      <w:r>
        <w:rPr>
          <w:rStyle w:val="46"/>
          <w:rFonts w:hAnsi="Times New Roman"/>
        </w:rPr>
        <w:t>-</w:t>
      </w:r>
      <w:r>
        <w:rPr>
          <w:rStyle w:val="46"/>
          <w:rFonts w:hint="eastAsia" w:hAnsi="Times New Roman"/>
          <w:lang w:val="en-US" w:eastAsia="zh-CN"/>
        </w:rPr>
        <w:t>3</w:t>
      </w:r>
      <w:r>
        <w:rPr>
          <w:rStyle w:val="46"/>
          <w:rFonts w:hAnsi="Times New Roman"/>
        </w:rPr>
        <w:t xml:space="preserve">  </w:t>
      </w:r>
      <w:r>
        <w:rPr>
          <w:rStyle w:val="46"/>
          <w:rFonts w:hint="eastAsia" w:hAnsi="Times New Roman"/>
          <w:lang w:eastAsia="zh-CN"/>
        </w:rPr>
        <w:t>其他环境要素</w:t>
      </w:r>
      <w:r>
        <w:rPr>
          <w:rStyle w:val="46"/>
          <w:rFonts w:hAnsi="Times New Roman"/>
        </w:rPr>
        <w:t>评价因子</w:t>
      </w:r>
    </w:p>
    <w:bookmarkEnd w:id="89"/>
    <w:bookmarkEnd w:id="90"/>
    <w:bookmarkEnd w:id="91"/>
    <w:bookmarkEnd w:id="92"/>
    <w:bookmarkEnd w:id="93"/>
    <w:bookmarkEnd w:id="94"/>
    <w:bookmarkEnd w:id="95"/>
    <w:bookmarkEnd w:id="96"/>
    <w:bookmarkEnd w:id="97"/>
    <w:tbl>
      <w:tblPr>
        <w:tblStyle w:val="39"/>
        <w:tblW w:w="50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5"/>
        <w:gridCol w:w="1252"/>
        <w:gridCol w:w="1867"/>
        <w:gridCol w:w="5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579"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b/>
                <w:sz w:val="21"/>
                <w:szCs w:val="21"/>
              </w:rPr>
            </w:pPr>
            <w:bookmarkStart w:id="98" w:name="_Toc282959695"/>
            <w:bookmarkStart w:id="99" w:name="_Toc326754947"/>
            <w:bookmarkStart w:id="100" w:name="_Toc282946125"/>
            <w:bookmarkStart w:id="101" w:name="_Toc215742683"/>
            <w:bookmarkStart w:id="102" w:name="_Toc332632542"/>
            <w:bookmarkStart w:id="103" w:name="_Toc286835700"/>
            <w:bookmarkStart w:id="104" w:name="_Toc283110170"/>
            <w:bookmarkStart w:id="105" w:name="_Toc286934635"/>
            <w:bookmarkStart w:id="106" w:name="_Toc269200623"/>
            <w:bookmarkStart w:id="107" w:name="_Toc470785815"/>
            <w:r>
              <w:rPr>
                <w:rFonts w:hint="default" w:ascii="Times New Roman" w:hAnsi="Times New Roman" w:cs="Times New Roman"/>
                <w:b/>
                <w:sz w:val="21"/>
                <w:szCs w:val="21"/>
              </w:rPr>
              <w:t>影响要素</w:t>
            </w:r>
          </w:p>
        </w:tc>
        <w:tc>
          <w:tcPr>
            <w:tcW w:w="1666" w:type="pct"/>
            <w:gridSpan w:val="2"/>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阶段</w:t>
            </w:r>
          </w:p>
        </w:tc>
        <w:tc>
          <w:tcPr>
            <w:tcW w:w="2753"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9" w:type="pct"/>
            <w:vMerge w:val="restar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环境空气</w:t>
            </w:r>
          </w:p>
        </w:tc>
        <w:tc>
          <w:tcPr>
            <w:tcW w:w="669" w:type="pct"/>
            <w:vMerge w:val="restar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建设阶段</w:t>
            </w:r>
          </w:p>
        </w:tc>
        <w:tc>
          <w:tcPr>
            <w:tcW w:w="997"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现状调查评价</w:t>
            </w:r>
          </w:p>
        </w:tc>
        <w:tc>
          <w:tcPr>
            <w:tcW w:w="2753"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、CO、O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b/>
                <w:sz w:val="21"/>
                <w:szCs w:val="21"/>
              </w:rPr>
            </w:pPr>
          </w:p>
        </w:tc>
        <w:tc>
          <w:tcPr>
            <w:tcW w:w="66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p>
        </w:tc>
        <w:tc>
          <w:tcPr>
            <w:tcW w:w="997"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污染源评价</w:t>
            </w:r>
          </w:p>
        </w:tc>
        <w:tc>
          <w:tcPr>
            <w:tcW w:w="2753"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b/>
                <w:sz w:val="21"/>
                <w:szCs w:val="21"/>
              </w:rPr>
            </w:pPr>
          </w:p>
        </w:tc>
        <w:tc>
          <w:tcPr>
            <w:tcW w:w="66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p>
        </w:tc>
        <w:tc>
          <w:tcPr>
            <w:tcW w:w="997"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影响评价</w:t>
            </w:r>
          </w:p>
        </w:tc>
        <w:tc>
          <w:tcPr>
            <w:tcW w:w="2753"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9"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地表水</w:t>
            </w:r>
          </w:p>
        </w:tc>
        <w:tc>
          <w:tcPr>
            <w:tcW w:w="669" w:type="pct"/>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建设阶段</w:t>
            </w:r>
          </w:p>
        </w:tc>
        <w:tc>
          <w:tcPr>
            <w:tcW w:w="997" w:type="pct"/>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污染源分析</w:t>
            </w:r>
          </w:p>
        </w:tc>
        <w:tc>
          <w:tcPr>
            <w:tcW w:w="2753" w:type="pct"/>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ascii="Times New Roman" w:hAnsi="Times New Roman" w:eastAsia="宋体" w:cs="Times New Roman"/>
                <w:spacing w:val="20"/>
                <w:kern w:val="2"/>
                <w:sz w:val="21"/>
                <w:szCs w:val="21"/>
                <w:lang w:val="en-US" w:eastAsia="zh-CN" w:bidi="ar-SA"/>
              </w:rPr>
            </w:pPr>
            <w:r>
              <w:rPr>
                <w:rFonts w:hint="default" w:ascii="Times New Roman" w:hAnsi="Times New Roman" w:cs="Times New Roman"/>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9" w:type="pct"/>
            <w:vMerge w:val="restar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地下水</w:t>
            </w:r>
          </w:p>
        </w:tc>
        <w:tc>
          <w:tcPr>
            <w:tcW w:w="669" w:type="pct"/>
            <w:vMerge w:val="restar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eastAsia"/>
                <w:sz w:val="21"/>
                <w:szCs w:val="21"/>
              </w:rPr>
              <w:t>建设阶段/运行阶段</w:t>
            </w:r>
          </w:p>
        </w:tc>
        <w:tc>
          <w:tcPr>
            <w:tcW w:w="997"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现状调查评价</w:t>
            </w:r>
          </w:p>
        </w:tc>
        <w:tc>
          <w:tcPr>
            <w:tcW w:w="2753" w:type="pct"/>
            <w:noWrap w:val="0"/>
            <w:vAlign w:val="center"/>
          </w:tcPr>
          <w:p>
            <w:pPr>
              <w:keepNext w:val="0"/>
              <w:keepLines w:val="0"/>
              <w:suppressLineNumbers w:val="0"/>
              <w:spacing w:before="0" w:beforeAutospacing="0" w:after="0" w:afterAutospacing="0" w:line="240" w:lineRule="atLeast"/>
              <w:ind w:left="0" w:right="0" w:firstLine="0" w:firstLineChars="0"/>
              <w:jc w:val="left"/>
              <w:rPr>
                <w:rFonts w:hint="default" w:ascii="Times New Roman" w:hAnsi="Times New Roman" w:cs="Times New Roman"/>
                <w:sz w:val="21"/>
                <w:szCs w:val="21"/>
              </w:rPr>
            </w:pPr>
            <w:r>
              <w:rPr>
                <w:rFonts w:hint="default" w:ascii="Times New Roman" w:hAnsi="Times New Roman" w:cs="Times New Roman"/>
                <w:sz w:val="21"/>
                <w:szCs w:val="21"/>
              </w:rPr>
              <w:t>K</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、Na</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、Ca</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、Mg</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、HCO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、Cl</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色度、嗅和味、浑浊度、肉眼可见物、pH、总硬度、溶解性总固体、硫酸盐、氯化物、铁、锰、铜、锌、铝、挥发性酚类、阴离子表面活性剂、耗氧量、氨氮、硫化物、钠、总大肠菌群数、菌落总数、亚硝酸盐（以N计）、硝酸盐（以N计）、氰化物、氟化物、碘化物、汞、砷、硒、镉、六价铬、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rPr>
                <w:rFonts w:hint="default" w:ascii="Times New Roman" w:hAnsi="Times New Roman" w:cs="Times New Roman"/>
                <w:b/>
                <w:sz w:val="21"/>
                <w:szCs w:val="21"/>
              </w:rPr>
            </w:pPr>
          </w:p>
        </w:tc>
        <w:tc>
          <w:tcPr>
            <w:tcW w:w="66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p>
        </w:tc>
        <w:tc>
          <w:tcPr>
            <w:tcW w:w="997"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污染源评价</w:t>
            </w:r>
          </w:p>
        </w:tc>
        <w:tc>
          <w:tcPr>
            <w:tcW w:w="2753"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rPr>
                <w:rFonts w:hint="default" w:ascii="Times New Roman" w:hAnsi="Times New Roman" w:cs="Times New Roman"/>
                <w:b/>
                <w:sz w:val="21"/>
                <w:szCs w:val="21"/>
              </w:rPr>
            </w:pPr>
          </w:p>
        </w:tc>
        <w:tc>
          <w:tcPr>
            <w:tcW w:w="66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p>
        </w:tc>
        <w:tc>
          <w:tcPr>
            <w:tcW w:w="997"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影响评价</w:t>
            </w:r>
          </w:p>
        </w:tc>
        <w:tc>
          <w:tcPr>
            <w:tcW w:w="2753"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pct"/>
            <w:vMerge w:val="restar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声环境</w:t>
            </w:r>
          </w:p>
        </w:tc>
        <w:tc>
          <w:tcPr>
            <w:tcW w:w="669" w:type="pct"/>
            <w:vMerge w:val="restar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建设阶段</w:t>
            </w:r>
          </w:p>
        </w:tc>
        <w:tc>
          <w:tcPr>
            <w:tcW w:w="997"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现状调查评价</w:t>
            </w:r>
          </w:p>
        </w:tc>
        <w:tc>
          <w:tcPr>
            <w:tcW w:w="2753"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L</w:t>
            </w:r>
            <w:r>
              <w:rPr>
                <w:rFonts w:hint="eastAsia" w:cs="Times New Roman"/>
                <w:sz w:val="21"/>
                <w:szCs w:val="21"/>
                <w:vertAlign w:val="subscript"/>
                <w:lang w:val="en-US" w:eastAsia="zh-CN"/>
              </w:rPr>
              <w:t>d</w:t>
            </w:r>
            <w:r>
              <w:rPr>
                <w:rFonts w:hint="eastAsia" w:cs="Times New Roman"/>
                <w:sz w:val="21"/>
                <w:szCs w:val="21"/>
                <w:lang w:val="en-US" w:eastAsia="zh-CN"/>
              </w:rPr>
              <w:t>、L</w:t>
            </w:r>
            <w:r>
              <w:rPr>
                <w:rFonts w:hint="eastAsia" w:cs="Times New Roman"/>
                <w:sz w:val="21"/>
                <w:szCs w:val="21"/>
                <w:vertAlign w:val="subscript"/>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b/>
                <w:sz w:val="21"/>
                <w:szCs w:val="21"/>
              </w:rPr>
            </w:pPr>
          </w:p>
        </w:tc>
        <w:tc>
          <w:tcPr>
            <w:tcW w:w="66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p>
        </w:tc>
        <w:tc>
          <w:tcPr>
            <w:tcW w:w="997"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污染源评价</w:t>
            </w:r>
          </w:p>
        </w:tc>
        <w:tc>
          <w:tcPr>
            <w:tcW w:w="2753"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b/>
                <w:sz w:val="21"/>
                <w:szCs w:val="21"/>
              </w:rPr>
            </w:pPr>
          </w:p>
        </w:tc>
        <w:tc>
          <w:tcPr>
            <w:tcW w:w="66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p>
        </w:tc>
        <w:tc>
          <w:tcPr>
            <w:tcW w:w="997"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影响分析</w:t>
            </w:r>
          </w:p>
        </w:tc>
        <w:tc>
          <w:tcPr>
            <w:tcW w:w="2753"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eastAsia" w:cs="Times New Roman"/>
                <w:sz w:val="21"/>
                <w:szCs w:val="21"/>
                <w:lang w:val="en-US" w:eastAsia="zh-CN"/>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pct"/>
            <w:vMerge w:val="restar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固体废物</w:t>
            </w:r>
          </w:p>
        </w:tc>
        <w:tc>
          <w:tcPr>
            <w:tcW w:w="669" w:type="pct"/>
            <w:vMerge w:val="restar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建设阶段</w:t>
            </w:r>
          </w:p>
        </w:tc>
        <w:tc>
          <w:tcPr>
            <w:tcW w:w="997"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污染源评价</w:t>
            </w:r>
          </w:p>
        </w:tc>
        <w:tc>
          <w:tcPr>
            <w:tcW w:w="2753"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土石方、施工人员的生活垃圾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b/>
                <w:sz w:val="21"/>
                <w:szCs w:val="21"/>
              </w:rPr>
            </w:pPr>
          </w:p>
        </w:tc>
        <w:tc>
          <w:tcPr>
            <w:tcW w:w="669" w:type="pct"/>
            <w:vMerge w:val="continue"/>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p>
        </w:tc>
        <w:tc>
          <w:tcPr>
            <w:tcW w:w="997"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影响分析</w:t>
            </w:r>
          </w:p>
        </w:tc>
        <w:tc>
          <w:tcPr>
            <w:tcW w:w="2753"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土石方、施工人员的生活垃圾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579"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sz w:val="21"/>
                <w:szCs w:val="21"/>
                <w:lang w:eastAsia="zh-CN"/>
              </w:rPr>
            </w:pPr>
            <w:r>
              <w:rPr>
                <w:rFonts w:hint="eastAsia" w:cs="Times New Roman"/>
                <w:b/>
                <w:bCs/>
                <w:sz w:val="21"/>
                <w:szCs w:val="21"/>
                <w:lang w:eastAsia="zh-CN"/>
              </w:rPr>
              <w:t>土壤</w:t>
            </w:r>
          </w:p>
        </w:tc>
        <w:tc>
          <w:tcPr>
            <w:tcW w:w="669"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eastAsia"/>
                <w:sz w:val="21"/>
                <w:szCs w:val="21"/>
              </w:rPr>
              <w:t>建设阶段/运行阶段</w:t>
            </w:r>
          </w:p>
        </w:tc>
        <w:tc>
          <w:tcPr>
            <w:tcW w:w="997"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现状调查评价</w:t>
            </w:r>
          </w:p>
        </w:tc>
        <w:tc>
          <w:tcPr>
            <w:tcW w:w="2753" w:type="pct"/>
            <w:noWrap w:val="0"/>
            <w:vAlign w:val="center"/>
          </w:tcPr>
          <w:p>
            <w:pPr>
              <w:keepNext w:val="0"/>
              <w:keepLines w:val="0"/>
              <w:suppressLineNumbers w:val="0"/>
              <w:spacing w:before="0" w:beforeAutospacing="0" w:after="0" w:afterAutospacing="0" w:line="240" w:lineRule="atLeast"/>
              <w:ind w:left="0" w:right="0" w:firstLine="0" w:firstLineChars="0"/>
              <w:jc w:val="center"/>
              <w:rPr>
                <w:rFonts w:hint="eastAsia" w:ascii="Times New Roman" w:hAnsi="Times New Roman" w:eastAsia="宋体" w:cs="Times New Roman"/>
                <w:sz w:val="21"/>
                <w:szCs w:val="21"/>
                <w:lang w:val="en-US" w:eastAsia="zh-CN"/>
              </w:rPr>
            </w:pPr>
            <w:r>
              <w:rPr>
                <w:rFonts w:hint="default"/>
                <w:color w:val="000000" w:themeColor="text1"/>
                <w:sz w:val="21"/>
                <w:szCs w:val="21"/>
                <w14:textFill>
                  <w14:solidFill>
                    <w14:schemeClr w14:val="tx1"/>
                  </w14:solidFill>
                </w14:textFill>
              </w:rPr>
              <w:t>镉、汞、砷、锌、铅、铬、铜、镍</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pH、</w:t>
            </w:r>
            <w:r>
              <w:rPr>
                <w:rFonts w:hint="eastAsia"/>
                <w:color w:val="000000" w:themeColor="text1"/>
                <w:sz w:val="21"/>
                <w:szCs w:val="21"/>
                <w14:textFill>
                  <w14:solidFill>
                    <w14:schemeClr w14:val="tx1"/>
                  </w14:solidFill>
                </w14:textFill>
              </w:rPr>
              <w:t>土壤含盐量</w:t>
            </w:r>
            <w:r>
              <w:rPr>
                <w:rFonts w:hint="eastAsia"/>
                <w:color w:val="000000" w:themeColor="text1"/>
                <w:sz w:val="21"/>
                <w:szCs w:val="21"/>
                <w:lang w:val="en-US" w:eastAsia="zh-CN"/>
                <w14:textFill>
                  <w14:solidFill>
                    <w14:schemeClr w14:val="tx1"/>
                  </w14:solidFill>
                </w14:textFill>
              </w:rPr>
              <w:t xml:space="preserve"> </w:t>
            </w:r>
          </w:p>
        </w:tc>
      </w:tr>
    </w:tbl>
    <w:p>
      <w:pPr>
        <w:pStyle w:val="5"/>
        <w:spacing w:before="120" w:beforeLines="50"/>
        <w:rPr>
          <w:color w:val="000000" w:themeColor="text1"/>
          <w14:textFill>
            <w14:solidFill>
              <w14:schemeClr w14:val="tx1"/>
            </w14:solidFill>
          </w14:textFill>
        </w:rPr>
      </w:pPr>
      <w:bookmarkStart w:id="108" w:name="_Toc30372"/>
      <w:r>
        <w:t xml:space="preserve">2.4 </w:t>
      </w:r>
      <w:bookmarkEnd w:id="98"/>
      <w:bookmarkEnd w:id="99"/>
      <w:bookmarkEnd w:id="100"/>
      <w:bookmarkEnd w:id="101"/>
      <w:bookmarkEnd w:id="102"/>
      <w:bookmarkEnd w:id="103"/>
      <w:bookmarkEnd w:id="104"/>
      <w:bookmarkEnd w:id="105"/>
      <w:bookmarkEnd w:id="106"/>
      <w:r>
        <w:rPr>
          <w:color w:val="000000" w:themeColor="text1"/>
          <w14:textFill>
            <w14:solidFill>
              <w14:schemeClr w14:val="tx1"/>
            </w14:solidFill>
          </w14:textFill>
        </w:rPr>
        <w:t>环境影响评价等级的划分</w:t>
      </w:r>
      <w:bookmarkEnd w:id="107"/>
      <w:bookmarkEnd w:id="108"/>
    </w:p>
    <w:p>
      <w:pPr>
        <w:pStyle w:val="6"/>
        <w:bidi w:val="0"/>
      </w:pPr>
      <w:bookmarkStart w:id="109" w:name="_Toc326754805"/>
      <w:bookmarkStart w:id="110" w:name="_Toc286835701"/>
      <w:bookmarkStart w:id="111" w:name="_Toc282946126"/>
      <w:bookmarkStart w:id="112" w:name="_Toc326754948"/>
      <w:bookmarkStart w:id="113" w:name="_Toc324770196"/>
      <w:bookmarkStart w:id="114" w:name="_Toc282959696"/>
      <w:bookmarkStart w:id="115" w:name="_Toc324768938"/>
      <w:bookmarkStart w:id="116" w:name="_Toc332632543"/>
      <w:bookmarkStart w:id="117" w:name="_Toc324769734"/>
      <w:bookmarkStart w:id="118" w:name="_Toc283110171"/>
      <w:bookmarkStart w:id="119" w:name="_Toc286934636"/>
      <w:bookmarkStart w:id="120" w:name="_Toc470785816"/>
      <w:bookmarkStart w:id="121" w:name="_Toc19353"/>
      <w:r>
        <w:t>2.4.1</w:t>
      </w:r>
      <w:bookmarkEnd w:id="109"/>
      <w:bookmarkEnd w:id="110"/>
      <w:bookmarkEnd w:id="111"/>
      <w:bookmarkEnd w:id="112"/>
      <w:bookmarkEnd w:id="113"/>
      <w:bookmarkEnd w:id="114"/>
      <w:bookmarkEnd w:id="115"/>
      <w:bookmarkEnd w:id="116"/>
      <w:bookmarkEnd w:id="117"/>
      <w:bookmarkEnd w:id="118"/>
      <w:bookmarkEnd w:id="119"/>
      <w:bookmarkStart w:id="122" w:name="_Toc283110172"/>
      <w:bookmarkStart w:id="123" w:name="_Toc326754806"/>
      <w:bookmarkStart w:id="124" w:name="_Toc324770197"/>
      <w:bookmarkStart w:id="125" w:name="_Toc286835702"/>
      <w:bookmarkStart w:id="126" w:name="_Toc326754949"/>
      <w:bookmarkStart w:id="127" w:name="_Toc282959697"/>
      <w:bookmarkStart w:id="128" w:name="_Toc282946127"/>
      <w:bookmarkStart w:id="129" w:name="_Toc324769735"/>
      <w:bookmarkStart w:id="130" w:name="_Toc286934637"/>
      <w:bookmarkStart w:id="131" w:name="_Toc324768939"/>
      <w:bookmarkStart w:id="132" w:name="_Toc332632544"/>
      <w:r>
        <w:t xml:space="preserve"> </w:t>
      </w:r>
      <w:bookmarkEnd w:id="120"/>
      <w:bookmarkEnd w:id="122"/>
      <w:bookmarkEnd w:id="123"/>
      <w:bookmarkEnd w:id="124"/>
      <w:bookmarkEnd w:id="125"/>
      <w:bookmarkEnd w:id="126"/>
      <w:bookmarkEnd w:id="127"/>
      <w:bookmarkEnd w:id="128"/>
      <w:bookmarkEnd w:id="129"/>
      <w:bookmarkEnd w:id="130"/>
      <w:bookmarkEnd w:id="131"/>
      <w:bookmarkEnd w:id="132"/>
      <w:r>
        <w:t>地表水环境影响评价等级</w:t>
      </w:r>
      <w:bookmarkEnd w:id="121"/>
    </w:p>
    <w:p>
      <w:pPr>
        <w:ind w:firstLine="540"/>
        <w:rPr>
          <w:szCs w:val="24"/>
        </w:rPr>
      </w:pPr>
      <w:r>
        <w:rPr>
          <w:szCs w:val="24"/>
        </w:rPr>
        <w:t>项目运营期无废水产生。本项目在河道内建设</w:t>
      </w:r>
      <w:r>
        <w:rPr>
          <w:rFonts w:hint="eastAsia"/>
          <w:szCs w:val="24"/>
          <w:lang w:eastAsia="zh-CN"/>
        </w:rPr>
        <w:t>河道疏浚工程和生态</w:t>
      </w:r>
      <w:r>
        <w:rPr>
          <w:szCs w:val="24"/>
        </w:rPr>
        <w:t>植物种植工程，因此本项目为水文要素影响型建设项目。水文要素影响型建设项目评价工作分级判据见下表。</w:t>
      </w:r>
    </w:p>
    <w:p>
      <w:pPr>
        <w:pStyle w:val="144"/>
        <w:numPr>
          <w:ilvl w:val="0"/>
          <w:numId w:val="0"/>
        </w:numPr>
        <w:tabs>
          <w:tab w:val="left" w:pos="420"/>
        </w:tabs>
        <w:ind w:leftChars="0"/>
        <w:jc w:val="center"/>
        <w:rPr>
          <w:b/>
          <w:bCs/>
          <w:sz w:val="21"/>
          <w:szCs w:val="16"/>
        </w:rPr>
      </w:pPr>
      <w:r>
        <w:rPr>
          <w:rStyle w:val="46"/>
          <w:rFonts w:hAnsi="Times New Roman"/>
          <w:sz w:val="21"/>
          <w:szCs w:val="21"/>
          <w:highlight w:val="none"/>
        </w:rPr>
        <w:t>表2</w:t>
      </w:r>
      <w:r>
        <w:rPr>
          <w:rStyle w:val="46"/>
          <w:rFonts w:hint="eastAsia" w:hAnsi="Times New Roman"/>
          <w:sz w:val="21"/>
          <w:szCs w:val="21"/>
          <w:highlight w:val="none"/>
        </w:rPr>
        <w:t>.4</w:t>
      </w:r>
      <w:r>
        <w:rPr>
          <w:rStyle w:val="46"/>
          <w:rFonts w:hAnsi="Times New Roman"/>
          <w:sz w:val="21"/>
          <w:szCs w:val="21"/>
          <w:highlight w:val="none"/>
        </w:rPr>
        <w:t>-</w:t>
      </w:r>
      <w:r>
        <w:rPr>
          <w:rStyle w:val="46"/>
          <w:rFonts w:hint="eastAsia" w:hAnsi="Times New Roman"/>
          <w:sz w:val="21"/>
          <w:szCs w:val="21"/>
          <w:highlight w:val="none"/>
        </w:rPr>
        <w:t>1</w:t>
      </w:r>
      <w:r>
        <w:rPr>
          <w:rStyle w:val="46"/>
          <w:rFonts w:hAnsi="Times New Roman"/>
          <w:sz w:val="21"/>
          <w:szCs w:val="21"/>
          <w:highlight w:val="none"/>
        </w:rPr>
        <w:t xml:space="preserve">  </w:t>
      </w:r>
      <w:r>
        <w:rPr>
          <w:b/>
          <w:bCs/>
          <w:sz w:val="21"/>
          <w:szCs w:val="16"/>
        </w:rPr>
        <w:t>水文要素影响型建设项目评价等级判定表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106"/>
        <w:gridCol w:w="1736"/>
        <w:gridCol w:w="927"/>
        <w:gridCol w:w="1656"/>
        <w:gridCol w:w="1593"/>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blHeader/>
          <w:jc w:val="center"/>
        </w:trPr>
        <w:tc>
          <w:tcPr>
            <w:tcW w:w="452"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bidi="ar"/>
              </w:rPr>
              <w:t>评价等级</w:t>
            </w:r>
          </w:p>
        </w:tc>
        <w:tc>
          <w:tcPr>
            <w:tcW w:w="5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bidi="ar"/>
              </w:rPr>
              <w:t>水温</w:t>
            </w:r>
          </w:p>
        </w:tc>
        <w:tc>
          <w:tcPr>
            <w:tcW w:w="1399" w:type="pct"/>
            <w:gridSpan w:val="2"/>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bidi="ar"/>
              </w:rPr>
              <w:t>径流</w:t>
            </w:r>
          </w:p>
        </w:tc>
        <w:tc>
          <w:tcPr>
            <w:tcW w:w="2566" w:type="pct"/>
            <w:gridSpan w:val="3"/>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bidi="ar"/>
              </w:rPr>
              <w:t>受影响地表水域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blHeader/>
          <w:jc w:val="center"/>
        </w:trPr>
        <w:tc>
          <w:tcPr>
            <w:tcW w:w="452" w:type="pct"/>
            <w:vMerge w:val="continue"/>
            <w:noWrap w:val="0"/>
            <w:vAlign w:val="center"/>
          </w:tcPr>
          <w:p>
            <w:pPr>
              <w:keepNext w:val="0"/>
              <w:keepLines w:val="0"/>
              <w:suppressLineNumbers w:val="0"/>
              <w:spacing w:before="0" w:beforeAutospacing="0" w:after="0" w:afterAutospacing="0"/>
              <w:ind w:left="0" w:right="0" w:firstLine="481"/>
              <w:rPr>
                <w:rFonts w:hint="default" w:ascii="Times New Roman" w:hAnsi="Times New Roman" w:cs="Times New Roman"/>
                <w:b/>
                <w:bCs/>
                <w:sz w:val="21"/>
                <w:szCs w:val="21"/>
              </w:rPr>
            </w:pPr>
          </w:p>
        </w:tc>
        <w:tc>
          <w:tcPr>
            <w:tcW w:w="581"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bidi="ar"/>
              </w:rPr>
              <w:t>年径流量与总库容之比α</w:t>
            </w:r>
          </w:p>
        </w:tc>
        <w:tc>
          <w:tcPr>
            <w:tcW w:w="912"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bidi="ar"/>
              </w:rPr>
              <w:t>兴利库容与年径流量百分比β / %</w:t>
            </w:r>
          </w:p>
        </w:tc>
        <w:tc>
          <w:tcPr>
            <w:tcW w:w="487"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bidi="ar"/>
              </w:rPr>
              <w:t>取水量占多年平均径流量百分比γ / %</w:t>
            </w:r>
          </w:p>
        </w:tc>
        <w:tc>
          <w:tcPr>
            <w:tcW w:w="1707" w:type="pct"/>
            <w:gridSpan w:val="2"/>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bidi="ar"/>
              </w:rPr>
              <w:t>工程垂直投影面积及外扩范围A1/km</w:t>
            </w:r>
            <w:r>
              <w:rPr>
                <w:rFonts w:hint="default" w:ascii="Times New Roman" w:hAnsi="Times New Roman" w:cs="Times New Roman"/>
                <w:b/>
                <w:bCs/>
                <w:sz w:val="21"/>
                <w:szCs w:val="21"/>
                <w:vertAlign w:val="superscript"/>
                <w:lang w:bidi="ar"/>
              </w:rPr>
              <w:t>2</w:t>
            </w:r>
            <w:r>
              <w:rPr>
                <w:rFonts w:hint="default" w:ascii="Times New Roman" w:hAnsi="Times New Roman" w:cs="Times New Roman"/>
                <w:b/>
                <w:bCs/>
                <w:sz w:val="21"/>
                <w:szCs w:val="21"/>
                <w:lang w:bidi="ar"/>
              </w:rPr>
              <w:t>；工程扰动水底面积A2/km</w:t>
            </w:r>
            <w:r>
              <w:rPr>
                <w:rFonts w:hint="default" w:ascii="Times New Roman" w:hAnsi="Times New Roman" w:cs="Times New Roman"/>
                <w:b/>
                <w:bCs/>
                <w:sz w:val="21"/>
                <w:szCs w:val="21"/>
                <w:vertAlign w:val="superscript"/>
                <w:lang w:bidi="ar"/>
              </w:rPr>
              <w:t>2</w:t>
            </w:r>
            <w:r>
              <w:rPr>
                <w:rFonts w:hint="default" w:ascii="Times New Roman" w:hAnsi="Times New Roman" w:cs="Times New Roman"/>
                <w:b/>
                <w:bCs/>
                <w:sz w:val="21"/>
                <w:szCs w:val="21"/>
                <w:lang w:bidi="ar"/>
              </w:rPr>
              <w:t>；过水断面宽度占用比例或占用水域面积比例R/%</w:t>
            </w:r>
          </w:p>
        </w:tc>
        <w:tc>
          <w:tcPr>
            <w:tcW w:w="859"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bidi="ar"/>
              </w:rPr>
              <w:t>工程垂直投影面积及外扩范围A1/km</w:t>
            </w:r>
            <w:r>
              <w:rPr>
                <w:rFonts w:hint="default" w:ascii="Times New Roman" w:hAnsi="Times New Roman" w:cs="Times New Roman"/>
                <w:b/>
                <w:bCs/>
                <w:sz w:val="21"/>
                <w:szCs w:val="21"/>
                <w:vertAlign w:val="superscript"/>
                <w:lang w:bidi="ar"/>
              </w:rPr>
              <w:t>2</w:t>
            </w:r>
            <w:r>
              <w:rPr>
                <w:rFonts w:hint="default" w:ascii="Times New Roman" w:hAnsi="Times New Roman" w:cs="Times New Roman"/>
                <w:b/>
                <w:bCs/>
                <w:sz w:val="21"/>
                <w:szCs w:val="21"/>
                <w:lang w:bidi="ar"/>
              </w:rPr>
              <w:t>；工程扰动水底面积A2/km</w:t>
            </w:r>
            <w:r>
              <w:rPr>
                <w:rFonts w:hint="default" w:ascii="Times New Roman" w:hAnsi="Times New Roman" w:cs="Times New Roman"/>
                <w:b/>
                <w:bCs/>
                <w:sz w:val="21"/>
                <w:szCs w:val="21"/>
                <w:vertAlign w:val="superscript"/>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52" w:type="pct"/>
            <w:vMerge w:val="continue"/>
            <w:noWrap w:val="0"/>
            <w:vAlign w:val="center"/>
          </w:tcPr>
          <w:p>
            <w:pPr>
              <w:keepNext w:val="0"/>
              <w:keepLines w:val="0"/>
              <w:suppressLineNumbers w:val="0"/>
              <w:spacing w:before="0" w:beforeAutospacing="0" w:after="0" w:afterAutospacing="0"/>
              <w:ind w:left="0" w:right="0" w:firstLine="481"/>
              <w:rPr>
                <w:rFonts w:hint="default" w:ascii="Times New Roman" w:hAnsi="Times New Roman" w:cs="Times New Roman"/>
                <w:b/>
                <w:bCs/>
                <w:sz w:val="21"/>
                <w:szCs w:val="21"/>
              </w:rPr>
            </w:pPr>
          </w:p>
        </w:tc>
        <w:tc>
          <w:tcPr>
            <w:tcW w:w="581" w:type="pct"/>
            <w:vMerge w:val="continue"/>
            <w:noWrap w:val="0"/>
            <w:vAlign w:val="center"/>
          </w:tcPr>
          <w:p>
            <w:pPr>
              <w:keepNext w:val="0"/>
              <w:keepLines w:val="0"/>
              <w:suppressLineNumbers w:val="0"/>
              <w:spacing w:before="0" w:beforeAutospacing="0" w:after="0" w:afterAutospacing="0"/>
              <w:ind w:left="0" w:right="0" w:firstLine="481"/>
              <w:rPr>
                <w:rFonts w:hint="default" w:ascii="Times New Roman" w:hAnsi="Times New Roman" w:cs="Times New Roman"/>
                <w:b/>
                <w:bCs/>
                <w:sz w:val="21"/>
                <w:szCs w:val="21"/>
              </w:rPr>
            </w:pPr>
          </w:p>
        </w:tc>
        <w:tc>
          <w:tcPr>
            <w:tcW w:w="912" w:type="pct"/>
            <w:vMerge w:val="continue"/>
            <w:noWrap w:val="0"/>
            <w:vAlign w:val="center"/>
          </w:tcPr>
          <w:p>
            <w:pPr>
              <w:keepNext w:val="0"/>
              <w:keepLines w:val="0"/>
              <w:suppressLineNumbers w:val="0"/>
              <w:spacing w:before="0" w:beforeAutospacing="0" w:after="0" w:afterAutospacing="0"/>
              <w:ind w:left="0" w:right="0" w:firstLine="481"/>
              <w:rPr>
                <w:rFonts w:hint="default" w:ascii="Times New Roman" w:hAnsi="Times New Roman" w:cs="Times New Roman"/>
                <w:b/>
                <w:bCs/>
                <w:sz w:val="21"/>
                <w:szCs w:val="21"/>
              </w:rPr>
            </w:pPr>
          </w:p>
        </w:tc>
        <w:tc>
          <w:tcPr>
            <w:tcW w:w="487" w:type="pct"/>
            <w:vMerge w:val="continue"/>
            <w:noWrap w:val="0"/>
            <w:vAlign w:val="center"/>
          </w:tcPr>
          <w:p>
            <w:pPr>
              <w:keepNext w:val="0"/>
              <w:keepLines w:val="0"/>
              <w:suppressLineNumbers w:val="0"/>
              <w:spacing w:before="0" w:beforeAutospacing="0" w:after="0" w:afterAutospacing="0"/>
              <w:ind w:left="0" w:right="0" w:firstLine="481"/>
              <w:rPr>
                <w:rFonts w:hint="default" w:ascii="Times New Roman" w:hAnsi="Times New Roman" w:cs="Times New Roman"/>
                <w:b/>
                <w:bCs/>
                <w:sz w:val="21"/>
                <w:szCs w:val="21"/>
              </w:rPr>
            </w:pPr>
          </w:p>
        </w:tc>
        <w:tc>
          <w:tcPr>
            <w:tcW w:w="870"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bidi="ar"/>
              </w:rPr>
              <w:t>河流</w:t>
            </w:r>
          </w:p>
        </w:tc>
        <w:tc>
          <w:tcPr>
            <w:tcW w:w="83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bidi="ar"/>
              </w:rPr>
              <w:t>湖库</w:t>
            </w:r>
          </w:p>
        </w:tc>
        <w:tc>
          <w:tcPr>
            <w:tcW w:w="859"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lang w:bidi="ar"/>
              </w:rPr>
              <w:t>入海河口、近岸海域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2"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一级</w:t>
            </w:r>
          </w:p>
        </w:tc>
        <w:tc>
          <w:tcPr>
            <w:tcW w:w="5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α≤10；或稳定分层</w:t>
            </w:r>
          </w:p>
        </w:tc>
        <w:tc>
          <w:tcPr>
            <w:tcW w:w="912"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β≥20；或完全年调节与多年调节</w:t>
            </w:r>
          </w:p>
        </w:tc>
        <w:tc>
          <w:tcPr>
            <w:tcW w:w="48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γ≥30</w:t>
            </w:r>
          </w:p>
        </w:tc>
        <w:tc>
          <w:tcPr>
            <w:tcW w:w="870"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A1≥0.3；或A2≥1.5；或R≥10</w:t>
            </w:r>
          </w:p>
        </w:tc>
        <w:tc>
          <w:tcPr>
            <w:tcW w:w="83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A1≥0.3；或A2≥1.5；或R≥20</w:t>
            </w:r>
          </w:p>
        </w:tc>
        <w:tc>
          <w:tcPr>
            <w:tcW w:w="859"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A1≥0.5；或A2≥3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452"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二级</w:t>
            </w:r>
          </w:p>
        </w:tc>
        <w:tc>
          <w:tcPr>
            <w:tcW w:w="5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20＞α＞10；或不稳定分层</w:t>
            </w:r>
          </w:p>
        </w:tc>
        <w:tc>
          <w:tcPr>
            <w:tcW w:w="912"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20＞β＞2；或季调节与不完全年调节</w:t>
            </w:r>
          </w:p>
        </w:tc>
        <w:tc>
          <w:tcPr>
            <w:tcW w:w="48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30＞γ＞10</w:t>
            </w:r>
          </w:p>
        </w:tc>
        <w:tc>
          <w:tcPr>
            <w:tcW w:w="870"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0.3＞A1＞0.05；或1.5＞A2＞0.2；或10＞R＞5</w:t>
            </w:r>
          </w:p>
        </w:tc>
        <w:tc>
          <w:tcPr>
            <w:tcW w:w="83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0.3＞A1＞0.05；或1.5＞A2＞0.2；或20＞R＞5</w:t>
            </w:r>
          </w:p>
        </w:tc>
        <w:tc>
          <w:tcPr>
            <w:tcW w:w="859"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0.5＞A1＞0.15；或3＞A2＞0.5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三级</w:t>
            </w:r>
          </w:p>
        </w:tc>
        <w:tc>
          <w:tcPr>
            <w:tcW w:w="5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α≥20；或混合型</w:t>
            </w:r>
          </w:p>
        </w:tc>
        <w:tc>
          <w:tcPr>
            <w:tcW w:w="912"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β≤2；或无调节</w:t>
            </w:r>
          </w:p>
        </w:tc>
        <w:tc>
          <w:tcPr>
            <w:tcW w:w="48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γ≤10</w:t>
            </w:r>
          </w:p>
        </w:tc>
        <w:tc>
          <w:tcPr>
            <w:tcW w:w="870"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A1≤0.05；或A2≤0.2；或R≤5</w:t>
            </w:r>
          </w:p>
        </w:tc>
        <w:tc>
          <w:tcPr>
            <w:tcW w:w="83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A1≤0.05；或A2≤0.2；或R≤5</w:t>
            </w:r>
          </w:p>
        </w:tc>
        <w:tc>
          <w:tcPr>
            <w:tcW w:w="859"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bidi="ar"/>
              </w:rPr>
              <w:t>A1≤0.15；或A2≤0.5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2" w:hRule="atLeast"/>
          <w:jc w:val="center"/>
        </w:trPr>
        <w:tc>
          <w:tcPr>
            <w:tcW w:w="5000" w:type="pct"/>
            <w:gridSpan w:val="7"/>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left"/>
              <w:rPr>
                <w:rFonts w:hint="default" w:ascii="Times New Roman" w:hAnsi="Times New Roman" w:cs="Times New Roman"/>
                <w:sz w:val="21"/>
                <w:szCs w:val="21"/>
                <w:lang w:bidi="ar"/>
              </w:rPr>
            </w:pPr>
            <w:r>
              <w:rPr>
                <w:rFonts w:hint="default" w:ascii="Times New Roman" w:hAnsi="Times New Roman" w:cs="Times New Roman"/>
                <w:sz w:val="21"/>
                <w:szCs w:val="21"/>
                <w:lang w:bidi="ar"/>
              </w:rPr>
              <w:t>注1：影响范围涉及饮用水水源保护区、重点保护与珍稀水生生物的栖息地、重要水生生物的自然产卵场、自然保护区等保护目标，评价等级应不低于二级。注2：跨流域调水、引水式电站、可能受到大型河流感潮河段咸潮影响的建设项目，评价等级不低于二级。注3：造成入海河口（湾口）宽度束窄（束窄尺度达到原宽度的5%以上），评价等级应不低于二级。注4：对不透水的单方向建筑尺度较长的水工建筑物（如防波堤、导流堤等），其与潮流或水流主流向切线垂直方向投影长度大于2 km时，评价等级应不低于二级。 注5：允许在一类海域建设的项目，评价等级为一级。注6：同时存在多个水文要素影响的建设项目，分别判定各水文要素影响评价等级，并取其中最高等级作为水文要素影响型建设项目评价等级。</w:t>
            </w:r>
          </w:p>
        </w:tc>
      </w:tr>
    </w:tbl>
    <w:p>
      <w:pPr>
        <w:keepNext w:val="0"/>
        <w:keepLines w:val="0"/>
        <w:pageBreakBefore w:val="0"/>
        <w:widowControl w:val="0"/>
        <w:kinsoku/>
        <w:wordWrap/>
        <w:overflowPunct/>
        <w:topLinePunct w:val="0"/>
        <w:autoSpaceDE/>
        <w:autoSpaceDN/>
        <w:bidi w:val="0"/>
        <w:adjustRightInd w:val="0"/>
        <w:snapToGrid w:val="0"/>
        <w:spacing w:before="174" w:beforeLines="50"/>
        <w:textAlignment w:val="auto"/>
      </w:pPr>
      <w:r>
        <w:rPr>
          <w:rFonts w:hint="eastAsia"/>
        </w:rPr>
        <w:t>1、水温、径流</w:t>
      </w:r>
    </w:p>
    <w:p>
      <w:pPr>
        <w:bidi w:val="0"/>
        <w:rPr>
          <w:rFonts w:hint="eastAsia" w:eastAsia="宋体"/>
          <w:szCs w:val="24"/>
          <w:lang w:eastAsia="zh-CN"/>
        </w:rPr>
      </w:pPr>
      <w:r>
        <w:t>本项目主体工程包括</w:t>
      </w:r>
      <w:r>
        <w:rPr>
          <w:rFonts w:hint="eastAsia"/>
          <w:lang w:eastAsia="zh-CN"/>
        </w:rPr>
        <w:t>河道清理、</w:t>
      </w:r>
      <w:r>
        <w:t>生态护岸、</w:t>
      </w:r>
      <w:r>
        <w:rPr>
          <w:rFonts w:hint="eastAsia"/>
          <w:lang w:eastAsia="zh-CN"/>
        </w:rPr>
        <w:t>生态</w:t>
      </w:r>
      <w:r>
        <w:t>植物种植</w:t>
      </w:r>
      <w:r>
        <w:rPr>
          <w:rFonts w:hint="eastAsia"/>
        </w:rPr>
        <w:t>、</w:t>
      </w:r>
      <w:r>
        <w:rPr>
          <w:rFonts w:hint="eastAsia"/>
          <w:lang w:eastAsia="zh-CN"/>
        </w:rPr>
        <w:t>生态步道</w:t>
      </w:r>
      <w:r>
        <w:t>等。</w:t>
      </w:r>
      <w:r>
        <w:rPr>
          <w:rFonts w:hint="eastAsia"/>
          <w:lang w:eastAsia="zh-CN"/>
        </w:rPr>
        <w:t>其中，</w:t>
      </w:r>
      <w:r>
        <w:rPr>
          <w:rFonts w:hint="eastAsia"/>
        </w:rPr>
        <w:t>生态植物种植、生态步道</w:t>
      </w:r>
      <w:r>
        <w:rPr>
          <w:rFonts w:hint="eastAsia"/>
          <w:lang w:eastAsia="zh-CN"/>
        </w:rPr>
        <w:t>为岸坡工程，不占用河道范围；河道清理、生态护岸运行后不涉水。项目的建设不会使河流</w:t>
      </w:r>
      <w:r>
        <w:t>出现</w:t>
      </w:r>
      <w:r>
        <w:rPr>
          <w:rFonts w:hint="eastAsia"/>
        </w:rPr>
        <w:t>明显的</w:t>
      </w:r>
      <w:r>
        <w:t>蓄水和水位抬升，</w:t>
      </w:r>
      <w:r>
        <w:rPr>
          <w:rFonts w:hint="eastAsia"/>
          <w:lang w:eastAsia="zh-CN"/>
        </w:rPr>
        <w:t>同时</w:t>
      </w:r>
      <w:r>
        <w:t>项目不属于水库建设工程和取水工程，</w:t>
      </w:r>
      <w:r>
        <w:rPr>
          <w:rFonts w:hint="eastAsia"/>
        </w:rPr>
        <w:t>项目各工程的实施</w:t>
      </w:r>
      <w:r>
        <w:t>不会导致河流水温出现分层现象</w:t>
      </w:r>
      <w:r>
        <w:rPr>
          <w:rFonts w:hint="eastAsia"/>
          <w:lang w:eastAsia="zh-CN"/>
        </w:rPr>
        <w:t>，不会导致河流径流流量发生明</w:t>
      </w:r>
      <w:r>
        <w:rPr>
          <w:rFonts w:hint="eastAsia"/>
          <w:szCs w:val="24"/>
          <w:lang w:eastAsia="zh-CN"/>
        </w:rPr>
        <w:t>显变化，因此，项目属于影响地表水域要素的影响类型建设项目。</w:t>
      </w:r>
    </w:p>
    <w:p>
      <w:pPr>
        <w:numPr>
          <w:ilvl w:val="0"/>
          <w:numId w:val="8"/>
        </w:numPr>
        <w:adjustRightInd w:val="0"/>
        <w:ind w:firstLine="540"/>
        <w:rPr>
          <w:rFonts w:hint="eastAsia"/>
          <w:szCs w:val="24"/>
        </w:rPr>
      </w:pPr>
      <w:r>
        <w:rPr>
          <w:rFonts w:hint="eastAsia"/>
          <w:szCs w:val="24"/>
        </w:rPr>
        <w:t>受影响地表水域</w:t>
      </w:r>
    </w:p>
    <w:p>
      <w:pPr>
        <w:bidi w:val="0"/>
        <w:rPr>
          <w:rFonts w:hint="eastAsia"/>
          <w:szCs w:val="24"/>
        </w:rPr>
      </w:pPr>
      <w:r>
        <w:rPr>
          <w:rFonts w:hint="eastAsia"/>
          <w:szCs w:val="24"/>
        </w:rPr>
        <w:t>项目影响的地表水域主要是河流（</w:t>
      </w:r>
      <w:r>
        <w:rPr>
          <w:rFonts w:hint="eastAsia"/>
          <w:szCs w:val="24"/>
          <w:lang w:eastAsia="zh-CN"/>
        </w:rPr>
        <w:t>柳河</w:t>
      </w:r>
      <w:r>
        <w:rPr>
          <w:rFonts w:hint="eastAsia"/>
          <w:szCs w:val="24"/>
        </w:rPr>
        <w:t>）。</w:t>
      </w:r>
    </w:p>
    <w:p>
      <w:pPr>
        <w:bidi w:val="0"/>
        <w:rPr>
          <w:rFonts w:hint="eastAsia"/>
          <w:szCs w:val="24"/>
        </w:rPr>
      </w:pPr>
      <w:r>
        <w:rPr>
          <w:rFonts w:hint="eastAsia"/>
          <w:szCs w:val="24"/>
        </w:rPr>
        <w:t>（1）工程垂直投影面积及外扩范围A1/km</w:t>
      </w:r>
      <w:r>
        <w:rPr>
          <w:rFonts w:hint="eastAsia"/>
          <w:szCs w:val="24"/>
          <w:vertAlign w:val="superscript"/>
        </w:rPr>
        <w:t>2</w:t>
      </w:r>
    </w:p>
    <w:p>
      <w:pPr>
        <w:bidi w:val="0"/>
        <w:rPr>
          <w:rFonts w:hint="eastAsia"/>
          <w:szCs w:val="24"/>
        </w:rPr>
      </w:pPr>
      <w:r>
        <w:rPr>
          <w:rFonts w:hint="eastAsia"/>
          <w:szCs w:val="24"/>
        </w:rPr>
        <w:t>项目生态植物种植、生态步道</w:t>
      </w:r>
      <w:r>
        <w:rPr>
          <w:rFonts w:hint="eastAsia"/>
          <w:szCs w:val="24"/>
          <w:lang w:eastAsia="zh-CN"/>
        </w:rPr>
        <w:t>等工程均不占用河道范围。河道清理属于施工期工程，不在河道范围内建设永久性的水工构筑物，生态护岸于河道边界处建设，因此项目各</w:t>
      </w:r>
      <w:r>
        <w:rPr>
          <w:rFonts w:hint="eastAsia"/>
          <w:szCs w:val="24"/>
        </w:rPr>
        <w:t>工程垂直投影面积及外扩范围A1取</w:t>
      </w:r>
      <w:r>
        <w:rPr>
          <w:rFonts w:hint="eastAsia"/>
          <w:szCs w:val="24"/>
          <w:lang w:val="en-US" w:eastAsia="zh-CN"/>
        </w:rPr>
        <w:t>0</w:t>
      </w:r>
      <w:r>
        <w:rPr>
          <w:rFonts w:hint="eastAsia"/>
          <w:szCs w:val="24"/>
        </w:rPr>
        <w:t>。</w:t>
      </w:r>
    </w:p>
    <w:p>
      <w:pPr>
        <w:bidi w:val="0"/>
        <w:rPr>
          <w:rFonts w:hint="eastAsia"/>
          <w:szCs w:val="24"/>
        </w:rPr>
      </w:pPr>
      <w:r>
        <w:rPr>
          <w:rFonts w:hint="eastAsia"/>
          <w:szCs w:val="24"/>
        </w:rPr>
        <w:t>（2）工程扰动水底面积A2/km</w:t>
      </w:r>
      <w:r>
        <w:rPr>
          <w:rFonts w:hint="eastAsia"/>
          <w:szCs w:val="24"/>
          <w:vertAlign w:val="superscript"/>
        </w:rPr>
        <w:t>2</w:t>
      </w:r>
    </w:p>
    <w:p>
      <w:pPr>
        <w:bidi w:val="0"/>
        <w:rPr>
          <w:rFonts w:hint="eastAsia"/>
          <w:szCs w:val="24"/>
        </w:rPr>
      </w:pPr>
      <w:r>
        <w:rPr>
          <w:rFonts w:hint="eastAsia"/>
          <w:szCs w:val="24"/>
        </w:rPr>
        <w:t>项目</w:t>
      </w:r>
      <w:r>
        <w:rPr>
          <w:rFonts w:hint="eastAsia"/>
          <w:szCs w:val="24"/>
          <w:lang w:eastAsia="zh-CN"/>
        </w:rPr>
        <w:t>河道清理</w:t>
      </w:r>
      <w:r>
        <w:rPr>
          <w:rFonts w:hint="eastAsia"/>
          <w:szCs w:val="24"/>
        </w:rPr>
        <w:t>扰动水底面积A2约为</w:t>
      </w:r>
      <w:r>
        <w:rPr>
          <w:rFonts w:hint="eastAsia"/>
          <w:szCs w:val="24"/>
          <w:lang w:val="en-US" w:eastAsia="zh-CN"/>
        </w:rPr>
        <w:t>0.0299</w:t>
      </w:r>
      <w:r>
        <w:rPr>
          <w:rFonts w:hint="eastAsia"/>
          <w:szCs w:val="24"/>
        </w:rPr>
        <w:t>km</w:t>
      </w:r>
      <w:r>
        <w:rPr>
          <w:rFonts w:hint="eastAsia"/>
          <w:szCs w:val="24"/>
          <w:vertAlign w:val="superscript"/>
        </w:rPr>
        <w:t>2</w:t>
      </w:r>
      <w:r>
        <w:rPr>
          <w:rFonts w:hint="eastAsia"/>
          <w:szCs w:val="24"/>
        </w:rPr>
        <w:t>；生态护岸工程对河流水底的扰动较小，不计入面积总数；生态植物种植、生态步道</w:t>
      </w:r>
      <w:r>
        <w:rPr>
          <w:rFonts w:hint="eastAsia"/>
          <w:szCs w:val="24"/>
          <w:lang w:eastAsia="zh-CN"/>
        </w:rPr>
        <w:t>工程</w:t>
      </w:r>
      <w:r>
        <w:rPr>
          <w:rFonts w:hint="eastAsia"/>
          <w:szCs w:val="24"/>
        </w:rPr>
        <w:t>不涉水。</w:t>
      </w:r>
    </w:p>
    <w:p>
      <w:pPr>
        <w:bidi w:val="0"/>
        <w:rPr>
          <w:rFonts w:hint="eastAsia"/>
          <w:szCs w:val="24"/>
        </w:rPr>
      </w:pPr>
      <w:r>
        <w:rPr>
          <w:rFonts w:hint="eastAsia"/>
          <w:szCs w:val="24"/>
        </w:rPr>
        <w:t>综上，工程扰动水底面积A2取值0.0</w:t>
      </w:r>
      <w:r>
        <w:rPr>
          <w:rFonts w:hint="eastAsia"/>
          <w:szCs w:val="24"/>
          <w:lang w:val="en-US" w:eastAsia="zh-CN"/>
        </w:rPr>
        <w:t>299</w:t>
      </w:r>
      <w:r>
        <w:rPr>
          <w:rFonts w:hint="eastAsia"/>
          <w:szCs w:val="24"/>
        </w:rPr>
        <w:t>km</w:t>
      </w:r>
      <w:r>
        <w:rPr>
          <w:rFonts w:hint="eastAsia"/>
          <w:szCs w:val="24"/>
          <w:vertAlign w:val="superscript"/>
        </w:rPr>
        <w:t>2</w:t>
      </w:r>
      <w:r>
        <w:rPr>
          <w:rFonts w:hint="eastAsia"/>
          <w:szCs w:val="24"/>
        </w:rPr>
        <w:t>。</w:t>
      </w:r>
    </w:p>
    <w:p>
      <w:pPr>
        <w:bidi w:val="0"/>
        <w:rPr>
          <w:rFonts w:hint="eastAsia"/>
          <w:szCs w:val="24"/>
        </w:rPr>
      </w:pPr>
      <w:r>
        <w:rPr>
          <w:rFonts w:hint="eastAsia"/>
          <w:szCs w:val="24"/>
        </w:rPr>
        <w:t>（3）过水断面宽度占用比例或占用水域面积比例R/%</w:t>
      </w:r>
    </w:p>
    <w:p>
      <w:pPr>
        <w:bidi w:val="0"/>
        <w:rPr>
          <w:rFonts w:hint="eastAsia"/>
          <w:szCs w:val="24"/>
        </w:rPr>
      </w:pPr>
      <w:r>
        <w:rPr>
          <w:rFonts w:hint="eastAsia"/>
          <w:szCs w:val="24"/>
        </w:rPr>
        <w:t>项目</w:t>
      </w:r>
      <w:r>
        <w:rPr>
          <w:rFonts w:hint="eastAsia"/>
          <w:szCs w:val="24"/>
          <w:lang w:eastAsia="zh-CN"/>
        </w:rPr>
        <w:t>各工程均</w:t>
      </w:r>
      <w:r>
        <w:rPr>
          <w:rFonts w:hint="eastAsia"/>
          <w:szCs w:val="24"/>
        </w:rPr>
        <w:t>不占用过水断面或水域</w:t>
      </w:r>
      <w:r>
        <w:rPr>
          <w:rFonts w:hint="eastAsia"/>
          <w:szCs w:val="24"/>
          <w:lang w:eastAsia="zh-CN"/>
        </w:rPr>
        <w:t>，不会对河流过水断面和水域面积造成影响</w:t>
      </w:r>
      <w:r>
        <w:rPr>
          <w:rFonts w:hint="eastAsia"/>
          <w:szCs w:val="24"/>
        </w:rPr>
        <w:t>。</w:t>
      </w:r>
    </w:p>
    <w:p>
      <w:pPr>
        <w:adjustRightInd w:val="0"/>
        <w:ind w:firstLine="540"/>
        <w:rPr>
          <w:szCs w:val="24"/>
        </w:rPr>
      </w:pPr>
      <w:r>
        <w:rPr>
          <w:kern w:val="2"/>
          <w:szCs w:val="24"/>
          <w:lang w:bidi="ar"/>
        </w:rPr>
        <w:t>综上，项目A1（</w:t>
      </w:r>
      <w:r>
        <w:rPr>
          <w:rFonts w:hint="eastAsia"/>
          <w:kern w:val="2"/>
          <w:szCs w:val="24"/>
          <w:lang w:val="en-US" w:eastAsia="zh-CN" w:bidi="ar"/>
        </w:rPr>
        <w:t>0</w:t>
      </w:r>
      <w:r>
        <w:rPr>
          <w:kern w:val="2"/>
          <w:szCs w:val="24"/>
          <w:lang w:bidi="ar"/>
        </w:rPr>
        <w:t>km</w:t>
      </w:r>
      <w:r>
        <w:rPr>
          <w:kern w:val="2"/>
          <w:szCs w:val="24"/>
          <w:vertAlign w:val="superscript"/>
          <w:lang w:bidi="ar"/>
        </w:rPr>
        <w:t>2</w:t>
      </w:r>
      <w:r>
        <w:rPr>
          <w:kern w:val="2"/>
          <w:szCs w:val="24"/>
          <w:lang w:bidi="ar"/>
        </w:rPr>
        <w:t>）≤0.05km</w:t>
      </w:r>
      <w:r>
        <w:rPr>
          <w:kern w:val="2"/>
          <w:szCs w:val="24"/>
          <w:vertAlign w:val="superscript"/>
          <w:lang w:bidi="ar"/>
        </w:rPr>
        <w:t>2</w:t>
      </w:r>
      <w:r>
        <w:rPr>
          <w:kern w:val="2"/>
          <w:szCs w:val="24"/>
          <w:lang w:bidi="ar"/>
        </w:rPr>
        <w:t>，A2（0.</w:t>
      </w:r>
      <w:r>
        <w:rPr>
          <w:rFonts w:hint="eastAsia"/>
          <w:kern w:val="2"/>
          <w:szCs w:val="24"/>
          <w:lang w:val="en-US" w:eastAsia="zh-CN" w:bidi="ar"/>
        </w:rPr>
        <w:t>0299</w:t>
      </w:r>
      <w:r>
        <w:rPr>
          <w:kern w:val="2"/>
          <w:szCs w:val="24"/>
          <w:lang w:bidi="ar"/>
        </w:rPr>
        <w:t>km</w:t>
      </w:r>
      <w:r>
        <w:rPr>
          <w:kern w:val="2"/>
          <w:szCs w:val="24"/>
          <w:vertAlign w:val="superscript"/>
          <w:lang w:bidi="ar"/>
        </w:rPr>
        <w:t>2</w:t>
      </w:r>
      <w:r>
        <w:rPr>
          <w:kern w:val="2"/>
          <w:szCs w:val="24"/>
          <w:lang w:bidi="ar"/>
        </w:rPr>
        <w:t>）&lt;0.2km</w:t>
      </w:r>
      <w:r>
        <w:rPr>
          <w:kern w:val="2"/>
          <w:szCs w:val="24"/>
          <w:vertAlign w:val="superscript"/>
          <w:lang w:bidi="ar"/>
        </w:rPr>
        <w:t>2</w:t>
      </w:r>
      <w:r>
        <w:rPr>
          <w:kern w:val="2"/>
          <w:szCs w:val="24"/>
          <w:lang w:bidi="ar"/>
        </w:rPr>
        <w:t>、R（0%）≤5%，故本项目地表水环境影响评价等级为水文要素影响型</w:t>
      </w:r>
      <w:r>
        <w:rPr>
          <w:rFonts w:hint="eastAsia"/>
          <w:b/>
          <w:bCs/>
          <w:kern w:val="2"/>
          <w:szCs w:val="24"/>
          <w:lang w:bidi="ar"/>
        </w:rPr>
        <w:t>三级</w:t>
      </w:r>
      <w:r>
        <w:rPr>
          <w:kern w:val="2"/>
          <w:szCs w:val="24"/>
          <w:lang w:bidi="ar"/>
        </w:rPr>
        <w:t>。</w:t>
      </w:r>
    </w:p>
    <w:p>
      <w:pPr>
        <w:pStyle w:val="131"/>
        <w:numPr>
          <w:ilvl w:val="0"/>
          <w:numId w:val="0"/>
        </w:numPr>
        <w:spacing w:line="360" w:lineRule="auto"/>
        <w:ind w:leftChars="0"/>
        <w:jc w:val="center"/>
        <w:rPr>
          <w:rFonts w:eastAsia="宋体"/>
          <w:b/>
        </w:rPr>
      </w:pPr>
      <w:r>
        <w:rPr>
          <w:rStyle w:val="46"/>
          <w:rFonts w:hAnsi="Times New Roman"/>
          <w:b/>
          <w:sz w:val="21"/>
          <w:szCs w:val="21"/>
          <w:highlight w:val="none"/>
        </w:rPr>
        <w:t>表2</w:t>
      </w:r>
      <w:r>
        <w:rPr>
          <w:rStyle w:val="46"/>
          <w:rFonts w:hint="eastAsia" w:hAnsi="Times New Roman"/>
          <w:b/>
          <w:sz w:val="21"/>
          <w:szCs w:val="21"/>
          <w:highlight w:val="none"/>
        </w:rPr>
        <w:t>.4</w:t>
      </w:r>
      <w:r>
        <w:rPr>
          <w:rStyle w:val="46"/>
          <w:rFonts w:hAnsi="Times New Roman"/>
          <w:b/>
          <w:sz w:val="21"/>
          <w:szCs w:val="21"/>
          <w:highlight w:val="none"/>
        </w:rPr>
        <w:t>-</w:t>
      </w:r>
      <w:r>
        <w:rPr>
          <w:rStyle w:val="46"/>
          <w:rFonts w:hint="eastAsia" w:hAnsi="Times New Roman"/>
          <w:b/>
          <w:sz w:val="21"/>
          <w:szCs w:val="21"/>
          <w:highlight w:val="none"/>
          <w:lang w:val="en-US" w:eastAsia="zh-CN"/>
        </w:rPr>
        <w:t>2</w:t>
      </w:r>
      <w:r>
        <w:rPr>
          <w:rStyle w:val="46"/>
          <w:rFonts w:hAnsi="Times New Roman"/>
          <w:b/>
          <w:sz w:val="21"/>
          <w:szCs w:val="21"/>
          <w:highlight w:val="none"/>
        </w:rPr>
        <w:t xml:space="preserve">  </w:t>
      </w:r>
      <w:r>
        <w:rPr>
          <w:rFonts w:hint="eastAsia" w:eastAsia="宋体"/>
          <w:b/>
        </w:rPr>
        <w:t>水文要素影响型判定条件归类结果表</w:t>
      </w:r>
    </w:p>
    <w:tbl>
      <w:tblPr>
        <w:tblStyle w:val="39"/>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2795"/>
        <w:gridCol w:w="1513"/>
        <w:gridCol w:w="1665"/>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893" w:type="dxa"/>
            <w:vAlign w:val="center"/>
          </w:tcPr>
          <w:p>
            <w:pPr>
              <w:pStyle w:val="65"/>
              <w:keepNext w:val="0"/>
              <w:keepLines w:val="0"/>
              <w:suppressLineNumbers w:val="0"/>
              <w:spacing w:before="0" w:beforeAutospacing="0" w:after="0" w:afterAutospacing="0" w:line="240" w:lineRule="auto"/>
              <w:ind w:left="0" w:right="0"/>
              <w:rPr>
                <w:rFonts w:hint="default"/>
                <w:b/>
              </w:rPr>
            </w:pPr>
            <w:r>
              <w:rPr>
                <w:rFonts w:hint="eastAsia"/>
                <w:b/>
              </w:rPr>
              <w:t>影响的水文要素</w:t>
            </w:r>
          </w:p>
        </w:tc>
        <w:tc>
          <w:tcPr>
            <w:tcW w:w="2795" w:type="dxa"/>
            <w:vAlign w:val="center"/>
          </w:tcPr>
          <w:p>
            <w:pPr>
              <w:pStyle w:val="65"/>
              <w:keepNext w:val="0"/>
              <w:keepLines w:val="0"/>
              <w:suppressLineNumbers w:val="0"/>
              <w:spacing w:before="0" w:beforeAutospacing="0" w:after="0" w:afterAutospacing="0" w:line="240" w:lineRule="auto"/>
              <w:ind w:left="0" w:right="0"/>
              <w:rPr>
                <w:rFonts w:hint="default"/>
                <w:b/>
              </w:rPr>
            </w:pPr>
            <w:r>
              <w:rPr>
                <w:rFonts w:hint="eastAsia"/>
                <w:b/>
              </w:rPr>
              <w:t>判定条件</w:t>
            </w:r>
          </w:p>
        </w:tc>
        <w:tc>
          <w:tcPr>
            <w:tcW w:w="1513" w:type="dxa"/>
            <w:vAlign w:val="center"/>
          </w:tcPr>
          <w:p>
            <w:pPr>
              <w:pStyle w:val="65"/>
              <w:keepNext w:val="0"/>
              <w:keepLines w:val="0"/>
              <w:suppressLineNumbers w:val="0"/>
              <w:spacing w:before="0" w:beforeAutospacing="0" w:after="0" w:afterAutospacing="0" w:line="240" w:lineRule="auto"/>
              <w:ind w:left="0" w:right="0"/>
              <w:rPr>
                <w:rFonts w:hint="default"/>
                <w:b/>
              </w:rPr>
            </w:pPr>
            <w:r>
              <w:rPr>
                <w:rFonts w:hint="eastAsia"/>
                <w:b/>
              </w:rPr>
              <w:t>判定结果</w:t>
            </w:r>
          </w:p>
        </w:tc>
        <w:tc>
          <w:tcPr>
            <w:tcW w:w="1665" w:type="dxa"/>
            <w:vAlign w:val="center"/>
          </w:tcPr>
          <w:p>
            <w:pPr>
              <w:pStyle w:val="65"/>
              <w:keepNext w:val="0"/>
              <w:keepLines w:val="0"/>
              <w:suppressLineNumbers w:val="0"/>
              <w:spacing w:before="0" w:beforeAutospacing="0" w:after="0" w:afterAutospacing="0" w:line="240" w:lineRule="auto"/>
              <w:ind w:left="0" w:right="0"/>
              <w:rPr>
                <w:rFonts w:hint="default"/>
                <w:b/>
              </w:rPr>
            </w:pPr>
            <w:r>
              <w:rPr>
                <w:rFonts w:hint="eastAsia"/>
                <w:b/>
              </w:rPr>
              <w:t>判定依据</w:t>
            </w:r>
          </w:p>
        </w:tc>
        <w:tc>
          <w:tcPr>
            <w:tcW w:w="1211" w:type="dxa"/>
            <w:vAlign w:val="center"/>
          </w:tcPr>
          <w:p>
            <w:pPr>
              <w:pStyle w:val="65"/>
              <w:keepNext w:val="0"/>
              <w:keepLines w:val="0"/>
              <w:suppressLineNumbers w:val="0"/>
              <w:spacing w:before="0" w:beforeAutospacing="0" w:after="0" w:afterAutospacing="0" w:line="240" w:lineRule="auto"/>
              <w:ind w:left="0" w:right="0"/>
              <w:rPr>
                <w:rFonts w:hint="default"/>
                <w:b/>
              </w:rPr>
            </w:pPr>
            <w:r>
              <w:rPr>
                <w:rFonts w:hint="eastAsia"/>
                <w:b/>
              </w:rPr>
              <w:t>等级划分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893"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受影响地表水域</w:t>
            </w:r>
          </w:p>
        </w:tc>
        <w:tc>
          <w:tcPr>
            <w:tcW w:w="2795"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default"/>
                <w:lang w:bidi="ar"/>
              </w:rPr>
              <w:t>工程垂直投影面积及外扩范围A</w:t>
            </w:r>
            <w:r>
              <w:rPr>
                <w:rFonts w:hint="default"/>
                <w:vertAlign w:val="subscript"/>
                <w:lang w:bidi="ar"/>
              </w:rPr>
              <w:t>1</w:t>
            </w:r>
            <w:r>
              <w:rPr>
                <w:rFonts w:hint="default"/>
                <w:lang w:bidi="ar"/>
              </w:rPr>
              <w:t>/km</w:t>
            </w:r>
            <w:r>
              <w:rPr>
                <w:rFonts w:hint="default"/>
                <w:vertAlign w:val="superscript"/>
                <w:lang w:bidi="ar"/>
              </w:rPr>
              <w:t>2</w:t>
            </w:r>
          </w:p>
        </w:tc>
        <w:tc>
          <w:tcPr>
            <w:tcW w:w="1513"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default"/>
              </w:rPr>
              <w:t>0.00336km</w:t>
            </w:r>
            <w:r>
              <w:rPr>
                <w:rFonts w:hint="default"/>
                <w:vertAlign w:val="superscript"/>
              </w:rPr>
              <w:t>2</w:t>
            </w:r>
          </w:p>
        </w:tc>
        <w:tc>
          <w:tcPr>
            <w:tcW w:w="1665"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A</w:t>
            </w:r>
            <w:r>
              <w:rPr>
                <w:rFonts w:hint="eastAsia"/>
                <w:vertAlign w:val="subscript"/>
              </w:rPr>
              <w:t>1</w:t>
            </w:r>
            <w:r>
              <w:rPr>
                <w:rFonts w:hint="eastAsia"/>
              </w:rPr>
              <w:t>≤0.05km</w:t>
            </w:r>
            <w:r>
              <w:rPr>
                <w:rFonts w:hint="eastAsia"/>
                <w:vertAlign w:val="superscript"/>
              </w:rPr>
              <w:t>2</w:t>
            </w:r>
          </w:p>
        </w:tc>
        <w:tc>
          <w:tcPr>
            <w:tcW w:w="1211"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893"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受影响地表水域</w:t>
            </w:r>
          </w:p>
        </w:tc>
        <w:tc>
          <w:tcPr>
            <w:tcW w:w="2795" w:type="dxa"/>
            <w:vAlign w:val="center"/>
          </w:tcPr>
          <w:p>
            <w:pPr>
              <w:pStyle w:val="65"/>
              <w:keepNext w:val="0"/>
              <w:keepLines w:val="0"/>
              <w:suppressLineNumbers w:val="0"/>
              <w:spacing w:before="0" w:beforeAutospacing="0" w:after="0" w:afterAutospacing="0" w:line="240" w:lineRule="auto"/>
              <w:ind w:left="0" w:right="0"/>
              <w:rPr>
                <w:rFonts w:hint="default"/>
                <w:lang w:bidi="ar"/>
              </w:rPr>
            </w:pPr>
            <w:r>
              <w:rPr>
                <w:rFonts w:hint="default"/>
                <w:lang w:bidi="ar"/>
              </w:rPr>
              <w:t>工程扰动水底面积A</w:t>
            </w:r>
            <w:r>
              <w:rPr>
                <w:rFonts w:hint="default"/>
                <w:vertAlign w:val="subscript"/>
                <w:lang w:bidi="ar"/>
              </w:rPr>
              <w:t>2</w:t>
            </w:r>
            <w:r>
              <w:rPr>
                <w:rFonts w:hint="default"/>
                <w:lang w:bidi="ar"/>
              </w:rPr>
              <w:t>/km</w:t>
            </w:r>
            <w:r>
              <w:rPr>
                <w:rFonts w:hint="default"/>
                <w:vertAlign w:val="superscript"/>
                <w:lang w:bidi="ar"/>
              </w:rPr>
              <w:t>2</w:t>
            </w:r>
          </w:p>
        </w:tc>
        <w:tc>
          <w:tcPr>
            <w:tcW w:w="1513"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default"/>
              </w:rPr>
              <w:t>0.00336km</w:t>
            </w:r>
            <w:r>
              <w:rPr>
                <w:rFonts w:hint="default"/>
                <w:vertAlign w:val="superscript"/>
              </w:rPr>
              <w:t>2</w:t>
            </w:r>
          </w:p>
        </w:tc>
        <w:tc>
          <w:tcPr>
            <w:tcW w:w="1665"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A</w:t>
            </w:r>
            <w:r>
              <w:rPr>
                <w:rFonts w:hint="eastAsia"/>
                <w:vertAlign w:val="subscript"/>
              </w:rPr>
              <w:t>2</w:t>
            </w:r>
            <w:r>
              <w:rPr>
                <w:rFonts w:hint="eastAsia"/>
              </w:rPr>
              <w:t>&lt;</w:t>
            </w:r>
            <w:r>
              <w:rPr>
                <w:rFonts w:hint="default"/>
              </w:rPr>
              <w:t>0.2</w:t>
            </w:r>
            <w:r>
              <w:rPr>
                <w:rFonts w:hint="eastAsia"/>
              </w:rPr>
              <w:t>km</w:t>
            </w:r>
            <w:r>
              <w:rPr>
                <w:rFonts w:hint="eastAsia"/>
                <w:vertAlign w:val="superscript"/>
              </w:rPr>
              <w:t>2</w:t>
            </w:r>
          </w:p>
        </w:tc>
        <w:tc>
          <w:tcPr>
            <w:tcW w:w="1211"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893"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受影响地表水域</w:t>
            </w:r>
          </w:p>
        </w:tc>
        <w:tc>
          <w:tcPr>
            <w:tcW w:w="2795" w:type="dxa"/>
            <w:vAlign w:val="center"/>
          </w:tcPr>
          <w:p>
            <w:pPr>
              <w:pStyle w:val="65"/>
              <w:keepNext w:val="0"/>
              <w:keepLines w:val="0"/>
              <w:suppressLineNumbers w:val="0"/>
              <w:spacing w:before="0" w:beforeAutospacing="0" w:after="0" w:afterAutospacing="0" w:line="240" w:lineRule="auto"/>
              <w:ind w:left="0" w:right="0"/>
              <w:rPr>
                <w:rFonts w:hint="default"/>
                <w:lang w:bidi="ar"/>
              </w:rPr>
            </w:pPr>
            <w:r>
              <w:rPr>
                <w:rFonts w:hint="default"/>
                <w:lang w:bidi="ar"/>
              </w:rPr>
              <w:t>过水断面宽度占用比例或占用水域面积比例R/%</w:t>
            </w:r>
          </w:p>
        </w:tc>
        <w:tc>
          <w:tcPr>
            <w:tcW w:w="1513"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0</w:t>
            </w:r>
            <w:r>
              <w:rPr>
                <w:rFonts w:hint="default"/>
              </w:rPr>
              <w:t>.70%</w:t>
            </w:r>
          </w:p>
        </w:tc>
        <w:tc>
          <w:tcPr>
            <w:tcW w:w="1665"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R≤5%</w:t>
            </w:r>
          </w:p>
        </w:tc>
        <w:tc>
          <w:tcPr>
            <w:tcW w:w="1211"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893"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w:t>
            </w:r>
          </w:p>
        </w:tc>
        <w:tc>
          <w:tcPr>
            <w:tcW w:w="5973" w:type="dxa"/>
            <w:gridSpan w:val="3"/>
            <w:vAlign w:val="center"/>
          </w:tcPr>
          <w:p>
            <w:pPr>
              <w:pStyle w:val="65"/>
              <w:keepNext w:val="0"/>
              <w:keepLines w:val="0"/>
              <w:suppressLineNumbers w:val="0"/>
              <w:spacing w:before="0" w:beforeAutospacing="0" w:after="0" w:afterAutospacing="0" w:line="240" w:lineRule="auto"/>
              <w:ind w:left="0" w:right="0"/>
              <w:rPr>
                <w:rFonts w:hint="default"/>
              </w:rPr>
            </w:pPr>
            <w:r>
              <w:rPr>
                <w:rFonts w:hint="default"/>
              </w:rPr>
              <w:t>影响范围</w:t>
            </w:r>
            <w:r>
              <w:rPr>
                <w:rFonts w:hint="eastAsia"/>
              </w:rPr>
              <w:t>不</w:t>
            </w:r>
            <w:r>
              <w:rPr>
                <w:rFonts w:hint="default"/>
              </w:rPr>
              <w:t>涉及饮用水水源保护区、重点保护与珍稀水生生物的栖息地、重要水生生物的自然产卵场、自然保护区等保护目标</w:t>
            </w:r>
          </w:p>
        </w:tc>
        <w:tc>
          <w:tcPr>
            <w:tcW w:w="1211" w:type="dxa"/>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w:t>
            </w:r>
          </w:p>
        </w:tc>
      </w:tr>
    </w:tbl>
    <w:p>
      <w:pPr>
        <w:bidi w:val="0"/>
        <w:rPr>
          <w:rFonts w:hint="eastAsia"/>
        </w:rPr>
      </w:pPr>
      <w:r>
        <w:rPr>
          <w:rFonts w:hint="eastAsia"/>
        </w:rPr>
        <w:t>根据以上分析，按照《环境影响评价技术导则  地表水环境》（HJ2.3-2018）中的地表水环境影响评价等级确定的要求，确定项目地表水环境影响评价工作等级为水文要素影响型三级评价。</w:t>
      </w:r>
    </w:p>
    <w:p>
      <w:pPr>
        <w:pStyle w:val="6"/>
      </w:pPr>
      <w:bookmarkStart w:id="133" w:name="_Toc332632545"/>
      <w:bookmarkStart w:id="134" w:name="_Toc324770198"/>
      <w:bookmarkStart w:id="135" w:name="_Toc326754807"/>
      <w:bookmarkStart w:id="136" w:name="_Toc470785817"/>
      <w:bookmarkStart w:id="137" w:name="_Toc282946128"/>
      <w:bookmarkStart w:id="138" w:name="_Toc326754950"/>
      <w:bookmarkStart w:id="139" w:name="_Toc286835703"/>
      <w:bookmarkStart w:id="140" w:name="_Toc282959698"/>
      <w:bookmarkStart w:id="141" w:name="_Toc286934638"/>
      <w:bookmarkStart w:id="142" w:name="_Toc324768940"/>
      <w:bookmarkStart w:id="143" w:name="_Toc324769736"/>
      <w:bookmarkStart w:id="144" w:name="_Toc283110173"/>
      <w:bookmarkStart w:id="145" w:name="_Toc19740"/>
      <w:r>
        <w:rPr>
          <w:highlight w:val="none"/>
        </w:rPr>
        <w:t>2.4.2</w:t>
      </w:r>
      <w:bookmarkEnd w:id="133"/>
      <w:bookmarkEnd w:id="134"/>
      <w:bookmarkEnd w:id="135"/>
      <w:bookmarkEnd w:id="136"/>
      <w:bookmarkEnd w:id="137"/>
      <w:bookmarkEnd w:id="138"/>
      <w:bookmarkEnd w:id="139"/>
      <w:bookmarkEnd w:id="140"/>
      <w:bookmarkEnd w:id="141"/>
      <w:bookmarkEnd w:id="142"/>
      <w:bookmarkEnd w:id="143"/>
      <w:bookmarkEnd w:id="144"/>
      <w:bookmarkStart w:id="146" w:name="_Toc326754951"/>
      <w:bookmarkStart w:id="147" w:name="_Toc326754808"/>
      <w:bookmarkStart w:id="148" w:name="_Toc332632546"/>
      <w:bookmarkStart w:id="149" w:name="_Toc470785818"/>
      <w:bookmarkStart w:id="150" w:name="_Toc324769737"/>
      <w:bookmarkStart w:id="151" w:name="_Toc324770199"/>
      <w:bookmarkStart w:id="152" w:name="_Toc324768941"/>
      <w:bookmarkStart w:id="153" w:name="_Toc286934639"/>
      <w:bookmarkStart w:id="154" w:name="_Toc282946129"/>
      <w:bookmarkStart w:id="155" w:name="_Toc283110174"/>
      <w:bookmarkStart w:id="156" w:name="_Toc286835704"/>
      <w:bookmarkStart w:id="157" w:name="_Toc282959699"/>
      <w:r>
        <w:t xml:space="preserve"> 地下水环境影响评价等级</w:t>
      </w:r>
      <w:bookmarkEnd w:id="145"/>
      <w:bookmarkEnd w:id="146"/>
      <w:bookmarkEnd w:id="147"/>
      <w:bookmarkEnd w:id="148"/>
      <w:bookmarkEnd w:id="149"/>
      <w:bookmarkEnd w:id="150"/>
      <w:bookmarkEnd w:id="151"/>
      <w:bookmarkEnd w:id="152"/>
    </w:p>
    <w:p>
      <w:pPr>
        <w:ind w:firstLine="480"/>
        <w:rPr>
          <w:rFonts w:hint="eastAsia"/>
        </w:rPr>
      </w:pPr>
      <w:r>
        <w:rPr>
          <w:rFonts w:hint="eastAsia"/>
        </w:rPr>
        <w:t>根据《环境影响评价技术导则 地下水环境》（HJ610-2016），地下水环境影响评价工作分级判据如下：</w:t>
      </w:r>
    </w:p>
    <w:p>
      <w:pPr>
        <w:ind w:firstLine="480"/>
        <w:rPr>
          <w:rFonts w:hint="eastAsia"/>
        </w:rPr>
      </w:pPr>
      <w:r>
        <w:rPr>
          <w:rFonts w:hint="eastAsia"/>
        </w:rPr>
        <w:t>（1）建设项目分类</w:t>
      </w:r>
    </w:p>
    <w:p>
      <w:pPr>
        <w:ind w:firstLine="480"/>
        <w:rPr>
          <w:rFonts w:hint="eastAsia"/>
        </w:rPr>
      </w:pPr>
      <w:r>
        <w:rPr>
          <w:rFonts w:hint="eastAsia"/>
        </w:rPr>
        <w:t>根据《环境影响评价技术导则 地下水环境》（HJ610-2016）附录A（规范性附录）地下水环境影响评价行业分类表，项目行业类别属于“A水利”中的“5、河湖整治工程”，本项目涉及环境敏感区，因此项目属于Ⅲ类项目。</w:t>
      </w:r>
    </w:p>
    <w:p>
      <w:pPr>
        <w:ind w:firstLine="480"/>
        <w:rPr>
          <w:rFonts w:hint="eastAsia"/>
        </w:rPr>
      </w:pPr>
      <w:r>
        <w:rPr>
          <w:rFonts w:hint="eastAsia"/>
        </w:rPr>
        <w:t>（2）地下水环境敏感程度</w:t>
      </w:r>
    </w:p>
    <w:p>
      <w:pPr>
        <w:ind w:firstLine="480"/>
        <w:rPr>
          <w:rFonts w:hint="eastAsia"/>
        </w:rPr>
      </w:pPr>
      <w:r>
        <w:rPr>
          <w:rFonts w:hint="eastAsia"/>
        </w:rPr>
        <w:t>本项目为河道生态设施工程建设项目，建设地点周边存在分散式饮用水源井，根据《环境影响评价技术导则－地下水环境》（HJ610-2016）中地下水环境敏感程度确定，本工程地下水环境敏感程度均为“较敏感”。</w:t>
      </w:r>
    </w:p>
    <w:p>
      <w:pPr>
        <w:ind w:firstLine="480"/>
        <w:rPr>
          <w:rFonts w:hint="eastAsia"/>
        </w:rPr>
      </w:pPr>
      <w:r>
        <w:rPr>
          <w:rFonts w:hint="eastAsia"/>
        </w:rPr>
        <w:t>（3）地下水评价工作等级</w:t>
      </w:r>
    </w:p>
    <w:p>
      <w:pPr>
        <w:ind w:firstLine="480"/>
        <w:rPr>
          <w:rFonts w:hint="eastAsia"/>
        </w:rPr>
      </w:pPr>
      <w:r>
        <w:rPr>
          <w:rFonts w:hint="eastAsia"/>
        </w:rPr>
        <w:t>地下水评价工作分级判据见下表。</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Style w:val="46"/>
          <w:bCs/>
        </w:rPr>
      </w:pPr>
      <w:r>
        <w:rPr>
          <w:rFonts w:hint="eastAsia"/>
          <w:b/>
          <w:sz w:val="21"/>
          <w:szCs w:val="21"/>
        </w:rPr>
        <w:t>表2.4-</w:t>
      </w:r>
      <w:r>
        <w:rPr>
          <w:rFonts w:hint="eastAsia"/>
          <w:b/>
          <w:sz w:val="21"/>
          <w:szCs w:val="21"/>
          <w:lang w:val="en-US" w:eastAsia="zh-CN"/>
        </w:rPr>
        <w:t>3</w:t>
      </w:r>
      <w:r>
        <w:rPr>
          <w:rFonts w:hint="eastAsia"/>
          <w:b/>
          <w:sz w:val="21"/>
          <w:szCs w:val="21"/>
        </w:rPr>
        <w:t xml:space="preserve">  </w:t>
      </w:r>
      <w:r>
        <w:rPr>
          <w:rStyle w:val="46"/>
          <w:bCs/>
        </w:rPr>
        <w:t>估算模型参数表</w:t>
      </w:r>
    </w:p>
    <w:tbl>
      <w:tblPr>
        <w:tblStyle w:val="39"/>
        <w:tblW w:w="87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80"/>
        <w:gridCol w:w="2180"/>
        <w:gridCol w:w="2180"/>
        <w:gridCol w:w="21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0" w:type="dxa"/>
            <w:tcBorders>
              <w:tl2br w:val="single" w:color="auto" w:sz="6" w:space="0"/>
            </w:tcBorders>
            <w:noWrap w:val="0"/>
            <w:vAlign w:val="center"/>
          </w:tcPr>
          <w:p>
            <w:pPr>
              <w:keepNext w:val="0"/>
              <w:keepLines w:val="0"/>
              <w:suppressLineNumbers w:val="0"/>
              <w:spacing w:before="0" w:beforeAutospacing="0" w:after="0" w:afterAutospacing="0" w:line="240" w:lineRule="exact"/>
              <w:ind w:left="0" w:right="0" w:firstLine="211" w:firstLineChars="100"/>
              <w:jc w:val="center"/>
              <w:rPr>
                <w:rFonts w:hint="default" w:ascii="Times New Roman" w:hAnsi="Times New Roman" w:cs="Times New Roman"/>
                <w:b/>
                <w:snapToGrid w:val="0"/>
                <w:sz w:val="21"/>
                <w:szCs w:val="21"/>
              </w:rPr>
            </w:pPr>
            <w:r>
              <w:rPr>
                <w:rFonts w:hint="default" w:ascii="Times New Roman" w:hAnsi="Times New Roman" w:cs="Times New Roman"/>
                <w:b/>
                <w:snapToGrid w:val="0"/>
                <w:sz w:val="21"/>
                <w:szCs w:val="21"/>
              </w:rPr>
              <w:t xml:space="preserve">        项目类别</w:t>
            </w:r>
          </w:p>
          <w:p>
            <w:pPr>
              <w:keepNext w:val="0"/>
              <w:keepLines w:val="0"/>
              <w:suppressLineNumbers w:val="0"/>
              <w:spacing w:before="0" w:beforeAutospacing="0" w:after="0" w:afterAutospacing="0" w:line="240" w:lineRule="exact"/>
              <w:ind w:left="0" w:right="0" w:firstLine="0" w:firstLineChars="0"/>
              <w:rPr>
                <w:rFonts w:hint="default" w:ascii="Times New Roman" w:hAnsi="Times New Roman" w:cs="Times New Roman"/>
                <w:b/>
                <w:snapToGrid w:val="0"/>
                <w:sz w:val="21"/>
                <w:szCs w:val="21"/>
              </w:rPr>
            </w:pPr>
            <w:r>
              <w:rPr>
                <w:rFonts w:hint="default" w:ascii="Times New Roman" w:hAnsi="Times New Roman" w:cs="Times New Roman"/>
                <w:b/>
                <w:snapToGrid w:val="0"/>
                <w:sz w:val="21"/>
                <w:szCs w:val="21"/>
              </w:rPr>
              <w:t>环境敏感程度</w:t>
            </w:r>
          </w:p>
        </w:tc>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b/>
                <w:snapToGrid w:val="0"/>
                <w:sz w:val="21"/>
                <w:szCs w:val="21"/>
              </w:rPr>
            </w:pPr>
            <w:r>
              <w:rPr>
                <w:rFonts w:hint="default" w:ascii="Times New Roman" w:hAnsi="Times New Roman" w:cs="Times New Roman"/>
                <w:b/>
                <w:snapToGrid w:val="0"/>
                <w:sz w:val="21"/>
                <w:szCs w:val="21"/>
              </w:rPr>
              <w:t>Ⅰ类项目</w:t>
            </w:r>
          </w:p>
        </w:tc>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b/>
                <w:snapToGrid w:val="0"/>
                <w:sz w:val="21"/>
                <w:szCs w:val="21"/>
              </w:rPr>
            </w:pPr>
            <w:r>
              <w:rPr>
                <w:rFonts w:hint="default" w:ascii="Times New Roman" w:hAnsi="Times New Roman" w:cs="Times New Roman"/>
                <w:b/>
                <w:snapToGrid w:val="0"/>
                <w:sz w:val="21"/>
                <w:szCs w:val="21"/>
              </w:rPr>
              <w:t>Ⅱ类项目</w:t>
            </w:r>
          </w:p>
        </w:tc>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b/>
                <w:snapToGrid w:val="0"/>
                <w:sz w:val="21"/>
                <w:szCs w:val="21"/>
              </w:rPr>
            </w:pPr>
            <w:r>
              <w:rPr>
                <w:rFonts w:hint="default" w:ascii="Times New Roman" w:hAnsi="Times New Roman" w:cs="Times New Roman"/>
                <w:b/>
                <w:snapToGrid w:val="0"/>
                <w:sz w:val="21"/>
                <w:szCs w:val="21"/>
              </w:rPr>
              <w:t>Ⅲ类项目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敏感</w:t>
            </w:r>
          </w:p>
        </w:tc>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一</w:t>
            </w:r>
          </w:p>
        </w:tc>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一</w:t>
            </w:r>
          </w:p>
        </w:tc>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较敏感</w:t>
            </w:r>
          </w:p>
        </w:tc>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一</w:t>
            </w:r>
          </w:p>
        </w:tc>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二</w:t>
            </w:r>
          </w:p>
        </w:tc>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不敏感</w:t>
            </w:r>
          </w:p>
        </w:tc>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二</w:t>
            </w:r>
          </w:p>
        </w:tc>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三</w:t>
            </w:r>
          </w:p>
        </w:tc>
        <w:tc>
          <w:tcPr>
            <w:tcW w:w="2180" w:type="dxa"/>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三</w:t>
            </w:r>
          </w:p>
        </w:tc>
      </w:tr>
    </w:tbl>
    <w:p>
      <w:pPr>
        <w:keepNext w:val="0"/>
        <w:keepLines w:val="0"/>
        <w:pageBreakBefore w:val="0"/>
        <w:widowControl w:val="0"/>
        <w:kinsoku/>
        <w:wordWrap/>
        <w:overflowPunct/>
        <w:topLinePunct w:val="0"/>
        <w:autoSpaceDE/>
        <w:autoSpaceDN/>
        <w:bidi w:val="0"/>
        <w:adjustRightInd w:val="0"/>
        <w:snapToGrid w:val="0"/>
        <w:spacing w:before="174" w:beforeLines="50"/>
        <w:textAlignment w:val="auto"/>
      </w:pPr>
      <w:r>
        <w:t>由上表可知，本项目为</w:t>
      </w:r>
      <w:r>
        <w:rPr>
          <w:rFonts w:hint="eastAsia"/>
        </w:rPr>
        <w:t>Ⅲ</w:t>
      </w:r>
      <w:r>
        <w:t>类项目、地下水环境敏感程度为较敏感，确定本项目地下水环境影响评价工作等级为</w:t>
      </w:r>
      <w:r>
        <w:rPr>
          <w:rFonts w:hint="eastAsia"/>
        </w:rPr>
        <w:t>三</w:t>
      </w:r>
      <w:r>
        <w:t>级。</w:t>
      </w:r>
    </w:p>
    <w:p>
      <w:pPr>
        <w:pStyle w:val="6"/>
        <w:bidi w:val="0"/>
      </w:pPr>
      <w:bookmarkStart w:id="158" w:name="_Toc29666"/>
      <w:bookmarkStart w:id="159" w:name="_Toc470785819"/>
      <w:bookmarkStart w:id="160" w:name="_Toc326754809"/>
      <w:bookmarkStart w:id="161" w:name="_Toc324768942"/>
      <w:bookmarkStart w:id="162" w:name="_Toc332632547"/>
      <w:bookmarkStart w:id="163" w:name="_Toc326754952"/>
      <w:bookmarkStart w:id="164" w:name="_Toc324769738"/>
      <w:bookmarkStart w:id="165" w:name="_Toc324770200"/>
      <w:r>
        <w:t>2.4.</w:t>
      </w:r>
      <w:r>
        <w:rPr>
          <w:rFonts w:hint="eastAsia"/>
          <w:lang w:val="en-US" w:eastAsia="zh-CN"/>
        </w:rPr>
        <w:t>3</w:t>
      </w:r>
      <w:r>
        <w:t xml:space="preserve"> 声环境影响评价等级</w:t>
      </w:r>
      <w:bookmarkEnd w:id="153"/>
      <w:bookmarkEnd w:id="154"/>
      <w:bookmarkEnd w:id="155"/>
      <w:bookmarkEnd w:id="156"/>
      <w:bookmarkEnd w:id="157"/>
      <w:bookmarkEnd w:id="158"/>
      <w:bookmarkEnd w:id="159"/>
      <w:bookmarkEnd w:id="160"/>
      <w:bookmarkEnd w:id="161"/>
      <w:bookmarkEnd w:id="162"/>
      <w:bookmarkEnd w:id="163"/>
      <w:bookmarkEnd w:id="164"/>
      <w:bookmarkEnd w:id="165"/>
    </w:p>
    <w:p>
      <w:pPr>
        <w:ind w:firstLine="480"/>
        <w:rPr>
          <w:rFonts w:hint="eastAsia"/>
        </w:rPr>
      </w:pPr>
      <w:bookmarkStart w:id="166" w:name="_Toc286934640"/>
      <w:bookmarkStart w:id="167" w:name="_Toc282959700"/>
      <w:bookmarkStart w:id="168" w:name="_Toc283110175"/>
      <w:bookmarkStart w:id="169" w:name="_Toc286835705"/>
      <w:bookmarkStart w:id="170" w:name="_Toc282946130"/>
      <w:r>
        <w:rPr>
          <w:rFonts w:hint="eastAsia"/>
        </w:rPr>
        <w:t>根据《环境影响评价技术导则 声环境》（HJ2.4-2009），声环境影响评价工作分级判据如下：</w:t>
      </w:r>
    </w:p>
    <w:p>
      <w:pPr>
        <w:ind w:firstLine="480"/>
        <w:rPr>
          <w:rFonts w:hint="eastAsia"/>
        </w:rPr>
      </w:pPr>
      <w:r>
        <w:rPr>
          <w:rFonts w:hint="eastAsia"/>
        </w:rPr>
        <w:t>（1）声环境功能区：本项目所在区域敏感目标属于声环境质量功能区2类地区，其声环境质量标准执行《声环境质量标准》（GB3096-2008）2类区标准。</w:t>
      </w:r>
    </w:p>
    <w:p>
      <w:pPr>
        <w:ind w:firstLine="480"/>
        <w:rPr>
          <w:rFonts w:hint="eastAsia"/>
        </w:rPr>
      </w:pPr>
      <w:r>
        <w:rPr>
          <w:rFonts w:hint="eastAsia"/>
        </w:rPr>
        <w:t>（2）项目建设前后声环境质量变化：项目主要噪声源为施工期的推土机、钩机和铲车等。根据噪声预测结果，经噪声防治措施治理后，项目建设前后周边环境敏感目标噪声级增量小于3dB（A）。</w:t>
      </w:r>
    </w:p>
    <w:p>
      <w:pPr>
        <w:bidi w:val="0"/>
        <w:rPr>
          <w:rFonts w:hint="eastAsia"/>
        </w:rPr>
      </w:pPr>
      <w:r>
        <w:rPr>
          <w:rFonts w:hint="eastAsia"/>
        </w:rPr>
        <w:t>（3）受影响人口数量变化：项目建设前后受噪声影响人数无明显变化。</w:t>
      </w:r>
    </w:p>
    <w:p>
      <w:pPr>
        <w:bidi w:val="0"/>
        <w:rPr>
          <w:rFonts w:hint="eastAsia"/>
        </w:rPr>
      </w:pPr>
      <w:r>
        <w:rPr>
          <w:rFonts w:hint="eastAsia"/>
        </w:rPr>
        <w:t>依据《环境影响评价技术导则-声环境》(HJ2.4-2021)评价等级划分原则，确定本项目声环境影响评价等级为二级。</w:t>
      </w:r>
      <w:bookmarkStart w:id="171" w:name="_Toc11228"/>
      <w:bookmarkStart w:id="172" w:name="_Toc29252"/>
      <w:bookmarkStart w:id="173" w:name="_Toc470785821"/>
    </w:p>
    <w:p>
      <w:pPr>
        <w:pStyle w:val="6"/>
        <w:bidi w:val="0"/>
      </w:pPr>
      <w:bookmarkStart w:id="174" w:name="_Toc14418"/>
      <w:r>
        <w:t>2.4.</w:t>
      </w:r>
      <w:r>
        <w:rPr>
          <w:rFonts w:hint="eastAsia"/>
          <w:lang w:val="en-US" w:eastAsia="zh-CN"/>
        </w:rPr>
        <w:t>4</w:t>
      </w:r>
      <w:r>
        <w:t xml:space="preserve"> 土壤环境评价工作等级</w:t>
      </w:r>
      <w:bookmarkEnd w:id="171"/>
      <w:bookmarkEnd w:id="172"/>
      <w:bookmarkEnd w:id="174"/>
    </w:p>
    <w:p>
      <w:pPr>
        <w:ind w:firstLine="540"/>
      </w:pPr>
      <w:r>
        <w:t>本项目工程内容主要包括</w:t>
      </w:r>
      <w:r>
        <w:rPr>
          <w:rFonts w:hint="eastAsia"/>
          <w:lang w:eastAsia="zh-CN"/>
        </w:rPr>
        <w:t>河道清理、</w:t>
      </w:r>
      <w:r>
        <w:t>生态护岸、</w:t>
      </w:r>
      <w:r>
        <w:rPr>
          <w:rFonts w:hint="eastAsia"/>
          <w:lang w:eastAsia="zh-CN"/>
        </w:rPr>
        <w:t>生态植物</w:t>
      </w:r>
      <w:r>
        <w:t>种植</w:t>
      </w:r>
      <w:r>
        <w:rPr>
          <w:rFonts w:hint="eastAsia"/>
          <w:lang w:eastAsia="zh-CN"/>
        </w:rPr>
        <w:t>、生态步道建设</w:t>
      </w:r>
      <w:r>
        <w:t>等，根据《环境影响评价技术导则 土壤环境》（HJ 964-2018）其运营期对土壤环境的影响主要为生态影响，根据建设项目行业分类和土壤环境敏感程度分级进行判定，确定该项目土壤环境影响评价工作等级。</w:t>
      </w:r>
    </w:p>
    <w:p>
      <w:pPr>
        <w:ind w:firstLine="542"/>
        <w:rPr>
          <w:b/>
          <w:bCs/>
        </w:rPr>
      </w:pPr>
      <w:r>
        <w:rPr>
          <w:b/>
          <w:bCs/>
        </w:rPr>
        <w:t>（1）建设项目分类</w:t>
      </w:r>
    </w:p>
    <w:p>
      <w:pPr>
        <w:ind w:firstLine="540"/>
      </w:pPr>
      <w:r>
        <w:t>根据《环境影响评价技术导则 土壤环境》（HJ 964-2018）附录A，本项目</w:t>
      </w:r>
      <w:r>
        <w:rPr>
          <w:szCs w:val="24"/>
        </w:rPr>
        <w:t>河道治理</w:t>
      </w:r>
      <w:r>
        <w:t>工程属于水利工程中的其他，为III类项目。</w:t>
      </w:r>
    </w:p>
    <w:p>
      <w:pPr>
        <w:ind w:firstLine="542"/>
        <w:rPr>
          <w:rFonts w:hint="default" w:eastAsia="宋体"/>
          <w:b/>
          <w:bCs/>
          <w:lang w:val="en-US" w:eastAsia="zh-CN"/>
        </w:rPr>
      </w:pPr>
      <w:r>
        <w:rPr>
          <w:b/>
          <w:bCs/>
        </w:rPr>
        <w:t>（2）土壤环境敏感性</w:t>
      </w:r>
    </w:p>
    <w:p>
      <w:pPr>
        <w:ind w:firstLine="540"/>
        <w:rPr>
          <w:kern w:val="2"/>
          <w:lang w:val="zh-CN"/>
        </w:rPr>
      </w:pPr>
      <w:r>
        <w:rPr>
          <w:kern w:val="2"/>
          <w:lang w:val="zh-CN"/>
        </w:rPr>
        <w:t>对于生态影响型项目，其土壤环境敏感程度根据</w:t>
      </w:r>
      <w:r>
        <w:rPr>
          <w:kern w:val="2"/>
        </w:rPr>
        <w:t>pH、</w:t>
      </w:r>
      <w:r>
        <w:rPr>
          <w:kern w:val="2"/>
          <w:lang w:val="zh-CN"/>
        </w:rPr>
        <w:t>干燥度、地下水位平均埋深及含盐量等综合判定。</w:t>
      </w:r>
    </w:p>
    <w:p>
      <w:pPr>
        <w:ind w:firstLine="540"/>
        <w:rPr>
          <w:bCs/>
        </w:rPr>
      </w:pPr>
      <w:r>
        <w:rPr>
          <w:bCs/>
        </w:rPr>
        <w:t>根据《近40年河北省地表干燥度的时空变化》（应用气象学报，第20卷6期，2009年12月）中关于河北省近40年的地表干燥度统计结果，本项目所在地1.8&lt;干燥度&lt;2.2；本项目主要建设地点位于</w:t>
      </w:r>
      <w:r>
        <w:rPr>
          <w:rFonts w:hint="eastAsia"/>
          <w:bCs/>
        </w:rPr>
        <w:t>柳河</w:t>
      </w:r>
      <w:r>
        <w:rPr>
          <w:bCs/>
        </w:rPr>
        <w:t>河道内，河道内地下水埋深&lt;1.8m，项目所在地土壤环境</w:t>
      </w:r>
      <w:r>
        <w:rPr>
          <w:rFonts w:hint="eastAsia"/>
          <w:bCs/>
          <w:lang w:val="en-US" w:eastAsia="zh-CN"/>
        </w:rPr>
        <w:t>5.5</w:t>
      </w:r>
      <w:r>
        <w:rPr>
          <w:bCs/>
        </w:rPr>
        <w:t>&lt;pH&lt;8</w:t>
      </w:r>
      <w:r>
        <w:rPr>
          <w:rFonts w:hint="eastAsia"/>
          <w:bCs/>
          <w:lang w:val="en-US" w:eastAsia="zh-CN"/>
        </w:rPr>
        <w:t>.5</w:t>
      </w:r>
      <w:r>
        <w:rPr>
          <w:bCs/>
        </w:rPr>
        <w:t>。项目所在地位于燕山山脉中部，地表高程落差较大，河道两侧山脉连绵起伏，地势险峻</w:t>
      </w:r>
      <w:r>
        <w:rPr>
          <w:szCs w:val="24"/>
        </w:rPr>
        <w:t>。</w:t>
      </w:r>
    </w:p>
    <w:p>
      <w:pPr>
        <w:ind w:firstLine="540"/>
        <w:rPr>
          <w:rFonts w:hint="eastAsia"/>
          <w:bCs/>
        </w:rPr>
      </w:pPr>
      <w:r>
        <w:rPr>
          <w:rFonts w:hint="eastAsia"/>
          <w:bCs/>
        </w:rPr>
        <w:t>根据《三块石国考断面周边环境综合整治工程环境质量现状检测》（</w:t>
      </w:r>
      <w:r>
        <w:rPr>
          <w:rFonts w:hint="eastAsia"/>
          <w:bCs/>
          <w:lang w:val="en-US" w:eastAsia="zh-CN"/>
        </w:rPr>
        <w:t>&lt;</w:t>
      </w:r>
      <w:r>
        <w:rPr>
          <w:rFonts w:hint="eastAsia"/>
          <w:bCs/>
        </w:rPr>
        <w:t>辽鹏环测</w:t>
      </w:r>
      <w:r>
        <w:rPr>
          <w:rFonts w:hint="eastAsia"/>
          <w:bCs/>
          <w:lang w:val="en-US" w:eastAsia="zh-CN"/>
        </w:rPr>
        <w:t>&gt;</w:t>
      </w:r>
      <w:r>
        <w:rPr>
          <w:rFonts w:hint="eastAsia"/>
          <w:bCs/>
        </w:rPr>
        <w:t>字PY2209488-001号）的监测结果，区域土壤含盐量为0.5</w:t>
      </w:r>
      <w:r>
        <w:rPr>
          <w:rFonts w:hint="eastAsia"/>
          <w:bCs/>
          <w:lang w:val="en-US" w:eastAsia="zh-CN"/>
        </w:rPr>
        <w:t>~0.6</w:t>
      </w:r>
      <w:r>
        <w:rPr>
          <w:rFonts w:hint="eastAsia"/>
          <w:bCs/>
        </w:rPr>
        <w:t>g/kg。因此，项目的“盐化”敏感程度属于“其他”，为“不敏感”。</w:t>
      </w:r>
    </w:p>
    <w:p>
      <w:pPr>
        <w:ind w:firstLine="540"/>
        <w:rPr>
          <w:bCs/>
        </w:rPr>
      </w:pPr>
      <w:r>
        <w:rPr>
          <w:bCs/>
        </w:rPr>
        <w:t>根据《环境影响评价技术导则 土壤环境》（HJ964-2018）中表1 生态影响型敏感程度分</w:t>
      </w:r>
      <w:r>
        <w:t>级表判别结果，本项目所在地为土壤环境敏感程度为“盐化-不敏感”、“酸化-不敏感”、“碱化-不敏感”。</w:t>
      </w:r>
    </w:p>
    <w:p>
      <w:pPr>
        <w:ind w:firstLine="542"/>
        <w:rPr>
          <w:b/>
          <w:bCs/>
        </w:rPr>
      </w:pPr>
      <w:r>
        <w:rPr>
          <w:b/>
          <w:bCs/>
        </w:rPr>
        <w:t>（3）评价等级的确定</w:t>
      </w:r>
    </w:p>
    <w:p>
      <w:pPr>
        <w:ind w:firstLine="540"/>
      </w:pPr>
      <w:r>
        <w:t>本项目为土壤环境III类项目，土壤环境敏感程度为“盐化-不敏感”、“酸化-不敏感”、“碱化-不敏感”。同时本项目建成运行后，对地表径流和周边地下水的水力交换过程无影响，不会导致河道两岸地下水水位较项目建设运行前发生明显变化，因此项目建设运行不会对周边土壤造成盐化、酸化和碱化等生态影响。</w:t>
      </w:r>
    </w:p>
    <w:p>
      <w:pPr>
        <w:ind w:firstLine="540"/>
        <w:rPr>
          <w:spacing w:val="-2"/>
          <w:kern w:val="0"/>
          <w:szCs w:val="24"/>
        </w:rPr>
      </w:pPr>
      <w:r>
        <w:t>综上，项目可不开展土壤环境影响评价工作。</w:t>
      </w:r>
    </w:p>
    <w:p>
      <w:pPr>
        <w:pStyle w:val="6"/>
        <w:keepNext/>
        <w:keepLines/>
        <w:pageBreakBefore w:val="0"/>
        <w:widowControl w:val="0"/>
        <w:kinsoku/>
        <w:wordWrap/>
        <w:overflowPunct/>
        <w:topLinePunct w:val="0"/>
        <w:autoSpaceDE/>
        <w:autoSpaceDN/>
        <w:bidi w:val="0"/>
        <w:adjustRightInd w:val="0"/>
        <w:snapToGrid w:val="0"/>
        <w:textAlignment w:val="auto"/>
        <w:rPr>
          <w:highlight w:val="none"/>
        </w:rPr>
      </w:pPr>
      <w:bookmarkStart w:id="175" w:name="_Toc324769739"/>
      <w:bookmarkStart w:id="176" w:name="_Toc326754953"/>
      <w:bookmarkStart w:id="177" w:name="_Toc20649"/>
      <w:bookmarkStart w:id="178" w:name="_Toc324770201"/>
      <w:bookmarkStart w:id="179" w:name="_Toc470785820"/>
      <w:bookmarkStart w:id="180" w:name="_Toc332632548"/>
      <w:bookmarkStart w:id="181" w:name="_Toc324768943"/>
      <w:bookmarkStart w:id="182" w:name="_Toc326754810"/>
      <w:r>
        <w:rPr>
          <w:highlight w:val="none"/>
        </w:rPr>
        <w:t>2.4.</w:t>
      </w:r>
      <w:r>
        <w:rPr>
          <w:rFonts w:hint="eastAsia"/>
          <w:highlight w:val="none"/>
          <w:lang w:val="en-US" w:eastAsia="zh-CN"/>
        </w:rPr>
        <w:t>5</w:t>
      </w:r>
      <w:r>
        <w:rPr>
          <w:highlight w:val="none"/>
        </w:rPr>
        <w:t xml:space="preserve"> 生态环境影响评价等级</w:t>
      </w:r>
      <w:bookmarkEnd w:id="175"/>
      <w:bookmarkEnd w:id="176"/>
      <w:bookmarkEnd w:id="177"/>
      <w:bookmarkEnd w:id="178"/>
      <w:bookmarkEnd w:id="179"/>
      <w:bookmarkEnd w:id="180"/>
      <w:bookmarkEnd w:id="181"/>
      <w:bookmarkEnd w:id="182"/>
    </w:p>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）评价等级</w:t>
      </w:r>
    </w:p>
    <w:p>
      <w:pPr>
        <w:bidi w:val="0"/>
        <w:rPr>
          <w:rFonts w:hint="eastAsia"/>
        </w:rPr>
      </w:pPr>
      <w:r>
        <w:rPr>
          <w:rFonts w:hint="eastAsia"/>
        </w:rPr>
        <w:t>根据《环境影响评价导则生态影响》（HJ19-2022）依据建设项目影响区域的生态敏感性和影响程度，评价等级划分为一级、二级和三级。按以下原则确定评价等级：</w:t>
      </w:r>
    </w:p>
    <w:p>
      <w:pPr>
        <w:bidi w:val="0"/>
        <w:rPr>
          <w:rFonts w:hint="eastAsia"/>
        </w:rPr>
      </w:pPr>
      <w:r>
        <w:rPr>
          <w:rFonts w:hint="eastAsia"/>
        </w:rPr>
        <w:t>a）涉及国家公园、自然保护区、世界自然遗产、重要生境时，评价等级为一级；</w:t>
      </w:r>
    </w:p>
    <w:p>
      <w:pPr>
        <w:bidi w:val="0"/>
        <w:rPr>
          <w:rFonts w:hint="eastAsia"/>
        </w:rPr>
      </w:pPr>
      <w:r>
        <w:rPr>
          <w:rFonts w:hint="eastAsia"/>
        </w:rPr>
        <w:t>b）涉及自然公园时，评价等级为二级；</w:t>
      </w:r>
    </w:p>
    <w:p>
      <w:pPr>
        <w:bidi w:val="0"/>
        <w:rPr>
          <w:rFonts w:hint="eastAsia"/>
        </w:rPr>
      </w:pPr>
      <w:r>
        <w:rPr>
          <w:rFonts w:hint="eastAsia"/>
        </w:rPr>
        <w:t>c）涉及生态保护红线时，评价等级不低</w:t>
      </w:r>
      <w:r>
        <w:rPr>
          <w:rFonts w:hint="eastAsia"/>
          <w:b w:val="0"/>
          <w:bCs w:val="0"/>
        </w:rPr>
        <w:t>于二级</w:t>
      </w:r>
      <w:r>
        <w:rPr>
          <w:rFonts w:hint="eastAsia"/>
        </w:rPr>
        <w:t>；</w:t>
      </w:r>
    </w:p>
    <w:p>
      <w:pPr>
        <w:bidi w:val="0"/>
        <w:rPr>
          <w:rFonts w:hint="eastAsia"/>
        </w:rPr>
      </w:pPr>
      <w:r>
        <w:rPr>
          <w:rFonts w:hint="eastAsia"/>
        </w:rPr>
        <w:t>d）根据HJ2.3判断属于水文要素影响型且地表水评价等级不低于二级的建设项目，生态影响评价等级不低于二级；</w:t>
      </w:r>
    </w:p>
    <w:p>
      <w:pPr>
        <w:bidi w:val="0"/>
        <w:rPr>
          <w:rFonts w:hint="eastAsia"/>
        </w:rPr>
      </w:pPr>
      <w:r>
        <w:rPr>
          <w:rFonts w:hint="eastAsia"/>
        </w:rPr>
        <w:t>e）根据 HJ610、HJ964 判断地下水水位或土壤影响范围内分布有天然林、公益林、湿地等生态保护目标的建设项目，生态影响评价等级不低于二级；</w:t>
      </w:r>
    </w:p>
    <w:p>
      <w:pPr>
        <w:bidi w:val="0"/>
        <w:rPr>
          <w:rFonts w:hint="eastAsia"/>
        </w:rPr>
      </w:pPr>
      <w:r>
        <w:rPr>
          <w:rFonts w:hint="eastAsia"/>
        </w:rPr>
        <w:t>f）当工程占地规模大于20km</w:t>
      </w:r>
      <w:r>
        <w:rPr>
          <w:rFonts w:hint="eastAsia"/>
          <w:vertAlign w:val="superscript"/>
        </w:rPr>
        <w:t>2</w:t>
      </w:r>
      <w:r>
        <w:rPr>
          <w:rFonts w:hint="eastAsia"/>
        </w:rPr>
        <w:t>时（包括永久和临时占用陆域和水域），评价等级不低于二级；改扩建项目的占地范围以新增占地（包括陆域和水域）确定；</w:t>
      </w:r>
    </w:p>
    <w:p>
      <w:pPr>
        <w:bidi w:val="0"/>
        <w:rPr>
          <w:rFonts w:hint="eastAsia"/>
        </w:rPr>
      </w:pPr>
      <w:r>
        <w:rPr>
          <w:rFonts w:hint="eastAsia"/>
        </w:rPr>
        <w:t>g）除本条a）、b）、c）、d）、e）、f）以外的情况，评价等级为三级；</w:t>
      </w:r>
    </w:p>
    <w:p>
      <w:pPr>
        <w:bidi w:val="0"/>
        <w:rPr>
          <w:rFonts w:hint="eastAsia"/>
        </w:rPr>
      </w:pPr>
      <w:r>
        <w:rPr>
          <w:rFonts w:hint="eastAsia"/>
        </w:rPr>
        <w:t>h）当评价等级判定同时符合上述多种情况时，应采用其中最高的评价等级。</w:t>
      </w:r>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建设项目同时涉及陆生、水生生态影响时，可针对陆生生态、水生生态分别判定等级。</w:t>
      </w:r>
    </w:p>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lang w:eastAsia="zh-CN"/>
        </w:rPr>
      </w:pPr>
      <w:r>
        <w:rPr>
          <w:rFonts w:hint="eastAsia"/>
          <w:color w:val="auto"/>
          <w:lang w:eastAsia="zh-CN"/>
        </w:rPr>
        <w:t>①陆生生态</w:t>
      </w: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本工程施工总占</w:t>
      </w:r>
      <w:r>
        <w:rPr>
          <w:rFonts w:hint="eastAsia"/>
          <w:color w:val="auto"/>
          <w:highlight w:val="none"/>
        </w:rPr>
        <w:t>地</w:t>
      </w:r>
      <w:r>
        <w:rPr>
          <w:rFonts w:hint="eastAsia"/>
          <w:color w:val="auto"/>
          <w:highlight w:val="none"/>
          <w:lang w:val="en-US" w:eastAsia="zh-CN"/>
        </w:rPr>
        <w:t xml:space="preserve">4.25 </w:t>
      </w:r>
      <w:r>
        <w:rPr>
          <w:rFonts w:hint="eastAsia"/>
          <w:color w:val="auto"/>
          <w:highlight w:val="none"/>
        </w:rPr>
        <w:t>hm</w:t>
      </w:r>
      <w:r>
        <w:rPr>
          <w:rFonts w:hint="eastAsia"/>
          <w:color w:val="auto"/>
          <w:highlight w:val="none"/>
          <w:vertAlign w:val="superscript"/>
        </w:rPr>
        <w:t>2</w:t>
      </w:r>
      <w:r>
        <w:rPr>
          <w:rFonts w:hint="eastAsia"/>
          <w:color w:val="auto"/>
          <w:highlight w:val="none"/>
        </w:rPr>
        <w:t>，</w:t>
      </w:r>
      <w:r>
        <w:rPr>
          <w:rFonts w:hint="eastAsia"/>
          <w:color w:val="auto"/>
          <w:highlight w:val="none"/>
          <w:lang w:eastAsia="zh-CN"/>
        </w:rPr>
        <w:t>均为</w:t>
      </w:r>
      <w:r>
        <w:rPr>
          <w:rFonts w:hint="eastAsia"/>
          <w:color w:val="auto"/>
          <w:highlight w:val="none"/>
        </w:rPr>
        <w:t>临</w:t>
      </w:r>
      <w:r>
        <w:rPr>
          <w:rFonts w:hint="eastAsia"/>
          <w:color w:val="auto"/>
        </w:rPr>
        <w:t>时占地，工程占地类型主要为</w:t>
      </w:r>
      <w:r>
        <w:rPr>
          <w:rFonts w:hint="eastAsia"/>
          <w:color w:val="auto"/>
          <w:lang w:eastAsia="zh-CN"/>
        </w:rPr>
        <w:t>河滩地和河流水</w:t>
      </w:r>
      <w:r>
        <w:rPr>
          <w:rFonts w:hint="eastAsia"/>
          <w:color w:val="auto"/>
        </w:rPr>
        <w:t>等。本工程</w:t>
      </w:r>
      <w:r>
        <w:rPr>
          <w:rFonts w:hint="eastAsia"/>
          <w:color w:val="auto"/>
          <w:lang w:eastAsia="zh-CN"/>
        </w:rPr>
        <w:t>陆生生态</w:t>
      </w:r>
      <w:r>
        <w:rPr>
          <w:rFonts w:hint="eastAsia"/>
          <w:color w:val="auto"/>
        </w:rPr>
        <w:t>不涉及生态保护红线、自然保护区、湿地保护区，同时本工程也不涉及水源保护区、风景名胜区、不涉及水功能一级区的保护区和保留区、世界文化和自然遗产地、地质公园、森林公园等敏感区，根据《环境影响评价技术导则 生态影响》(HJ19-2022)，项目陆生生态评价等级为三级。</w:t>
      </w: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②水生生态</w:t>
      </w: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lang w:eastAsia="zh-CN"/>
        </w:rPr>
        <w:t>项目水生生态涉及生态保护红线，</w:t>
      </w:r>
      <w:r>
        <w:rPr>
          <w:rFonts w:hint="eastAsia"/>
          <w:color w:val="auto"/>
        </w:rPr>
        <w:t>根据《环境影响评价技术导则 生态影响》(HJ19-2022)</w:t>
      </w:r>
      <w:r>
        <w:rPr>
          <w:rFonts w:hint="eastAsia"/>
          <w:color w:val="auto"/>
          <w:lang w:eastAsia="zh-CN"/>
        </w:rPr>
        <w:t>，</w:t>
      </w:r>
      <w:r>
        <w:rPr>
          <w:rFonts w:hint="eastAsia"/>
          <w:color w:val="auto"/>
        </w:rPr>
        <w:t>水生生态评价等级为</w:t>
      </w:r>
      <w:r>
        <w:rPr>
          <w:rFonts w:hint="eastAsia"/>
          <w:color w:val="auto"/>
          <w:lang w:eastAsia="zh-CN"/>
        </w:rPr>
        <w:t>二</w:t>
      </w:r>
      <w:r>
        <w:rPr>
          <w:rFonts w:hint="eastAsia"/>
          <w:color w:val="auto"/>
        </w:rPr>
        <w:t>级。</w:t>
      </w: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（2）评价范围：</w:t>
      </w:r>
    </w:p>
    <w:p>
      <w:pPr>
        <w:bidi w:val="0"/>
        <w:rPr>
          <w:bCs/>
          <w:color w:val="auto"/>
          <w:spacing w:val="-2"/>
          <w:kern w:val="0"/>
          <w:szCs w:val="24"/>
        </w:rPr>
      </w:pPr>
      <w:r>
        <w:rPr>
          <w:rFonts w:hint="eastAsia"/>
          <w:color w:val="auto"/>
          <w:lang w:eastAsia="zh-CN"/>
        </w:rPr>
        <w:t>根据《环境影响评价技术导则</w:t>
      </w:r>
      <w:r>
        <w:rPr>
          <w:rFonts w:hint="eastAsia"/>
          <w:color w:val="auto"/>
          <w:lang w:val="en-US" w:eastAsia="zh-CN"/>
        </w:rPr>
        <w:t xml:space="preserve">  </w:t>
      </w:r>
      <w:r>
        <w:rPr>
          <w:rFonts w:hint="eastAsia"/>
          <w:color w:val="auto"/>
          <w:lang w:eastAsia="zh-CN"/>
        </w:rPr>
        <w:t>生态影响》(HJ19-2022)规定，生态影响评价应能够充分体现生态完整性和生物多样性保护要求，涵盖评价项目全部活动的直接影响区域和间接影响区域，本次生态评价范围为</w:t>
      </w:r>
      <w:r>
        <w:rPr>
          <w:rFonts w:hint="eastAsia"/>
          <w:color w:val="auto"/>
          <w:lang w:val="en-US" w:eastAsia="zh-CN"/>
        </w:rPr>
        <w:t>26.43 h</w:t>
      </w:r>
      <w:r>
        <w:rPr>
          <w:rFonts w:hint="eastAsia"/>
          <w:color w:val="auto"/>
          <w:lang w:eastAsia="zh-CN"/>
        </w:rPr>
        <w:t>m</w:t>
      </w:r>
      <w:r>
        <w:rPr>
          <w:rFonts w:hint="eastAsia"/>
          <w:color w:val="auto"/>
          <w:vertAlign w:val="superscript"/>
          <w:lang w:eastAsia="zh-CN"/>
        </w:rPr>
        <w:t>2</w:t>
      </w:r>
      <w:r>
        <w:rPr>
          <w:rFonts w:hint="eastAsia"/>
          <w:color w:val="auto"/>
          <w:lang w:eastAsia="zh-CN"/>
        </w:rPr>
        <w:t>，详细如下。</w:t>
      </w: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①陆生生态</w:t>
      </w: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rPr>
        <w:t>陆生生态评价范围包括工程占地范围外</w:t>
      </w:r>
      <w:r>
        <w:rPr>
          <w:rFonts w:hint="eastAsia"/>
          <w:color w:val="auto"/>
          <w:lang w:eastAsia="zh-CN"/>
        </w:rPr>
        <w:t>延至两侧最近山脊线范围内。</w:t>
      </w: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②水生生态</w:t>
      </w: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水生生态评价范围</w:t>
      </w:r>
      <w:r>
        <w:rPr>
          <w:rFonts w:hint="eastAsia"/>
          <w:color w:val="auto"/>
          <w:lang w:eastAsia="zh-CN"/>
        </w:rPr>
        <w:t>为治理河道的水域范围，总面积</w:t>
      </w:r>
      <w:r>
        <w:rPr>
          <w:rFonts w:hint="eastAsia"/>
          <w:color w:val="auto"/>
          <w:lang w:val="en-US" w:eastAsia="zh-CN"/>
        </w:rPr>
        <w:t>2.88</w:t>
      </w:r>
      <w:r>
        <w:rPr>
          <w:rFonts w:hint="eastAsia"/>
          <w:color w:val="auto"/>
          <w:highlight w:val="none"/>
          <w:lang w:val="en-US" w:eastAsia="zh-CN"/>
        </w:rPr>
        <w:t xml:space="preserve"> </w:t>
      </w:r>
      <w:r>
        <w:rPr>
          <w:rFonts w:hint="eastAsia"/>
          <w:color w:val="auto"/>
          <w:highlight w:val="none"/>
        </w:rPr>
        <w:t>hm</w:t>
      </w:r>
      <w:r>
        <w:rPr>
          <w:rFonts w:hint="eastAsia"/>
          <w:color w:val="auto"/>
          <w:highlight w:val="none"/>
          <w:vertAlign w:val="superscript"/>
        </w:rPr>
        <w:t>2</w:t>
      </w:r>
      <w:r>
        <w:rPr>
          <w:rFonts w:hint="eastAsia"/>
          <w:color w:val="auto"/>
        </w:rPr>
        <w:t>。</w:t>
      </w:r>
    </w:p>
    <w:bookmarkEnd w:id="173"/>
    <w:p>
      <w:pPr>
        <w:pStyle w:val="5"/>
        <w:bidi w:val="0"/>
        <w:rPr>
          <w:color w:val="auto"/>
        </w:rPr>
      </w:pPr>
      <w:bookmarkStart w:id="183" w:name="_Toc470785823"/>
      <w:bookmarkStart w:id="184" w:name="_Toc26337"/>
      <w:r>
        <w:rPr>
          <w:color w:val="auto"/>
        </w:rPr>
        <w:t>2.5环境影响评价范围的确定</w:t>
      </w:r>
      <w:bookmarkEnd w:id="183"/>
      <w:bookmarkEnd w:id="184"/>
    </w:p>
    <w:bookmarkEnd w:id="166"/>
    <w:bookmarkEnd w:id="167"/>
    <w:bookmarkEnd w:id="168"/>
    <w:bookmarkEnd w:id="169"/>
    <w:bookmarkEnd w:id="170"/>
    <w:p>
      <w:pPr>
        <w:ind w:firstLine="480"/>
      </w:pPr>
      <w:bookmarkStart w:id="185" w:name="_Toc269200624"/>
      <w:bookmarkStart w:id="186" w:name="_Toc215837087"/>
      <w:bookmarkStart w:id="187" w:name="_Toc205697169"/>
      <w:r>
        <w:t>根据建设项目整体实施后可能对环境造成的影响范围，及各环境要素和专题环境影响评价技术导则的要求确定项目评价范围，见表2</w:t>
      </w:r>
      <w:r>
        <w:rPr>
          <w:rFonts w:hint="eastAsia"/>
        </w:rPr>
        <w:t>.5</w:t>
      </w:r>
      <w:r>
        <w:t>-</w:t>
      </w:r>
      <w:r>
        <w:rPr>
          <w:rFonts w:hint="eastAsia"/>
        </w:rPr>
        <w:t>1</w:t>
      </w:r>
      <w:r>
        <w:t>。</w:t>
      </w:r>
    </w:p>
    <w:p>
      <w:pPr>
        <w:ind w:firstLine="0" w:firstLineChars="0"/>
        <w:jc w:val="center"/>
        <w:rPr>
          <w:rStyle w:val="46"/>
        </w:rPr>
      </w:pPr>
      <w:r>
        <w:rPr>
          <w:rStyle w:val="46"/>
        </w:rPr>
        <w:t>表2.</w:t>
      </w:r>
      <w:r>
        <w:rPr>
          <w:rStyle w:val="46"/>
          <w:rFonts w:hint="eastAsia"/>
        </w:rPr>
        <w:t>5</w:t>
      </w:r>
      <w:r>
        <w:rPr>
          <w:rStyle w:val="46"/>
        </w:rPr>
        <w:t>-</w:t>
      </w:r>
      <w:r>
        <w:rPr>
          <w:rStyle w:val="46"/>
          <w:rFonts w:hint="eastAsia"/>
        </w:rPr>
        <w:t xml:space="preserve">1 </w:t>
      </w:r>
      <w:r>
        <w:rPr>
          <w:rStyle w:val="46"/>
        </w:rPr>
        <w:t xml:space="preserve"> 项目环境影响评价范围列表</w:t>
      </w:r>
    </w:p>
    <w:tbl>
      <w:tblPr>
        <w:tblStyle w:val="39"/>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601"/>
        <w:gridCol w:w="6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685" w:type="pct"/>
            <w:gridSpan w:val="2"/>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b/>
                <w:bCs/>
                <w:szCs w:val="20"/>
              </w:rPr>
            </w:pPr>
            <w:r>
              <w:rPr>
                <w:rFonts w:hint="eastAsia"/>
                <w:b/>
                <w:bCs/>
                <w:sz w:val="21"/>
                <w:szCs w:val="21"/>
              </w:rPr>
              <w:t>评价内容</w:t>
            </w:r>
          </w:p>
        </w:tc>
        <w:tc>
          <w:tcPr>
            <w:tcW w:w="3314" w:type="pct"/>
            <w:shd w:val="clear" w:color="auto" w:fill="auto"/>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b/>
              </w:rPr>
            </w:pPr>
            <w:r>
              <w:rPr>
                <w:rFonts w:hint="default"/>
                <w:b/>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826"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Cs w:val="20"/>
              </w:rPr>
            </w:pPr>
            <w:r>
              <w:rPr>
                <w:rFonts w:hint="default"/>
                <w:sz w:val="21"/>
                <w:szCs w:val="21"/>
              </w:rPr>
              <w:t>大气环境</w:t>
            </w:r>
          </w:p>
        </w:tc>
        <w:tc>
          <w:tcPr>
            <w:tcW w:w="858"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sz w:val="21"/>
                <w:szCs w:val="21"/>
                <w:lang w:eastAsia="zh-CN"/>
              </w:rPr>
            </w:pPr>
            <w:r>
              <w:rPr>
                <w:rFonts w:hint="eastAsia"/>
                <w:sz w:val="21"/>
                <w:szCs w:val="21"/>
                <w:lang w:val="en-US" w:eastAsia="zh-CN"/>
              </w:rPr>
              <w:t>/</w:t>
            </w:r>
          </w:p>
        </w:tc>
        <w:tc>
          <w:tcPr>
            <w:tcW w:w="331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sz w:val="21"/>
                <w:szCs w:val="21"/>
                <w:lang w:val="en-US" w:eastAsia="zh-CN"/>
              </w:rPr>
            </w:pPr>
            <w:r>
              <w:rPr>
                <w:rFonts w:hint="eastAsia"/>
                <w:sz w:val="21"/>
                <w:szCs w:val="21"/>
              </w:rPr>
              <w:t>项目建设阶段主要进行工程的建设施工、运行阶段无大气污染物产生，不进行大气环境影响评价工作等级判定，不划分大气环境影响评价工作等级。因此，无大气评价范围</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26"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szCs w:val="20"/>
              </w:rPr>
            </w:pPr>
            <w:r>
              <w:rPr>
                <w:rFonts w:hint="default"/>
                <w:sz w:val="21"/>
                <w:szCs w:val="21"/>
              </w:rPr>
              <w:t>地表水环境</w:t>
            </w:r>
          </w:p>
        </w:tc>
        <w:tc>
          <w:tcPr>
            <w:tcW w:w="858"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szCs w:val="20"/>
              </w:rPr>
            </w:pPr>
            <w:r>
              <w:rPr>
                <w:rFonts w:hint="default"/>
                <w:snapToGrid w:val="0"/>
                <w:sz w:val="21"/>
                <w:szCs w:val="21"/>
              </w:rPr>
              <w:t>水文要素影响型三级</w:t>
            </w:r>
          </w:p>
        </w:tc>
        <w:tc>
          <w:tcPr>
            <w:tcW w:w="331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000000"/>
                <w:szCs w:val="20"/>
                <w:lang w:eastAsia="zh-CN"/>
              </w:rPr>
            </w:pPr>
            <w:r>
              <w:rPr>
                <w:rFonts w:hint="eastAsia"/>
                <w:sz w:val="21"/>
                <w:szCs w:val="21"/>
                <w:lang w:val="en-US" w:eastAsia="zh-CN"/>
              </w:rPr>
              <w:t>项目河流水生态保护修复工程起点至终点，河段总长为530m，评价范围面积约0.0299km</w:t>
            </w:r>
            <w:r>
              <w:rPr>
                <w:rFonts w:hint="eastAsia"/>
                <w:sz w:val="21"/>
                <w:szCs w:val="21"/>
                <w:vertAlign w:val="superscript"/>
                <w:lang w:val="en-US" w:eastAsia="zh-CN"/>
              </w:rPr>
              <w:t>2</w:t>
            </w: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26"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Cs w:val="20"/>
              </w:rPr>
            </w:pPr>
            <w:r>
              <w:rPr>
                <w:rFonts w:hint="default"/>
                <w:sz w:val="21"/>
                <w:szCs w:val="21"/>
              </w:rPr>
              <w:t>地下水环境</w:t>
            </w:r>
          </w:p>
        </w:tc>
        <w:tc>
          <w:tcPr>
            <w:tcW w:w="858"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Cs w:val="20"/>
              </w:rPr>
            </w:pPr>
            <w:r>
              <w:rPr>
                <w:rFonts w:hint="eastAsia"/>
                <w:sz w:val="21"/>
                <w:szCs w:val="21"/>
                <w:lang w:eastAsia="zh-CN"/>
              </w:rPr>
              <w:t>三</w:t>
            </w:r>
            <w:r>
              <w:rPr>
                <w:rFonts w:hint="default"/>
                <w:sz w:val="21"/>
                <w:szCs w:val="21"/>
              </w:rPr>
              <w:t>级</w:t>
            </w:r>
          </w:p>
        </w:tc>
        <w:tc>
          <w:tcPr>
            <w:tcW w:w="3314" w:type="pct"/>
            <w:shd w:val="clear" w:color="auto" w:fill="auto"/>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spacing w:val="1"/>
                <w:highlight w:val="yellow"/>
              </w:rPr>
            </w:pPr>
            <w:r>
              <w:rPr>
                <w:rFonts w:hint="eastAsia"/>
                <w:snapToGrid w:val="0"/>
                <w:kern w:val="0"/>
                <w:highlight w:val="none"/>
                <w:lang w:eastAsia="zh-CN"/>
              </w:rPr>
              <w:t>项目无污染源，不设置地下水环境影响评价范围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26"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Cs w:val="20"/>
              </w:rPr>
            </w:pPr>
            <w:r>
              <w:rPr>
                <w:rFonts w:hint="default"/>
                <w:sz w:val="21"/>
                <w:szCs w:val="21"/>
              </w:rPr>
              <w:t>声环境</w:t>
            </w:r>
          </w:p>
        </w:tc>
        <w:tc>
          <w:tcPr>
            <w:tcW w:w="858"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Cs w:val="20"/>
              </w:rPr>
            </w:pPr>
            <w:r>
              <w:rPr>
                <w:rFonts w:hint="eastAsia"/>
                <w:sz w:val="21"/>
                <w:szCs w:val="21"/>
                <w:lang w:eastAsia="zh-CN"/>
              </w:rPr>
              <w:t>二</w:t>
            </w:r>
            <w:r>
              <w:rPr>
                <w:rFonts w:hint="default"/>
                <w:sz w:val="21"/>
                <w:szCs w:val="21"/>
              </w:rPr>
              <w:t>级</w:t>
            </w:r>
          </w:p>
        </w:tc>
        <w:tc>
          <w:tcPr>
            <w:tcW w:w="331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lang w:eastAsia="zh-CN"/>
              </w:rPr>
              <w:t>噪声二级评价项目，评价范围为拟治理修复河段沿线两侧200m范围内区域。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26"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Cs w:val="20"/>
              </w:rPr>
            </w:pPr>
            <w:r>
              <w:rPr>
                <w:rFonts w:hint="default"/>
                <w:sz w:val="21"/>
                <w:szCs w:val="21"/>
              </w:rPr>
              <w:t>土壤环境</w:t>
            </w:r>
          </w:p>
        </w:tc>
        <w:tc>
          <w:tcPr>
            <w:tcW w:w="858"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szCs w:val="20"/>
              </w:rPr>
            </w:pPr>
            <w:r>
              <w:rPr>
                <w:rFonts w:hint="eastAsia"/>
                <w:sz w:val="21"/>
                <w:szCs w:val="21"/>
                <w:lang w:eastAsia="zh-CN"/>
              </w:rPr>
              <w:t>三级</w:t>
            </w:r>
          </w:p>
        </w:tc>
        <w:tc>
          <w:tcPr>
            <w:tcW w:w="331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sz w:val="21"/>
                <w:szCs w:val="21"/>
                <w:lang w:eastAsia="zh-CN"/>
              </w:rPr>
            </w:pPr>
            <w:r>
              <w:rPr>
                <w:rFonts w:hint="default"/>
                <w:sz w:val="21"/>
                <w:szCs w:val="21"/>
              </w:rPr>
              <w:t>项目可不开展土壤环境影响评价</w:t>
            </w:r>
            <w:r>
              <w:rPr>
                <w:rFonts w:hint="eastAsia"/>
                <w:sz w:val="21"/>
                <w:szCs w:val="21"/>
              </w:rPr>
              <w:t>。</w:t>
            </w:r>
            <w:r>
              <w:rPr>
                <w:rFonts w:hint="default"/>
                <w:sz w:val="21"/>
                <w:szCs w:val="21"/>
              </w:rPr>
              <w:t>不设置</w:t>
            </w:r>
            <w:r>
              <w:rPr>
                <w:rFonts w:hint="eastAsia"/>
                <w:sz w:val="21"/>
                <w:szCs w:val="21"/>
              </w:rPr>
              <w:t>土壤环境影响</w:t>
            </w:r>
            <w:r>
              <w:rPr>
                <w:rFonts w:hint="default"/>
                <w:sz w:val="21"/>
                <w:szCs w:val="21"/>
              </w:rPr>
              <w:t>评价范围</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26"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Cs w:val="20"/>
              </w:rPr>
            </w:pPr>
            <w:bookmarkStart w:id="188" w:name="_Toc282946131"/>
            <w:bookmarkStart w:id="189" w:name="_Toc332632549"/>
            <w:bookmarkStart w:id="190" w:name="_Toc283110176"/>
            <w:bookmarkStart w:id="191" w:name="_Toc286934641"/>
            <w:bookmarkStart w:id="192" w:name="_Toc326754954"/>
            <w:bookmarkStart w:id="193" w:name="_Toc282959701"/>
            <w:bookmarkStart w:id="194" w:name="_Toc286835706"/>
            <w:r>
              <w:rPr>
                <w:rFonts w:hint="default"/>
                <w:color w:val="auto"/>
                <w:sz w:val="21"/>
                <w:szCs w:val="21"/>
              </w:rPr>
              <w:t>生态环境</w:t>
            </w:r>
          </w:p>
        </w:tc>
        <w:tc>
          <w:tcPr>
            <w:tcW w:w="858"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Cs w:val="20"/>
              </w:rPr>
            </w:pPr>
            <w:r>
              <w:rPr>
                <w:rFonts w:hint="eastAsia"/>
                <w:color w:val="auto"/>
                <w:sz w:val="21"/>
                <w:szCs w:val="21"/>
                <w:highlight w:val="none"/>
                <w:lang w:eastAsia="zh-CN"/>
              </w:rPr>
              <w:t>陆生生态三级、水生生态二级</w:t>
            </w:r>
          </w:p>
        </w:tc>
        <w:tc>
          <w:tcPr>
            <w:tcW w:w="3314" w:type="pct"/>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snapToGrid w:val="0"/>
                <w:color w:val="auto"/>
                <w:sz w:val="21"/>
                <w:szCs w:val="21"/>
                <w:lang w:val="en-US" w:eastAsia="zh-CN"/>
              </w:rPr>
              <w:t>水生范围为治理河道的水域范围；陆生范围为河道两侧最近山脊线范围内，生态评价范围为26.4 hm</w:t>
            </w:r>
            <w:r>
              <w:rPr>
                <w:rFonts w:hint="eastAsia"/>
                <w:snapToGrid w:val="0"/>
                <w:color w:val="auto"/>
                <w:sz w:val="21"/>
                <w:szCs w:val="21"/>
                <w:vertAlign w:val="superscript"/>
                <w:lang w:val="en-US" w:eastAsia="zh-CN"/>
              </w:rPr>
              <w:t>2</w:t>
            </w:r>
            <w:r>
              <w:rPr>
                <w:rFonts w:hint="eastAsia"/>
                <w:snapToGrid w:val="0"/>
                <w:color w:val="auto"/>
                <w:sz w:val="21"/>
                <w:szCs w:val="21"/>
                <w:lang w:val="en-US" w:eastAsia="zh-CN"/>
              </w:rPr>
              <w:t>。</w:t>
            </w:r>
          </w:p>
        </w:tc>
      </w:tr>
    </w:tbl>
    <w:p>
      <w:pPr>
        <w:pStyle w:val="5"/>
      </w:pPr>
      <w:bookmarkStart w:id="195" w:name="_Toc470785824"/>
      <w:bookmarkStart w:id="196" w:name="_Toc5618"/>
      <w:r>
        <w:rPr>
          <w:color w:val="auto"/>
        </w:rPr>
        <w:t>2.6相关规划及环境功能区划</w:t>
      </w:r>
      <w:bookmarkEnd w:id="195"/>
      <w:bookmarkEnd w:id="196"/>
    </w:p>
    <w:p>
      <w:pPr>
        <w:pStyle w:val="6"/>
        <w:rPr>
          <w:color w:val="000000"/>
        </w:rPr>
      </w:pPr>
      <w:bookmarkStart w:id="197" w:name="_Toc470785825"/>
      <w:bookmarkStart w:id="198" w:name="_Toc17733"/>
      <w:r>
        <w:rPr>
          <w:color w:val="000000"/>
        </w:rPr>
        <w:t>2.6.1 相关规划</w:t>
      </w:r>
      <w:bookmarkEnd w:id="197"/>
      <w:bookmarkEnd w:id="198"/>
    </w:p>
    <w:p>
      <w:pPr>
        <w:pStyle w:val="7"/>
        <w:bidi w:val="0"/>
      </w:pPr>
      <w:r>
        <w:t>2.6.1.1《河北省主体功能区规划》</w:t>
      </w:r>
      <w:r>
        <w:rPr>
          <w:rFonts w:hint="eastAsia"/>
        </w:rPr>
        <w:t>符合性分析</w:t>
      </w:r>
    </w:p>
    <w:p>
      <w:pPr>
        <w:adjustRightInd w:val="0"/>
        <w:snapToGrid w:val="0"/>
        <w:spacing w:line="360" w:lineRule="auto"/>
        <w:ind w:firstLine="480" w:firstLineChars="200"/>
        <w:rPr>
          <w:rFonts w:hint="eastAsia"/>
          <w:kern w:val="0"/>
          <w:sz w:val="24"/>
          <w:szCs w:val="24"/>
        </w:rPr>
      </w:pPr>
      <w:r>
        <w:rPr>
          <w:rFonts w:hint="eastAsia"/>
          <w:kern w:val="0"/>
          <w:sz w:val="24"/>
          <w:szCs w:val="24"/>
        </w:rPr>
        <w:t>根据《河北省主体功能区规划》项目所在地属于省级重点生态功能区，该区域内生态建设发展方向为加强永定河潮白河和滦河流域综合治理，提升中游地区生态保护功能。重点建设水源涵养水土保持、造林绿化、农田水利等工程，继续实施风沙源治理、退耕还林、三北防护林、首都水资源恢复和保护等重点生态工程。</w:t>
      </w:r>
    </w:p>
    <w:p>
      <w:pPr>
        <w:autoSpaceDE w:val="0"/>
        <w:autoSpaceDN w:val="0"/>
        <w:jc w:val="both"/>
        <w:outlineLvl w:val="9"/>
        <w:rPr>
          <w:b/>
          <w:kern w:val="0"/>
          <w:sz w:val="21"/>
          <w:szCs w:val="21"/>
        </w:rPr>
      </w:pPr>
      <w:r>
        <w:rPr>
          <w:rFonts w:hint="eastAsia"/>
          <w:kern w:val="0"/>
          <w:sz w:val="24"/>
          <w:szCs w:val="24"/>
        </w:rPr>
        <w:t>本项目为河道</w:t>
      </w:r>
      <w:r>
        <w:rPr>
          <w:rFonts w:hint="eastAsia"/>
          <w:kern w:val="0"/>
          <w:sz w:val="24"/>
          <w:szCs w:val="24"/>
          <w:lang w:eastAsia="zh-CN"/>
        </w:rPr>
        <w:t>生态设施建设</w:t>
      </w:r>
      <w:r>
        <w:rPr>
          <w:rFonts w:hint="eastAsia"/>
          <w:kern w:val="0"/>
          <w:sz w:val="24"/>
          <w:szCs w:val="24"/>
        </w:rPr>
        <w:t>类项目，项目的建设符合区域“京津和冀东地区生态屏障、地表水源涵养区，河北林业和生物多样性保护的重点区”的功能定位，符合区域“生态建设”的发展方向，因此，项目的建设与该规划具有相符性。</w:t>
      </w:r>
    </w:p>
    <w:p>
      <w:pPr>
        <w:pStyle w:val="7"/>
        <w:bidi w:val="0"/>
        <w:rPr>
          <w:color w:val="000000"/>
        </w:rPr>
      </w:pPr>
      <w:r>
        <w:t>2.6.1.</w:t>
      </w:r>
      <w:r>
        <w:rPr>
          <w:rFonts w:hint="eastAsia"/>
          <w:lang w:val="en-US" w:eastAsia="zh-CN"/>
        </w:rPr>
        <w:t>2</w:t>
      </w:r>
      <w:r>
        <w:rPr>
          <w:rFonts w:hint="eastAsia"/>
          <w:color w:val="000000"/>
        </w:rPr>
        <w:t>《承德市城市总体规划》（2016－2030）</w:t>
      </w:r>
      <w:r>
        <w:rPr>
          <w:rFonts w:hint="eastAsia"/>
        </w:rPr>
        <w:t>符合性分析</w:t>
      </w:r>
    </w:p>
    <w:p>
      <w:pPr>
        <w:adjustRightInd w:val="0"/>
        <w:snapToGrid w:val="0"/>
        <w:ind w:firstLine="480" w:firstLineChars="200"/>
        <w:rPr>
          <w:rFonts w:hint="eastAsia" w:ascii="Times New Roman" w:eastAsia="宋体"/>
        </w:rPr>
      </w:pPr>
      <w:r>
        <w:rPr>
          <w:rFonts w:hint="eastAsia" w:ascii="Times New Roman" w:eastAsia="宋体"/>
        </w:rPr>
        <w:t>《承德市城市总体规划（2016-2030年）》明确指出：“重点建设流经中心城区、各县城区和各镇区的主要河流防洪工程和河道疏浚工程。通过采取工程措施与非工程措施相结合的方法，进行区域河流综合整治和合理设防，同时加强生态环境建设工作，依靠科学技术，加强对现有天然林及野生动植物资源的保护，大力开展植树种草，治理水土流失，防治荒漠化，建设生态农业，改善生产和生活条件，加强综合治理力度”。</w:t>
      </w:r>
    </w:p>
    <w:p>
      <w:pPr>
        <w:adjustRightInd w:val="0"/>
        <w:snapToGrid w:val="0"/>
        <w:ind w:firstLine="480" w:firstLineChars="200"/>
        <w:rPr>
          <w:rFonts w:hint="eastAsia" w:ascii="Times New Roman" w:eastAsia="宋体"/>
        </w:rPr>
      </w:pPr>
      <w:r>
        <w:rPr>
          <w:rFonts w:hint="eastAsia" w:ascii="Times New Roman" w:eastAsia="宋体"/>
        </w:rPr>
        <w:t>本项目为</w:t>
      </w:r>
      <w:r>
        <w:rPr>
          <w:rFonts w:hint="eastAsia"/>
          <w:kern w:val="0"/>
          <w:sz w:val="24"/>
          <w:szCs w:val="24"/>
        </w:rPr>
        <w:t>河道</w:t>
      </w:r>
      <w:r>
        <w:rPr>
          <w:rFonts w:hint="eastAsia"/>
          <w:kern w:val="0"/>
          <w:sz w:val="24"/>
          <w:szCs w:val="24"/>
          <w:lang w:eastAsia="zh-CN"/>
        </w:rPr>
        <w:t>生态设施建设</w:t>
      </w:r>
      <w:r>
        <w:rPr>
          <w:rFonts w:hint="eastAsia"/>
          <w:kern w:val="0"/>
          <w:sz w:val="24"/>
          <w:szCs w:val="24"/>
        </w:rPr>
        <w:t>类项目</w:t>
      </w:r>
      <w:r>
        <w:rPr>
          <w:rFonts w:hint="eastAsia" w:ascii="Times New Roman" w:eastAsia="宋体"/>
        </w:rPr>
        <w:t>，项目的建设有利于河流生态系统的整体改善；有利于改善上下游居民居住生活环境，提高城乡居民健康水平和生活质量，有利于区域经济的快速增长和社会经济的持续发展，因此，本项目的建设符合《承德市城市总体规划（2016-2030年）》。</w:t>
      </w:r>
    </w:p>
    <w:p>
      <w:pPr>
        <w:bidi w:val="0"/>
      </w:pPr>
      <w:r>
        <w:t>根据《承德市城市总体规划（2016-2030年）》，将承德市划分出2个一级区，即坝上高原生态区、冀北及燕山山地生态区；6个生态亚区，即坝上高原西部草原生态亚区、坝上高原东部森林草原生态亚区、冀北山地森林生态亚区、七老图山森林灌草生态亚区、燕山山地南部林果生态亚区、城市规划发展生态亚区；27个生态功能区。</w:t>
      </w:r>
    </w:p>
    <w:p>
      <w:pPr>
        <w:bidi w:val="0"/>
        <w:rPr>
          <w:rFonts w:hint="eastAsia"/>
          <w:lang w:eastAsia="zh-CN"/>
        </w:rPr>
      </w:pPr>
      <w:r>
        <w:rPr>
          <w:rFonts w:hint="eastAsia"/>
          <w:lang w:eastAsia="zh-CN"/>
        </w:rPr>
        <w:t>兴隆县李家营乡为</w:t>
      </w:r>
      <w:r>
        <w:t>冀北及燕山山地生态区</w:t>
      </w:r>
      <w:r>
        <w:rPr>
          <w:rFonts w:hint="eastAsia"/>
          <w:lang w:val="en-US" w:eastAsia="zh-CN"/>
        </w:rPr>
        <w:t>-</w:t>
      </w:r>
      <w:r>
        <w:t>城市规划发展亚区</w:t>
      </w:r>
      <w:r>
        <w:rPr>
          <w:rFonts w:hint="eastAsia"/>
          <w:lang w:val="en-US" w:eastAsia="zh-CN"/>
        </w:rPr>
        <w:t>-</w:t>
      </w:r>
      <w:r>
        <w:t>滦平东部矿山环境综合整治区。</w:t>
      </w:r>
      <w:r>
        <w:rPr>
          <w:rFonts w:hint="eastAsia"/>
          <w:lang w:eastAsia="zh-CN"/>
        </w:rPr>
        <w:t>项目位置关系图如下图</w:t>
      </w:r>
      <w:r>
        <w:rPr>
          <w:rFonts w:hint="eastAsia"/>
          <w:lang w:val="en-US" w:eastAsia="zh-CN"/>
        </w:rPr>
        <w:t>2.6-1。</w:t>
      </w:r>
      <w:r>
        <w:rPr>
          <w:rFonts w:hint="eastAsia"/>
          <w:lang w:eastAsia="zh-CN"/>
        </w:rPr>
        <w:t>主要生态环境问题及建设方向如下表。</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color w:val="auto"/>
        </w:rPr>
      </w:pPr>
      <w:r>
        <w:rPr>
          <w:rFonts w:ascii="Times New Roman"/>
        </w:rPr>
        <mc:AlternateContent>
          <mc:Choice Requires="wps">
            <w:drawing>
              <wp:anchor distT="0" distB="0" distL="114300" distR="114300" simplePos="0" relativeHeight="251668480" behindDoc="0" locked="0" layoutInCell="1" allowOverlap="1">
                <wp:simplePos x="0" y="0"/>
                <wp:positionH relativeFrom="column">
                  <wp:posOffset>3394075</wp:posOffset>
                </wp:positionH>
                <wp:positionV relativeFrom="paragraph">
                  <wp:posOffset>4036060</wp:posOffset>
                </wp:positionV>
                <wp:extent cx="1000125" cy="295275"/>
                <wp:effectExtent l="198120" t="7620" r="20955" b="363855"/>
                <wp:wrapNone/>
                <wp:docPr id="7" name="矩形标注 7"/>
                <wp:cNvGraphicFramePr/>
                <a:graphic xmlns:a="http://schemas.openxmlformats.org/drawingml/2006/main">
                  <a:graphicData uri="http://schemas.microsoft.com/office/word/2010/wordprocessingShape">
                    <wps:wsp>
                      <wps:cNvSpPr/>
                      <wps:spPr>
                        <a:xfrm>
                          <a:off x="0" y="0"/>
                          <a:ext cx="1000125" cy="295275"/>
                        </a:xfrm>
                        <a:prstGeom prst="wedgeRectCallout">
                          <a:avLst>
                            <a:gd name="adj1" fmla="val -65231"/>
                            <a:gd name="adj2" fmla="val 160968"/>
                          </a:avLst>
                        </a:prstGeom>
                        <a:solidFill>
                          <a:schemeClr val="bg1"/>
                        </a:solidFill>
                        <a:ln w="15875" cap="flat" cmpd="sng">
                          <a:solidFill>
                            <a:srgbClr val="FFFF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80" w:lineRule="exact"/>
                              <w:ind w:firstLine="0" w:firstLineChars="0"/>
                              <w:jc w:val="center"/>
                              <w:textAlignment w:val="auto"/>
                              <w:rPr>
                                <w:rFonts w:hint="eastAsia" w:eastAsia="宋体"/>
                                <w:szCs w:val="18"/>
                                <w:lang w:eastAsia="zh-CN"/>
                              </w:rPr>
                            </w:pPr>
                            <w:r>
                              <w:rPr>
                                <w:rFonts w:hint="eastAsia" w:eastAsia="宋体"/>
                                <w:szCs w:val="18"/>
                              </w:rPr>
                              <w:t>项目</w:t>
                            </w:r>
                            <w:r>
                              <w:rPr>
                                <w:rFonts w:hint="eastAsia"/>
                                <w:szCs w:val="18"/>
                                <w:lang w:eastAsia="zh-CN"/>
                              </w:rPr>
                              <w:t>位置</w:t>
                            </w:r>
                          </w:p>
                        </w:txbxContent>
                      </wps:txbx>
                      <wps:bodyPr upright="1"/>
                    </wps:wsp>
                  </a:graphicData>
                </a:graphic>
              </wp:anchor>
            </w:drawing>
          </mc:Choice>
          <mc:Fallback>
            <w:pict>
              <v:shape id="_x0000_s1026" o:spid="_x0000_s1026" o:spt="61" type="#_x0000_t61" style="position:absolute;left:0pt;margin-left:267.25pt;margin-top:317.8pt;height:23.25pt;width:78.75pt;z-index:251668480;mso-width-relative:page;mso-height-relative:page;" fillcolor="#FFFFFF [3212]" filled="t" stroked="t" coordsize="21600,21600" o:gfxdata="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kPTXLYAAAACwEAAA8AAAAAAAAAAQAgAAAAIgAAAGRycy9kb3du&#10;cmV2LnhtbFBLAQIUABQAAAAIAIdO4kBwDwvQOAIAAI8EAAAOAAAAAAAAAAEAIAAAACcBAABkcnMv&#10;ZTJvRG9jLnhtbFBLBQYAAAAABgAGAFkBAADRBQAAAAA=&#10;" adj="-3290,45569">
                <v:fill on="t" focussize="0,0"/>
                <v:stroke weight="1.25pt" color="#FFFF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80" w:lineRule="exact"/>
                        <w:ind w:firstLine="0" w:firstLineChars="0"/>
                        <w:jc w:val="center"/>
                        <w:textAlignment w:val="auto"/>
                        <w:rPr>
                          <w:rFonts w:hint="eastAsia" w:eastAsia="宋体"/>
                          <w:szCs w:val="18"/>
                          <w:lang w:eastAsia="zh-CN"/>
                        </w:rPr>
                      </w:pPr>
                      <w:r>
                        <w:rPr>
                          <w:rFonts w:hint="eastAsia" w:eastAsia="宋体"/>
                          <w:szCs w:val="18"/>
                        </w:rPr>
                        <w:t>项目</w:t>
                      </w:r>
                      <w:r>
                        <w:rPr>
                          <w:rFonts w:hint="eastAsia"/>
                          <w:szCs w:val="18"/>
                          <w:lang w:eastAsia="zh-CN"/>
                        </w:rPr>
                        <w:t>位置</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3069590</wp:posOffset>
                </wp:positionH>
                <wp:positionV relativeFrom="paragraph">
                  <wp:posOffset>4671060</wp:posOffset>
                </wp:positionV>
                <wp:extent cx="144780" cy="128905"/>
                <wp:effectExtent l="12700" t="12700" r="13970" b="29845"/>
                <wp:wrapNone/>
                <wp:docPr id="25" name="五角星 25"/>
                <wp:cNvGraphicFramePr/>
                <a:graphic xmlns:a="http://schemas.openxmlformats.org/drawingml/2006/main">
                  <a:graphicData uri="http://schemas.microsoft.com/office/word/2010/wordprocessingShape">
                    <wps:wsp>
                      <wps:cNvSpPr/>
                      <wps:spPr>
                        <a:xfrm>
                          <a:off x="1433830" y="9540240"/>
                          <a:ext cx="144780" cy="128905"/>
                        </a:xfrm>
                        <a:prstGeom prst="star5">
                          <a:avLst>
                            <a:gd name="adj" fmla="val 20146"/>
                            <a:gd name="hf" fmla="val 105146"/>
                            <a:gd name="vf" fmla="val 110557"/>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1.7pt;margin-top:367.8pt;height:10.15pt;width:11.4pt;z-index:251669504;v-text-anchor:middle;mso-width-relative:page;mso-height-relative:page;" fillcolor="#00B050" filled="t" stroked="t" coordsize="144780,128905" o:gfxdata="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JaJEaNwAAAALAQAADwAAAAAAAAABACAAAAAiAAAAZHJzL2Rvd25y&#10;ZXYueG1sUEsBAhQAFAAAAAgAh07iQBU5s62lAgAAawUAAA4AAAAAAAAAAQAgAAAAKwEAAGRycy9l&#10;Mm9Eb2MueG1sUEsFBgAAAAAGAAYAWQEAAEIGAAAAAA==&#10;" path="m0,49237l54363,48029,72390,0,90416,48029,144779,49237,101557,80128,117129,128904,72390,99967,27650,128904,43222,80128xe">
                <v:path textboxrect="0,0,144780,128905" o:connectlocs="72390,0;0,49237;27650,128904;117129,128904;144779,49237" o:connectangles="247,164,82,82,0"/>
                <v:fill on="t" focussize="0,0"/>
                <v:stroke weight="2pt" color="#00B050 [3204]" joinstyle="round"/>
                <v:imagedata o:title=""/>
                <o:lock v:ext="edit" aspectratio="f"/>
                <v:textbox>
                  <w:txbxContent>
                    <w:p>
                      <w:pPr>
                        <w:jc w:val="center"/>
                      </w:pPr>
                    </w:p>
                  </w:txbxContent>
                </v:textbox>
              </v:shape>
            </w:pict>
          </mc:Fallback>
        </mc:AlternateContent>
      </w:r>
      <w:r>
        <w:rPr>
          <w:rFonts w:ascii="Times New Roman"/>
        </w:rPr>
        <w:drawing>
          <wp:inline distT="0" distB="0" distL="114300" distR="114300">
            <wp:extent cx="4634230" cy="6155690"/>
            <wp:effectExtent l="0" t="0" r="13970" b="16510"/>
            <wp:docPr id="2" name="图片 3" descr="C:/Users/ADMINI~1/AppData/Local/Temp/picturescale_20190701163203/output_20190701163214.jpgoutput_2019070116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1/AppData/Local/Temp/picturescale_20190701163203/output_20190701163214.jpgoutput_20190701163214"/>
                    <pic:cNvPicPr>
                      <a:picLocks noChangeAspect="1"/>
                    </pic:cNvPicPr>
                  </pic:nvPicPr>
                  <pic:blipFill>
                    <a:blip r:embed="rId25"/>
                    <a:srcRect t="3414" b="2655"/>
                    <a:stretch>
                      <a:fillRect/>
                    </a:stretch>
                  </pic:blipFill>
                  <pic:spPr>
                    <a:xfrm>
                      <a:off x="0" y="0"/>
                      <a:ext cx="4634230" cy="61556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color w:val="auto"/>
          <w:sz w:val="21"/>
          <w:szCs w:val="21"/>
        </w:rPr>
      </w:pPr>
      <w:r>
        <w:rPr>
          <w:b/>
          <w:bCs/>
          <w:color w:val="auto"/>
          <w:sz w:val="21"/>
          <w:szCs w:val="21"/>
        </w:rPr>
        <w:t>图</w:t>
      </w:r>
      <w:r>
        <w:rPr>
          <w:rFonts w:hint="eastAsia"/>
          <w:b/>
          <w:bCs/>
          <w:color w:val="auto"/>
          <w:sz w:val="21"/>
          <w:szCs w:val="21"/>
        </w:rPr>
        <w:t>2.6-</w:t>
      </w:r>
      <w:r>
        <w:rPr>
          <w:rFonts w:hint="eastAsia"/>
          <w:b/>
          <w:bCs/>
          <w:color w:val="auto"/>
          <w:sz w:val="21"/>
          <w:szCs w:val="21"/>
          <w:lang w:val="en-US" w:eastAsia="zh-CN"/>
        </w:rPr>
        <w:t>1</w:t>
      </w:r>
      <w:r>
        <w:rPr>
          <w:b/>
          <w:bCs/>
          <w:color w:val="auto"/>
          <w:sz w:val="21"/>
          <w:szCs w:val="21"/>
        </w:rPr>
        <w:t xml:space="preserve">  </w:t>
      </w:r>
      <w:r>
        <w:rPr>
          <w:rFonts w:hint="eastAsia"/>
          <w:b/>
          <w:bCs/>
          <w:color w:val="auto"/>
          <w:sz w:val="21"/>
          <w:szCs w:val="21"/>
        </w:rPr>
        <w:t>承德市生态功能区</w:t>
      </w:r>
      <w:r>
        <w:rPr>
          <w:rFonts w:hint="eastAsia"/>
          <w:b/>
          <w:bCs/>
          <w:color w:val="auto"/>
          <w:sz w:val="21"/>
          <w:szCs w:val="21"/>
          <w:lang w:eastAsia="zh-CN"/>
        </w:rPr>
        <w:t>划</w:t>
      </w:r>
      <w:r>
        <w:rPr>
          <w:rFonts w:hint="eastAsia"/>
          <w:b/>
          <w:bCs/>
          <w:color w:val="auto"/>
          <w:sz w:val="21"/>
          <w:szCs w:val="21"/>
        </w:rPr>
        <w:t>图</w:t>
      </w:r>
    </w:p>
    <w:p>
      <w:pPr>
        <w:pStyle w:val="144"/>
        <w:numPr>
          <w:ilvl w:val="0"/>
          <w:numId w:val="0"/>
        </w:numPr>
        <w:tabs>
          <w:tab w:val="left" w:pos="420"/>
        </w:tabs>
        <w:ind w:leftChars="0"/>
        <w:jc w:val="center"/>
        <w:rPr>
          <w:b/>
          <w:bCs/>
          <w:color w:val="auto"/>
          <w:sz w:val="21"/>
          <w:szCs w:val="16"/>
        </w:rPr>
      </w:pPr>
      <w:r>
        <w:rPr>
          <w:rFonts w:hint="eastAsia"/>
          <w:b/>
          <w:bCs/>
          <w:color w:val="auto"/>
          <w:sz w:val="21"/>
          <w:szCs w:val="16"/>
          <w:lang w:eastAsia="zh-CN"/>
        </w:rPr>
        <w:t>表</w:t>
      </w:r>
      <w:r>
        <w:rPr>
          <w:rFonts w:hint="eastAsia"/>
          <w:b/>
          <w:bCs/>
          <w:color w:val="auto"/>
          <w:sz w:val="21"/>
          <w:szCs w:val="16"/>
          <w:lang w:val="en-US" w:eastAsia="zh-CN"/>
        </w:rPr>
        <w:t xml:space="preserve">2.6-1  </w:t>
      </w:r>
      <w:r>
        <w:rPr>
          <w:b/>
          <w:bCs/>
          <w:color w:val="auto"/>
          <w:sz w:val="21"/>
          <w:szCs w:val="16"/>
        </w:rPr>
        <w:t>承德市生态功能区划中相关功能分区</w:t>
      </w:r>
    </w:p>
    <w:tbl>
      <w:tblPr>
        <w:tblStyle w:val="39"/>
        <w:tblW w:w="5004"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28" w:type="dxa"/>
          <w:bottom w:w="0" w:type="dxa"/>
          <w:right w:w="28" w:type="dxa"/>
        </w:tblCellMar>
      </w:tblPr>
      <w:tblGrid>
        <w:gridCol w:w="573"/>
        <w:gridCol w:w="640"/>
        <w:gridCol w:w="639"/>
        <w:gridCol w:w="2276"/>
        <w:gridCol w:w="1270"/>
        <w:gridCol w:w="396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28" w:type="dxa"/>
            <w:bottom w:w="0" w:type="dxa"/>
            <w:right w:w="28" w:type="dxa"/>
          </w:tblCellMar>
        </w:tblPrEx>
        <w:trPr>
          <w:trHeight w:val="747" w:hRule="atLeast"/>
          <w:jc w:val="center"/>
        </w:trPr>
        <w:tc>
          <w:tcPr>
            <w:tcW w:w="574" w:type="dxa"/>
            <w:noWrap w:val="0"/>
            <w:vAlign w:val="center"/>
          </w:tcPr>
          <w:p>
            <w:pPr>
              <w:pStyle w:val="15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生态区</w:t>
            </w:r>
          </w:p>
        </w:tc>
        <w:tc>
          <w:tcPr>
            <w:tcW w:w="640" w:type="dxa"/>
            <w:noWrap w:val="0"/>
            <w:vAlign w:val="center"/>
          </w:tcPr>
          <w:p>
            <w:pPr>
              <w:pStyle w:val="15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生态亚区</w:t>
            </w:r>
          </w:p>
        </w:tc>
        <w:tc>
          <w:tcPr>
            <w:tcW w:w="639" w:type="dxa"/>
            <w:noWrap w:val="0"/>
            <w:vAlign w:val="center"/>
          </w:tcPr>
          <w:p>
            <w:pPr>
              <w:pStyle w:val="15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生态功能区</w:t>
            </w:r>
          </w:p>
        </w:tc>
        <w:tc>
          <w:tcPr>
            <w:tcW w:w="2276" w:type="dxa"/>
            <w:noWrap w:val="0"/>
            <w:vAlign w:val="center"/>
          </w:tcPr>
          <w:p>
            <w:pPr>
              <w:pStyle w:val="15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主要生态环境问题</w:t>
            </w:r>
          </w:p>
        </w:tc>
        <w:tc>
          <w:tcPr>
            <w:tcW w:w="1270" w:type="dxa"/>
            <w:noWrap w:val="0"/>
            <w:vAlign w:val="center"/>
          </w:tcPr>
          <w:p>
            <w:pPr>
              <w:pStyle w:val="15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生态服务</w:t>
            </w:r>
          </w:p>
          <w:p>
            <w:pPr>
              <w:pStyle w:val="15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功能</w:t>
            </w:r>
          </w:p>
        </w:tc>
        <w:tc>
          <w:tcPr>
            <w:tcW w:w="3965" w:type="dxa"/>
            <w:noWrap w:val="0"/>
            <w:vAlign w:val="center"/>
          </w:tcPr>
          <w:p>
            <w:pPr>
              <w:pStyle w:val="15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建设方向及措施</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28" w:type="dxa"/>
            <w:bottom w:w="0" w:type="dxa"/>
            <w:right w:w="28" w:type="dxa"/>
          </w:tblCellMar>
        </w:tblPrEx>
        <w:trPr>
          <w:trHeight w:val="529" w:hRule="atLeast"/>
          <w:jc w:val="center"/>
        </w:trPr>
        <w:tc>
          <w:tcPr>
            <w:tcW w:w="574" w:type="dxa"/>
            <w:noWrap w:val="0"/>
            <w:vAlign w:val="center"/>
          </w:tcPr>
          <w:p>
            <w:pPr>
              <w:pStyle w:val="155"/>
              <w:keepNext w:val="0"/>
              <w:keepLines w:val="0"/>
              <w:suppressLineNumbers w:val="0"/>
              <w:bidi w:val="0"/>
              <w:spacing w:before="0" w:beforeAutospacing="0" w:after="0" w:afterAutospacing="0"/>
              <w:ind w:left="0" w:right="0"/>
              <w:rPr>
                <w:rFonts w:hint="default"/>
                <w:color w:val="auto"/>
                <w:szCs w:val="20"/>
              </w:rPr>
            </w:pPr>
            <w:r>
              <w:rPr>
                <w:rFonts w:hint="default"/>
                <w:color w:val="auto"/>
                <w:szCs w:val="20"/>
              </w:rPr>
              <w:t>冀北及燕山山地生态区</w:t>
            </w:r>
          </w:p>
        </w:tc>
        <w:tc>
          <w:tcPr>
            <w:tcW w:w="640" w:type="dxa"/>
            <w:noWrap w:val="0"/>
            <w:vAlign w:val="center"/>
          </w:tcPr>
          <w:p>
            <w:pPr>
              <w:pStyle w:val="155"/>
              <w:keepNext w:val="0"/>
              <w:keepLines w:val="0"/>
              <w:suppressLineNumbers w:val="0"/>
              <w:bidi w:val="0"/>
              <w:spacing w:before="0" w:beforeAutospacing="0" w:after="0" w:afterAutospacing="0"/>
              <w:ind w:left="0" w:right="0"/>
              <w:rPr>
                <w:rFonts w:hint="default"/>
                <w:color w:val="auto"/>
                <w:szCs w:val="20"/>
              </w:rPr>
            </w:pPr>
            <w:r>
              <w:rPr>
                <w:rFonts w:hint="default"/>
                <w:color w:val="auto"/>
                <w:szCs w:val="20"/>
              </w:rPr>
              <w:t>城市规划发展亚区</w:t>
            </w:r>
          </w:p>
        </w:tc>
        <w:tc>
          <w:tcPr>
            <w:tcW w:w="639" w:type="dxa"/>
            <w:noWrap w:val="0"/>
            <w:vAlign w:val="center"/>
          </w:tcPr>
          <w:p>
            <w:pPr>
              <w:pStyle w:val="155"/>
              <w:keepNext w:val="0"/>
              <w:keepLines w:val="0"/>
              <w:suppressLineNumbers w:val="0"/>
              <w:bidi w:val="0"/>
              <w:spacing w:before="0" w:beforeAutospacing="0" w:after="0" w:afterAutospacing="0"/>
              <w:ind w:left="0" w:right="0"/>
              <w:rPr>
                <w:rFonts w:hint="default"/>
                <w:color w:val="auto"/>
                <w:szCs w:val="20"/>
              </w:rPr>
            </w:pPr>
            <w:r>
              <w:rPr>
                <w:rFonts w:hint="default"/>
                <w:color w:val="auto"/>
                <w:szCs w:val="20"/>
              </w:rPr>
              <w:t>营子矿区矿山环境综合整治区</w:t>
            </w:r>
          </w:p>
        </w:tc>
        <w:tc>
          <w:tcPr>
            <w:tcW w:w="2276" w:type="dxa"/>
            <w:noWrap w:val="0"/>
            <w:vAlign w:val="center"/>
          </w:tcPr>
          <w:p>
            <w:pPr>
              <w:pStyle w:val="155"/>
              <w:keepNext w:val="0"/>
              <w:keepLines w:val="0"/>
              <w:suppressLineNumbers w:val="0"/>
              <w:bidi w:val="0"/>
              <w:spacing w:before="0" w:beforeAutospacing="0" w:after="0" w:afterAutospacing="0"/>
              <w:ind w:left="0" w:right="0"/>
              <w:rPr>
                <w:rFonts w:hint="default"/>
                <w:color w:val="auto"/>
                <w:szCs w:val="20"/>
              </w:rPr>
            </w:pPr>
            <w:r>
              <w:rPr>
                <w:rFonts w:hint="default"/>
                <w:color w:val="auto"/>
                <w:szCs w:val="20"/>
              </w:rPr>
              <w:t>本生态功能区位于本亚区西南部，行政范围包括承德市营子区的寿王坟镇、汪家庄镇、营子镇、北马圈子镇4个乡镇；兴隆县的兴隆镇、李家营乡、平安堡镇、北营房镇4个乡镇，总面积716.82平方千米</w:t>
            </w:r>
          </w:p>
        </w:tc>
        <w:tc>
          <w:tcPr>
            <w:tcW w:w="1270" w:type="dxa"/>
            <w:noWrap w:val="0"/>
            <w:vAlign w:val="center"/>
          </w:tcPr>
          <w:p>
            <w:pPr>
              <w:pStyle w:val="155"/>
              <w:keepNext w:val="0"/>
              <w:keepLines w:val="0"/>
              <w:suppressLineNumbers w:val="0"/>
              <w:bidi w:val="0"/>
              <w:spacing w:before="0" w:beforeAutospacing="0" w:after="0" w:afterAutospacing="0"/>
              <w:ind w:left="0" w:right="0"/>
              <w:rPr>
                <w:rFonts w:hint="default"/>
                <w:color w:val="auto"/>
                <w:szCs w:val="20"/>
              </w:rPr>
            </w:pPr>
            <w:r>
              <w:rPr>
                <w:rFonts w:hint="default"/>
                <w:color w:val="auto"/>
                <w:szCs w:val="20"/>
              </w:rPr>
              <w:t>矿山恢复、水土保持</w:t>
            </w:r>
          </w:p>
        </w:tc>
        <w:tc>
          <w:tcPr>
            <w:tcW w:w="3965" w:type="dxa"/>
            <w:noWrap w:val="0"/>
            <w:vAlign w:val="center"/>
          </w:tcPr>
          <w:p>
            <w:pPr>
              <w:pStyle w:val="155"/>
              <w:keepNext w:val="0"/>
              <w:keepLines w:val="0"/>
              <w:suppressLineNumbers w:val="0"/>
              <w:bidi w:val="0"/>
              <w:spacing w:before="0" w:beforeAutospacing="0" w:after="0" w:afterAutospacing="0"/>
              <w:ind w:left="0" w:right="0"/>
              <w:rPr>
                <w:rFonts w:hint="default"/>
                <w:color w:val="auto"/>
                <w:szCs w:val="20"/>
              </w:rPr>
            </w:pPr>
            <w:r>
              <w:rPr>
                <w:rFonts w:hint="default"/>
                <w:color w:val="auto"/>
                <w:szCs w:val="20"/>
              </w:rPr>
              <w:t>加强对矿产资源的调查、评价、勘查、开采的规划管理，大力调整和优化矿产资源开发利用结构，积极推进规模办矿，集约经营；深化矿业体制改革与创新，大力培育、发展和规范矿业权市场；依靠科技进步与创新，促进采选技术优化升级，加强矿山废弃物综合利用，提高矿产资源开发利用水平。在开发的同时，加强矿山生态环境保护与恢复治理，创建“绿色矿区”，建立健全矿山地质灾害预报和防治系统</w:t>
            </w:r>
          </w:p>
        </w:tc>
      </w:tr>
    </w:tbl>
    <w:p>
      <w:pPr>
        <w:keepNext w:val="0"/>
        <w:keepLines w:val="0"/>
        <w:pageBreakBefore w:val="0"/>
        <w:widowControl w:val="0"/>
        <w:kinsoku/>
        <w:wordWrap/>
        <w:overflowPunct/>
        <w:topLinePunct w:val="0"/>
        <w:autoSpaceDE/>
        <w:autoSpaceDN/>
        <w:bidi w:val="0"/>
        <w:adjustRightInd w:val="0"/>
        <w:snapToGrid w:val="0"/>
        <w:spacing w:before="174" w:beforeLines="50"/>
        <w:textAlignment w:val="auto"/>
        <w:rPr>
          <w:color w:val="auto"/>
        </w:rPr>
      </w:pPr>
      <w:r>
        <w:rPr>
          <w:rFonts w:hint="eastAsia" w:ascii="Times New Roman" w:eastAsia="宋体"/>
          <w:color w:val="auto"/>
        </w:rPr>
        <w:t>本项目建设致力于柳河三块石国考断面的生态</w:t>
      </w:r>
      <w:r>
        <w:rPr>
          <w:rFonts w:hint="eastAsia"/>
          <w:color w:val="auto"/>
          <w:lang w:eastAsia="zh-CN"/>
        </w:rPr>
        <w:t>设施建设</w:t>
      </w:r>
      <w:r>
        <w:rPr>
          <w:rFonts w:hint="eastAsia" w:ascii="Times New Roman" w:eastAsia="宋体"/>
          <w:color w:val="auto"/>
        </w:rPr>
        <w:t>，有利于生态恢复和水源涵养，有利于加强水土保持效果。因此，项目的建设符合规划要求。</w:t>
      </w:r>
    </w:p>
    <w:p>
      <w:pPr>
        <w:pStyle w:val="7"/>
        <w:bidi w:val="0"/>
        <w:rPr>
          <w:color w:val="auto"/>
        </w:rPr>
      </w:pPr>
      <w:r>
        <w:rPr>
          <w:color w:val="auto"/>
        </w:rPr>
        <w:t>2.6.1.</w:t>
      </w:r>
      <w:r>
        <w:rPr>
          <w:rFonts w:hint="eastAsia"/>
          <w:color w:val="auto"/>
          <w:lang w:val="en-US" w:eastAsia="zh-CN"/>
        </w:rPr>
        <w:t>3</w:t>
      </w:r>
      <w:r>
        <w:rPr>
          <w:rFonts w:hint="eastAsia"/>
          <w:color w:val="auto"/>
        </w:rPr>
        <w:t xml:space="preserve"> </w:t>
      </w:r>
      <w:r>
        <w:rPr>
          <w:color w:val="auto"/>
        </w:rPr>
        <w:t>《</w:t>
      </w:r>
      <w:r>
        <w:rPr>
          <w:rFonts w:hint="eastAsia"/>
          <w:color w:val="auto"/>
        </w:rPr>
        <w:t>兴隆县城乡总体规划（2013-2030）</w:t>
      </w:r>
      <w:r>
        <w:rPr>
          <w:color w:val="auto"/>
        </w:rPr>
        <w:t>》</w:t>
      </w:r>
    </w:p>
    <w:p>
      <w:pPr>
        <w:bidi w:val="0"/>
        <w:rPr>
          <w:rFonts w:hint="eastAsia"/>
          <w:color w:val="auto"/>
          <w:lang w:eastAsia="zh-CN"/>
        </w:rPr>
      </w:pPr>
      <w:r>
        <w:rPr>
          <w:rFonts w:hint="eastAsia"/>
          <w:color w:val="auto"/>
          <w:lang w:eastAsia="zh-CN"/>
        </w:rPr>
        <w:t>根据</w:t>
      </w:r>
      <w:r>
        <w:rPr>
          <w:color w:val="auto"/>
        </w:rPr>
        <w:t>《</w:t>
      </w:r>
      <w:r>
        <w:rPr>
          <w:rFonts w:hint="eastAsia"/>
          <w:color w:val="auto"/>
        </w:rPr>
        <w:t>兴隆县城乡总体规划（2013-2030）</w:t>
      </w:r>
      <w:r>
        <w:rPr>
          <w:color w:val="auto"/>
        </w:rPr>
        <w:t>》</w:t>
      </w:r>
      <w:r>
        <w:rPr>
          <w:rFonts w:hint="eastAsia"/>
          <w:color w:val="auto"/>
          <w:lang w:eastAsia="zh-CN"/>
        </w:rPr>
        <w:t>，</w:t>
      </w:r>
      <w:r>
        <w:rPr>
          <w:rFonts w:hint="eastAsia"/>
          <w:color w:val="auto"/>
        </w:rPr>
        <w:t>第38条，</w:t>
      </w:r>
      <w:r>
        <w:rPr>
          <w:rFonts w:hint="eastAsia"/>
          <w:color w:val="auto"/>
          <w:lang w:eastAsia="zh-CN"/>
        </w:rPr>
        <w:t>“</w:t>
      </w:r>
      <w:r>
        <w:rPr>
          <w:rFonts w:hint="eastAsia"/>
          <w:color w:val="auto"/>
        </w:rPr>
        <w:t>生态功能区划根据自然环境特征、区域主导生态功能，并参照主要生态系统类型和生态服务功能类型等，并全县划分为中部生态城镇建设功能区、西北部生态旅游保护功能区、东北部生态农业保育功能区、南部矿山生态恢复与农业综合治理区 4 个生态功能区。其中东北部生态农业保育功能区主导功能是基本农田保护，生态农业示范，开发水源，加强水利建设。</w:t>
      </w:r>
      <w:r>
        <w:rPr>
          <w:rFonts w:hint="eastAsia"/>
          <w:color w:val="auto"/>
          <w:lang w:eastAsia="zh-CN"/>
        </w:rPr>
        <w:t>”</w:t>
      </w:r>
    </w:p>
    <w:p>
      <w:pPr>
        <w:rPr>
          <w:rFonts w:hint="eastAsia"/>
          <w:color w:val="auto"/>
        </w:rPr>
      </w:pPr>
      <w:r>
        <w:rPr>
          <w:rFonts w:hint="eastAsia"/>
          <w:color w:val="auto"/>
          <w:lang w:eastAsia="zh-CN"/>
        </w:rPr>
        <w:t>本</w:t>
      </w:r>
      <w:r>
        <w:rPr>
          <w:rFonts w:hint="eastAsia"/>
          <w:color w:val="auto"/>
        </w:rPr>
        <w:t>项目属于水利建设项目</w:t>
      </w:r>
      <w:r>
        <w:rPr>
          <w:rFonts w:hint="eastAsia"/>
          <w:color w:val="auto"/>
          <w:lang w:eastAsia="zh-CN"/>
        </w:rPr>
        <w:t>，</w:t>
      </w:r>
      <w:r>
        <w:rPr>
          <w:rFonts w:hint="eastAsia"/>
          <w:color w:val="auto"/>
        </w:rPr>
        <w:t>有利于促进区域水源涵养、维护区域生物多样性，有利于区域的土壤保持、生态恢复，在一定程度上可对区域的水生生态功能的保护和改善起到正面的积极作用</w:t>
      </w:r>
      <w:r>
        <w:rPr>
          <w:rFonts w:hint="eastAsia"/>
          <w:color w:val="auto"/>
          <w:lang w:eastAsia="zh-CN"/>
        </w:rPr>
        <w:t>。</w:t>
      </w:r>
      <w:r>
        <w:rPr>
          <w:color w:val="auto"/>
        </w:rPr>
        <w:t>项目</w:t>
      </w:r>
      <w:r>
        <w:rPr>
          <w:rFonts w:hint="eastAsia"/>
          <w:color w:val="auto"/>
        </w:rPr>
        <w:t>符合《兴隆县城乡总体规划（2013-2030）》中的相关要求。</w:t>
      </w:r>
    </w:p>
    <w:p>
      <w:pPr>
        <w:pStyle w:val="7"/>
        <w:bidi w:val="0"/>
      </w:pPr>
      <w:r>
        <w:t>2.6.1.</w:t>
      </w:r>
      <w:r>
        <w:rPr>
          <w:rFonts w:hint="eastAsia"/>
          <w:lang w:val="en-US" w:eastAsia="zh-CN"/>
        </w:rPr>
        <w:t>4</w:t>
      </w:r>
      <w:r>
        <w:rPr>
          <w:rFonts w:hint="eastAsia"/>
        </w:rPr>
        <w:t xml:space="preserve"> </w:t>
      </w:r>
      <w:r>
        <w:t>《承德市滦河流域生态环境保护规划（2019-2025年）》</w:t>
      </w:r>
    </w:p>
    <w:p>
      <w:pPr>
        <w:autoSpaceDE w:val="0"/>
        <w:autoSpaceDN w:val="0"/>
        <w:adjustRightInd w:val="0"/>
        <w:ind w:firstLine="540"/>
        <w:rPr>
          <w:szCs w:val="24"/>
        </w:rPr>
      </w:pPr>
      <w:r>
        <w:rPr>
          <w:szCs w:val="24"/>
        </w:rPr>
        <w:t>根据《承德市滦河流域生态环境保护规划（2019-2025年）》中的主要任务——水生态保护任务：“强化滦河流域水生态修复综合治理。加强沿河土壤侵蚀防治、坍塌河岸整治、区域水土流失防治，提高植被覆盖度，加大治理沟壑和骨干河道力度。重点加强滦河干流郭家屯镇段、丰宁抽水蓄能电站段河段、永利村至东缸房村段、下猪店至黄营子段、双滦区河段等生态治理，建设自然护岸，清理河道垃圾，平整清淤河道。推进小滦河、伊逊河、武烈河、柳河、瀑河等重点支流生态修复。到2025年，完成水环境综合治理河流总长度约达到230公里。”</w:t>
      </w:r>
    </w:p>
    <w:p>
      <w:pPr>
        <w:autoSpaceDE w:val="0"/>
        <w:autoSpaceDN w:val="0"/>
        <w:adjustRightInd w:val="0"/>
        <w:ind w:firstLine="540"/>
        <w:rPr>
          <w:rFonts w:hint="eastAsia" w:ascii="Times New Roman" w:eastAsia="宋体"/>
        </w:rPr>
      </w:pPr>
      <w:r>
        <w:rPr>
          <w:szCs w:val="24"/>
        </w:rPr>
        <w:t>本项目为</w:t>
      </w:r>
      <w:r>
        <w:rPr>
          <w:rFonts w:hint="eastAsia"/>
          <w:szCs w:val="24"/>
        </w:rPr>
        <w:t>河道生态设施建设类项目</w:t>
      </w:r>
      <w:r>
        <w:rPr>
          <w:szCs w:val="24"/>
        </w:rPr>
        <w:t>，</w:t>
      </w:r>
      <w:r>
        <w:rPr>
          <w:rFonts w:hint="eastAsia"/>
          <w:szCs w:val="24"/>
        </w:rPr>
        <w:t>项目</w:t>
      </w:r>
      <w:r>
        <w:rPr>
          <w:rFonts w:hint="eastAsia" w:ascii="Times New Roman" w:eastAsia="宋体"/>
        </w:rPr>
        <w:t>建设致力于柳河</w:t>
      </w:r>
      <w:r>
        <w:rPr>
          <w:rFonts w:hint="eastAsia"/>
          <w:lang w:eastAsia="zh-CN"/>
        </w:rPr>
        <w:t>三块石国考断面</w:t>
      </w:r>
      <w:r>
        <w:rPr>
          <w:rFonts w:hint="eastAsia" w:ascii="Times New Roman" w:eastAsia="宋体"/>
        </w:rPr>
        <w:t>的生态</w:t>
      </w:r>
      <w:r>
        <w:rPr>
          <w:rFonts w:hint="eastAsia"/>
          <w:lang w:eastAsia="zh-CN"/>
        </w:rPr>
        <w:t>设施建设</w:t>
      </w:r>
      <w:r>
        <w:rPr>
          <w:rFonts w:hint="eastAsia"/>
          <w:szCs w:val="24"/>
        </w:rPr>
        <w:t>，</w:t>
      </w:r>
      <w:r>
        <w:rPr>
          <w:szCs w:val="24"/>
        </w:rPr>
        <w:t>工程</w:t>
      </w:r>
      <w:r>
        <w:rPr>
          <w:rFonts w:hint="eastAsia"/>
          <w:szCs w:val="24"/>
        </w:rPr>
        <w:t>建设</w:t>
      </w:r>
      <w:r>
        <w:rPr>
          <w:szCs w:val="24"/>
        </w:rPr>
        <w:t>内容与《承德市滦河流域生态环境保护规划（2019-2025年）》中水生态保护任务一致。因此，项目建设符合该规划要求。</w:t>
      </w:r>
    </w:p>
    <w:p>
      <w:pPr>
        <w:pStyle w:val="7"/>
        <w:bidi w:val="0"/>
      </w:pPr>
      <w:r>
        <w:rPr>
          <w:rFonts w:hint="eastAsia"/>
          <w:lang w:val="en-US" w:eastAsia="zh-CN"/>
        </w:rPr>
        <w:t>2.6.1.5</w:t>
      </w:r>
      <w:r>
        <w:t>《承德市重点水源涵养生态功能保护区规划》</w:t>
      </w:r>
    </w:p>
    <w:p>
      <w:pPr>
        <w:ind w:firstLine="540"/>
        <w:rPr>
          <w:rFonts w:hint="eastAsia"/>
          <w:color w:val="auto"/>
          <w:highlight w:val="none"/>
          <w:lang w:eastAsia="zh-CN"/>
        </w:rPr>
      </w:pPr>
      <w:r>
        <w:t>根据《承德市重点水源涵养生态功能保护区规划》（2010年4月）（承德市环境保护局），承德市重点水源涵养生态功能保护区在承德市的八县二区均有分布，涉及滦平县、隆化县、丰宁县、围场县、兴隆县、平泉县、平泉市、承德县、双桥区、双滦区，包涵61个乡镇，保护区总面积8015.92km</w:t>
      </w:r>
      <w:r>
        <w:rPr>
          <w:vertAlign w:val="superscript"/>
        </w:rPr>
        <w:t>2</w:t>
      </w:r>
      <w:r>
        <w:t>。</w:t>
      </w:r>
      <w:r>
        <w:rPr>
          <w:rFonts w:hint="eastAsia"/>
        </w:rPr>
        <w:t>兴隆县</w:t>
      </w:r>
      <w:r>
        <w:rPr>
          <w:rFonts w:hint="eastAsia"/>
          <w:color w:val="000000"/>
        </w:rPr>
        <w:t>重点水源涵养生态功能保护区为大杖子乡和蘑菇峪乡，</w:t>
      </w:r>
      <w:r>
        <w:rPr>
          <w:rFonts w:hint="eastAsia"/>
          <w:color w:val="000000"/>
          <w:lang w:eastAsia="zh-CN"/>
        </w:rPr>
        <w:t>李家营乡</w:t>
      </w:r>
      <w:r>
        <w:rPr>
          <w:rFonts w:hint="eastAsia"/>
          <w:color w:val="000000"/>
        </w:rPr>
        <w:t>不属于重点水源涵养生态生态功能区。同时，本项目建设有利于柳河三块石国考断面的生态</w:t>
      </w:r>
      <w:r>
        <w:rPr>
          <w:rFonts w:hint="eastAsia"/>
          <w:color w:val="000000"/>
          <w:lang w:eastAsia="zh-CN"/>
        </w:rPr>
        <w:t>环境</w:t>
      </w:r>
      <w:r>
        <w:rPr>
          <w:rFonts w:hint="eastAsia"/>
          <w:color w:val="000000"/>
        </w:rPr>
        <w:t>，有利于强化水源涵养功能，因此，本项目建设符合该规划</w:t>
      </w:r>
      <w:r>
        <w:rPr>
          <w:rFonts w:hint="eastAsia"/>
          <w:color w:val="auto"/>
          <w:highlight w:val="none"/>
        </w:rPr>
        <w:t>要求。</w:t>
      </w:r>
    </w:p>
    <w:p>
      <w:pPr>
        <w:pStyle w:val="7"/>
        <w:bidi w:val="0"/>
        <w:rPr>
          <w:color w:val="auto"/>
          <w:highlight w:val="none"/>
        </w:rPr>
      </w:pPr>
      <w:r>
        <w:rPr>
          <w:rFonts w:hint="eastAsia"/>
          <w:color w:val="auto"/>
          <w:highlight w:val="none"/>
          <w:lang w:val="en-US" w:eastAsia="zh-CN"/>
        </w:rPr>
        <w:t>2.6.1.6</w:t>
      </w:r>
      <w:r>
        <w:rPr>
          <w:rFonts w:hint="eastAsia"/>
          <w:color w:val="auto"/>
          <w:highlight w:val="none"/>
        </w:rPr>
        <w:t>《河北省建设京津冀生态环境支撑区”十四五”规划》</w:t>
      </w:r>
    </w:p>
    <w:p>
      <w:pPr>
        <w:rPr>
          <w:color w:val="auto"/>
          <w:highlight w:val="none"/>
        </w:rPr>
      </w:pPr>
      <w:r>
        <w:rPr>
          <w:rFonts w:hint="eastAsia"/>
          <w:color w:val="auto"/>
          <w:highlight w:val="none"/>
        </w:rPr>
        <w:t>根据《河北省建设京津冀生态环境支撑区”十四五”规划》：高标准推动承德可持续发展。其中包括：</w:t>
      </w:r>
    </w:p>
    <w:p>
      <w:pPr>
        <w:rPr>
          <w:color w:val="auto"/>
          <w:highlight w:val="none"/>
        </w:rPr>
      </w:pPr>
      <w:r>
        <w:rPr>
          <w:rFonts w:hint="eastAsia"/>
          <w:color w:val="auto"/>
          <w:highlight w:val="none"/>
        </w:rPr>
        <w:t>持续推进国家可持续发展议程创新示范区建设。大力弘扬塞罕坝精神，突出“城市群水源涵养功能区可持续发展”主题，开展水源涵养能力提升、绿色产业培育、精准扶贫脱贫、创新能力提升四大行动，实施流域水生态改善、文化旅游产业培育等重大工程，加快建设承德京津冀水源涵养功能区、国家绿色发展先行区、环京津宜居宜业典范区、著名国际旅游城市，打造绿水青山就是金山银山成功范例，提供可复制、可推广的“承德模式”。</w:t>
      </w:r>
    </w:p>
    <w:p>
      <w:pPr>
        <w:rPr>
          <w:color w:val="auto"/>
          <w:highlight w:val="none"/>
        </w:rPr>
      </w:pPr>
      <w:r>
        <w:rPr>
          <w:rFonts w:hint="eastAsia"/>
          <w:color w:val="auto"/>
          <w:highlight w:val="none"/>
        </w:rPr>
        <w:t>项目以改善</w:t>
      </w:r>
      <w:r>
        <w:rPr>
          <w:rFonts w:hint="eastAsia"/>
          <w:color w:val="auto"/>
          <w:highlight w:val="none"/>
          <w:lang w:eastAsia="zh-CN"/>
        </w:rPr>
        <w:t>柳河</w:t>
      </w:r>
      <w:r>
        <w:rPr>
          <w:rFonts w:hint="eastAsia"/>
          <w:color w:val="auto"/>
          <w:highlight w:val="none"/>
        </w:rPr>
        <w:t>生态环境为出发点，实施</w:t>
      </w:r>
      <w:r>
        <w:rPr>
          <w:rFonts w:hint="eastAsia"/>
          <w:color w:val="auto"/>
          <w:highlight w:val="none"/>
          <w:lang w:eastAsia="zh-CN"/>
        </w:rPr>
        <w:t>河道</w:t>
      </w:r>
      <w:r>
        <w:rPr>
          <w:rFonts w:hint="eastAsia"/>
          <w:color w:val="auto"/>
          <w:highlight w:val="none"/>
        </w:rPr>
        <w:t>生态保护修复</w:t>
      </w:r>
      <w:r>
        <w:rPr>
          <w:rFonts w:hint="eastAsia"/>
          <w:color w:val="auto"/>
          <w:highlight w:val="none"/>
          <w:lang w:eastAsia="zh-CN"/>
        </w:rPr>
        <w:t>工程</w:t>
      </w:r>
      <w:r>
        <w:rPr>
          <w:rFonts w:hint="eastAsia"/>
          <w:color w:val="auto"/>
          <w:highlight w:val="none"/>
        </w:rPr>
        <w:t>，项目运行阶段，可减缓河流现存环境问题带来的水体受损等不利影响，有利于促进区域水源涵养、维护区域生物多样性，有利于促进稳定区域</w:t>
      </w:r>
      <w:r>
        <w:rPr>
          <w:rFonts w:hint="eastAsia"/>
          <w:color w:val="auto"/>
          <w:highlight w:val="none"/>
          <w:lang w:eastAsia="zh-CN"/>
        </w:rPr>
        <w:t>柳河</w:t>
      </w:r>
      <w:r>
        <w:rPr>
          <w:rFonts w:hint="eastAsia"/>
          <w:color w:val="auto"/>
          <w:highlight w:val="none"/>
        </w:rPr>
        <w:t>水生态系统，在一定程度上可对区域的水生生态功能的保护和改善起到正面的积极作用，在一定程度上符合该规划的相关要求。</w:t>
      </w:r>
    </w:p>
    <w:p>
      <w:pPr>
        <w:rPr>
          <w:color w:val="auto"/>
          <w:highlight w:val="none"/>
        </w:rPr>
      </w:pPr>
      <w:r>
        <w:rPr>
          <w:rFonts w:hint="eastAsia"/>
          <w:color w:val="auto"/>
          <w:highlight w:val="none"/>
        </w:rPr>
        <w:t>综上，</w:t>
      </w:r>
      <w:r>
        <w:rPr>
          <w:color w:val="auto"/>
          <w:highlight w:val="none"/>
        </w:rPr>
        <w:t>项目</w:t>
      </w:r>
      <w:r>
        <w:rPr>
          <w:rFonts w:hint="eastAsia"/>
          <w:color w:val="auto"/>
          <w:highlight w:val="none"/>
        </w:rPr>
        <w:t>符合《河北省建设京津冀生态环境支撑区”十四五”规划》中的相关要求。</w:t>
      </w:r>
    </w:p>
    <w:p>
      <w:pPr>
        <w:pStyle w:val="7"/>
        <w:bidi w:val="0"/>
      </w:pPr>
      <w:r>
        <w:rPr>
          <w:rFonts w:hint="eastAsia"/>
          <w:lang w:val="en-US" w:eastAsia="zh-CN"/>
        </w:rPr>
        <w:t>2.6.1.7</w:t>
      </w:r>
      <w:r>
        <w:rPr>
          <w:rFonts w:hint="eastAsia"/>
        </w:rPr>
        <w:t>《河北省生态环境保护“十四五”规划》</w:t>
      </w:r>
    </w:p>
    <w:p>
      <w:r>
        <w:rPr>
          <w:rFonts w:hint="eastAsia"/>
        </w:rPr>
        <w:t>根据《河北省生态环境保护”十四五”规划》：“三水”统筹，打造良好水生态环境，</w:t>
      </w:r>
      <w:r>
        <w:rPr>
          <w:rFonts w:hint="eastAsia"/>
          <w:lang w:eastAsia="zh-CN"/>
        </w:rPr>
        <w:t>“</w:t>
      </w:r>
      <w:r>
        <w:rPr>
          <w:rFonts w:hint="eastAsia"/>
        </w:rPr>
        <w:t>（三）加强重要河湖湿地保护。加强重要湖泊湿地生态保护修复。深化衡水湖生态保护，建立水体治理和生态补水长效机制；加强潘大水库上游滦河流域综合整治，实施水资源节约利用与配置、水土环境污染治理、河湖生态保护与修复等重点工程。到2025年，衡水湖主要水域水质稳定保持地表水Ⅲ类标准，潘大水库水质稳定保持地表水Ⅲ类及以上标准。加强重要湿地保护与修复，加快退化湿地恢复，强化湿地保护区和湿地公园建设，建立湿地自然保护区应急预警系统；（五）积极推动水生态修复。推进水生态保护修复。在重要河流干流、支流和重点湖库周边划定生态缓冲带，强化岸线用途管制。严控、整治不符合水源涵养区、水域岸线、河湖缓冲带等保护要求的人类活动。以重要河湖湿地、沿海自然湿地和张家口、承德为重点，加快推进水生态保护和修复。开展重点流域水生态专项调查和生态系统健康评估。</w:t>
      </w:r>
      <w:r>
        <w:rPr>
          <w:rFonts w:hint="eastAsia"/>
          <w:lang w:eastAsia="zh-CN"/>
        </w:rPr>
        <w:t>”</w:t>
      </w:r>
    </w:p>
    <w:p>
      <w:pPr>
        <w:rPr>
          <w:rFonts w:hint="eastAsia"/>
        </w:rPr>
      </w:pPr>
      <w:r>
        <w:rPr>
          <w:rFonts w:hint="eastAsia"/>
          <w:color w:val="000000" w:themeColor="text1"/>
          <w:lang w:eastAsia="zh-CN"/>
          <w14:textFill>
            <w14:solidFill>
              <w14:schemeClr w14:val="tx1"/>
            </w14:solidFill>
          </w14:textFill>
        </w:rPr>
        <w:t>本</w:t>
      </w:r>
      <w:r>
        <w:rPr>
          <w:rFonts w:hint="eastAsia"/>
          <w:color w:val="000000" w:themeColor="text1"/>
          <w14:textFill>
            <w14:solidFill>
              <w14:schemeClr w14:val="tx1"/>
            </w14:solidFill>
          </w14:textFill>
        </w:rPr>
        <w:t>项目</w:t>
      </w:r>
      <w:r>
        <w:rPr>
          <w:rFonts w:hint="eastAsia"/>
          <w:color w:val="000000"/>
        </w:rPr>
        <w:t>属于水利建设项目</w:t>
      </w:r>
      <w:r>
        <w:rPr>
          <w:rFonts w:hint="eastAsia"/>
          <w:color w:val="000000"/>
          <w:lang w:eastAsia="zh-CN"/>
        </w:rPr>
        <w:t>，</w:t>
      </w:r>
      <w:r>
        <w:rPr>
          <w:rFonts w:hint="eastAsia"/>
          <w:color w:val="000000"/>
        </w:rPr>
        <w:t>有利于促进区域水源涵养、维护区域生物多样性，有利于区域的土壤保持、生态恢复，</w:t>
      </w:r>
      <w:r>
        <w:rPr>
          <w:rFonts w:hint="eastAsia"/>
          <w:color w:val="000000" w:themeColor="text1"/>
          <w14:textFill>
            <w14:solidFill>
              <w14:schemeClr w14:val="tx1"/>
            </w14:solidFill>
          </w14:textFill>
        </w:rPr>
        <w:t>在一定程度上可对区域的水生生态功能的保护和改善起到正面的积极作用</w:t>
      </w:r>
      <w:r>
        <w:rPr>
          <w:rFonts w:hint="eastAsia"/>
          <w:color w:val="000000" w:themeColor="text1"/>
          <w:lang w:eastAsia="zh-CN"/>
          <w14:textFill>
            <w14:solidFill>
              <w14:schemeClr w14:val="tx1"/>
            </w14:solidFill>
          </w14:textFill>
        </w:rPr>
        <w:t>。</w:t>
      </w:r>
      <w:r>
        <w:rPr>
          <w:rFonts w:hint="eastAsia"/>
        </w:rPr>
        <w:t>综上，</w:t>
      </w:r>
      <w:r>
        <w:t>项目</w:t>
      </w:r>
      <w:r>
        <w:rPr>
          <w:rFonts w:hint="eastAsia"/>
        </w:rPr>
        <w:t>符合《河北省生态环境保护”十四五”规划》中的相关要求。</w:t>
      </w:r>
    </w:p>
    <w:p>
      <w:pPr>
        <w:pStyle w:val="7"/>
        <w:bidi w:val="0"/>
      </w:pPr>
      <w:r>
        <w:rPr>
          <w:rFonts w:hint="eastAsia"/>
          <w:lang w:val="en-US" w:eastAsia="zh-CN"/>
        </w:rPr>
        <w:t>2.6.1.8</w:t>
      </w:r>
      <w:r>
        <w:t>《河北省水功能区划》</w:t>
      </w:r>
    </w:p>
    <w:p>
      <w:pPr>
        <w:ind w:firstLine="540"/>
        <w:rPr>
          <w:color w:val="000000"/>
          <w:szCs w:val="24"/>
        </w:rPr>
      </w:pPr>
      <w:r>
        <w:rPr>
          <w:color w:val="000000"/>
          <w:szCs w:val="24"/>
        </w:rPr>
        <w:t>根据“关于调整公布《河北省水功能区划》的通知（冀水资）[2017]127号”</w:t>
      </w:r>
      <w:r>
        <w:rPr>
          <w:rFonts w:hint="eastAsia"/>
          <w:color w:val="000000"/>
          <w:szCs w:val="24"/>
        </w:rPr>
        <w:t>，柳河</w:t>
      </w:r>
      <w:r>
        <w:rPr>
          <w:rFonts w:hint="eastAsia"/>
          <w:color w:val="000000"/>
          <w:szCs w:val="24"/>
          <w:lang w:eastAsia="zh-CN"/>
        </w:rPr>
        <w:t>三块石河段</w:t>
      </w:r>
      <w:r>
        <w:rPr>
          <w:rFonts w:hint="eastAsia"/>
          <w:color w:val="000000"/>
          <w:szCs w:val="24"/>
        </w:rPr>
        <w:t>属于“滦河及冀东沿海诸河水系——滦河及冀东沿海（水资源二级</w:t>
      </w:r>
      <w:r>
        <w:rPr>
          <w:color w:val="000000"/>
          <w:szCs w:val="24"/>
        </w:rPr>
        <w:t>区）——滦河山区（水资源山区）——柳河（河流、湖库）”中的“柳河承德开发利用区”</w:t>
      </w:r>
      <w:r>
        <w:rPr>
          <w:rFonts w:hint="eastAsia"/>
          <w:color w:val="000000"/>
          <w:szCs w:val="24"/>
        </w:rPr>
        <w:t>。</w:t>
      </w:r>
    </w:p>
    <w:p>
      <w:pPr>
        <w:ind w:firstLine="540"/>
        <w:rPr>
          <w:rFonts w:hint="eastAsia" w:ascii="Times New Roman" w:hAnsi="Times New Roman" w:eastAsia="宋体" w:cs="Times New Roman"/>
          <w:color w:val="auto"/>
          <w:lang w:eastAsia="zh-CN"/>
        </w:rPr>
      </w:pPr>
      <w:r>
        <w:rPr>
          <w:color w:val="000000"/>
          <w:szCs w:val="24"/>
        </w:rPr>
        <w:t>“开发利用区”是为满足工农业生产、城镇生活、渔业、景观娱乐和控制排污等需求划定的水域。开发利用区应当坚持开发与保护并重，充分发挥水资源的综合效益，保障水资源可持续利用。本项目的建设有利于改善柳河区段内水质，可更好的满足工农业生产和城镇生活取水需要，水质生态修复工程的开展，符合“开发与保护并重”的水功能要求。</w:t>
      </w:r>
    </w:p>
    <w:p>
      <w:pPr>
        <w:pStyle w:val="6"/>
      </w:pPr>
      <w:bookmarkStart w:id="199" w:name="_Toc3242"/>
      <w:bookmarkStart w:id="200" w:name="_Toc470785826"/>
      <w:r>
        <w:t>2.6.2 环境功能区划</w:t>
      </w:r>
      <w:bookmarkEnd w:id="199"/>
      <w:bookmarkEnd w:id="200"/>
    </w:p>
    <w:p>
      <w:pPr>
        <w:pStyle w:val="58"/>
        <w:rPr>
          <w:color w:val="auto"/>
        </w:rPr>
      </w:pPr>
      <w:r>
        <w:rPr>
          <w:color w:val="auto"/>
        </w:rPr>
        <w:t>2.6.2.1 大气环境功能区划</w:t>
      </w:r>
    </w:p>
    <w:p>
      <w:pPr>
        <w:ind w:firstLine="480"/>
        <w:rPr>
          <w:color w:val="auto"/>
        </w:rPr>
      </w:pPr>
      <w:r>
        <w:rPr>
          <w:rFonts w:hint="eastAsia"/>
          <w:color w:val="auto"/>
          <w:lang w:eastAsia="zh-CN"/>
        </w:rPr>
        <w:t>项目选址位于兴隆县李家营乡，</w:t>
      </w:r>
      <w:r>
        <w:rPr>
          <w:rFonts w:hint="eastAsia"/>
          <w:color w:val="auto"/>
        </w:rPr>
        <w:t>该区域尚未进行环境空气功能区划分。</w:t>
      </w:r>
    </w:p>
    <w:p>
      <w:pPr>
        <w:pStyle w:val="58"/>
        <w:rPr>
          <w:color w:val="auto"/>
        </w:rPr>
      </w:pPr>
      <w:r>
        <w:rPr>
          <w:color w:val="auto"/>
        </w:rPr>
        <w:t>2.6.2.2 声环境功能区划</w:t>
      </w:r>
    </w:p>
    <w:p>
      <w:pPr>
        <w:bidi w:val="0"/>
        <w:rPr>
          <w:rFonts w:hint="eastAsia"/>
          <w:color w:val="auto"/>
        </w:rPr>
      </w:pPr>
      <w:r>
        <w:rPr>
          <w:rFonts w:hint="eastAsia"/>
          <w:color w:val="auto"/>
        </w:rPr>
        <w:t>建设项目所在区域为农村地区，区域没有进行声环境功能区划。</w:t>
      </w:r>
    </w:p>
    <w:p>
      <w:pPr>
        <w:pStyle w:val="7"/>
        <w:bidi w:val="0"/>
        <w:rPr>
          <w:color w:val="auto"/>
        </w:rPr>
      </w:pPr>
      <w:r>
        <w:rPr>
          <w:color w:val="auto"/>
        </w:rPr>
        <w:t>2.6.2.3 水环境功能区划</w:t>
      </w:r>
    </w:p>
    <w:p>
      <w:pPr>
        <w:bidi w:val="0"/>
        <w:rPr>
          <w:rFonts w:hint="eastAsia"/>
          <w:color w:val="auto"/>
        </w:rPr>
      </w:pPr>
      <w:bookmarkStart w:id="201" w:name="_Toc470785827"/>
      <w:r>
        <w:rPr>
          <w:rFonts w:hint="eastAsia"/>
          <w:color w:val="auto"/>
        </w:rPr>
        <w:t>项目区域内主要河流为柳河，按照河北省水利厅与河北省环境保护厅联合下发的关于调整公布《河北省水功能区划》的通知，柳河</w:t>
      </w:r>
      <w:r>
        <w:rPr>
          <w:rFonts w:hint="eastAsia"/>
          <w:color w:val="auto"/>
          <w:lang w:val="en-US" w:eastAsia="zh-CN"/>
        </w:rPr>
        <w:t>三块石断面区域</w:t>
      </w:r>
      <w:r>
        <w:rPr>
          <w:rFonts w:hint="eastAsia"/>
          <w:color w:val="auto"/>
        </w:rPr>
        <w:t>属于“滦河及冀东沿海诸河水系——滦河及冀东沿海（水资源二级区）——滦河山区（水资源山区）——柳河（河流、湖库）”中的“柳河承德开发利用区”，水质目标为地表水III类。</w:t>
      </w:r>
    </w:p>
    <w:p>
      <w:pPr>
        <w:pStyle w:val="5"/>
        <w:bidi w:val="0"/>
        <w:rPr>
          <w:color w:val="auto"/>
        </w:rPr>
      </w:pPr>
      <w:bookmarkStart w:id="202" w:name="_Toc21903"/>
      <w:r>
        <w:rPr>
          <w:color w:val="auto"/>
        </w:rPr>
        <w:t>2.7环境保护目标的确定</w:t>
      </w:r>
      <w:bookmarkEnd w:id="201"/>
      <w:bookmarkEnd w:id="202"/>
    </w:p>
    <w:p>
      <w:pPr>
        <w:ind w:firstLine="480"/>
      </w:pPr>
      <w:r>
        <w:t>依据环境影响因素识别结果、项目工程特点及周围环境特征，确定本工程主要环境保护目标，见表2</w:t>
      </w:r>
      <w:r>
        <w:rPr>
          <w:rFonts w:hint="eastAsia"/>
        </w:rPr>
        <w:t>.7</w:t>
      </w:r>
      <w:r>
        <w:t>-</w:t>
      </w:r>
      <w:r>
        <w:rPr>
          <w:rFonts w:hint="eastAsia"/>
        </w:rPr>
        <w:t>1</w:t>
      </w:r>
      <w:r>
        <w:t>。</w:t>
      </w:r>
    </w:p>
    <w:p>
      <w:pPr>
        <w:ind w:firstLine="0" w:firstLineChars="0"/>
        <w:jc w:val="center"/>
        <w:rPr>
          <w:rStyle w:val="46"/>
        </w:rPr>
      </w:pPr>
      <w:r>
        <w:rPr>
          <w:rStyle w:val="46"/>
        </w:rPr>
        <w:t>表2</w:t>
      </w:r>
      <w:r>
        <w:rPr>
          <w:rStyle w:val="46"/>
          <w:rFonts w:hint="eastAsia"/>
        </w:rPr>
        <w:t>.7</w:t>
      </w:r>
      <w:r>
        <w:rPr>
          <w:rStyle w:val="46"/>
        </w:rPr>
        <w:t>-</w:t>
      </w:r>
      <w:r>
        <w:rPr>
          <w:rStyle w:val="46"/>
          <w:rFonts w:hint="eastAsia"/>
        </w:rPr>
        <w:t>1</w:t>
      </w:r>
      <w:r>
        <w:rPr>
          <w:rStyle w:val="46"/>
        </w:rPr>
        <w:t xml:space="preserve">  </w:t>
      </w:r>
      <w:r>
        <w:rPr>
          <w:rStyle w:val="46"/>
          <w:rFonts w:hint="eastAsia"/>
          <w:bCs/>
        </w:rPr>
        <w:t>环境空气</w:t>
      </w:r>
      <w:r>
        <w:rPr>
          <w:rStyle w:val="46"/>
        </w:rPr>
        <w:t>保护目标一览表</w:t>
      </w:r>
    </w:p>
    <w:tbl>
      <w:tblPr>
        <w:tblStyle w:val="39"/>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408"/>
        <w:gridCol w:w="1292"/>
        <w:gridCol w:w="1135"/>
        <w:gridCol w:w="730"/>
        <w:gridCol w:w="926"/>
        <w:gridCol w:w="702"/>
        <w:gridCol w:w="811"/>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0" w:type="pct"/>
            <w:vMerge w:val="restart"/>
            <w:vAlign w:val="center"/>
          </w:tcPr>
          <w:p>
            <w:pPr>
              <w:keepNext w:val="0"/>
              <w:keepLines w:val="0"/>
              <w:suppressLineNumbers w:val="0"/>
              <w:topLinePunct/>
              <w:spacing w:before="0" w:beforeAutospacing="0" w:after="0" w:afterAutospacing="0" w:line="240" w:lineRule="auto"/>
              <w:ind w:left="0" w:right="0" w:firstLine="0" w:firstLineChars="0"/>
              <w:jc w:val="center"/>
              <w:rPr>
                <w:rFonts w:hint="eastAsia" w:eastAsia="宋体"/>
                <w:b/>
                <w:bCs/>
                <w:sz w:val="21"/>
                <w:szCs w:val="21"/>
                <w:lang w:eastAsia="zh-CN"/>
              </w:rPr>
            </w:pPr>
            <w:r>
              <w:rPr>
                <w:rFonts w:hint="eastAsia"/>
                <w:b/>
                <w:bCs/>
                <w:sz w:val="21"/>
                <w:szCs w:val="21"/>
                <w:lang w:eastAsia="zh-CN"/>
              </w:rPr>
              <w:t>工程内容</w:t>
            </w:r>
          </w:p>
        </w:tc>
        <w:tc>
          <w:tcPr>
            <w:tcW w:w="730" w:type="pct"/>
            <w:vMerge w:val="restart"/>
            <w:vAlign w:val="center"/>
          </w:tcPr>
          <w:p>
            <w:pPr>
              <w:keepNext w:val="0"/>
              <w:keepLines w:val="0"/>
              <w:suppressLineNumbers w:val="0"/>
              <w:topLinePunct/>
              <w:spacing w:before="0" w:beforeAutospacing="0" w:after="0" w:afterAutospacing="0" w:line="240" w:lineRule="auto"/>
              <w:ind w:left="0" w:right="0" w:firstLine="0" w:firstLineChars="0"/>
              <w:jc w:val="center"/>
              <w:rPr>
                <w:rFonts w:hint="default"/>
                <w:b/>
                <w:bCs/>
                <w:sz w:val="21"/>
                <w:szCs w:val="21"/>
              </w:rPr>
            </w:pPr>
            <w:r>
              <w:rPr>
                <w:rFonts w:hint="default"/>
                <w:b/>
                <w:bCs/>
                <w:sz w:val="21"/>
                <w:szCs w:val="21"/>
              </w:rPr>
              <w:t>保护目标</w:t>
            </w:r>
          </w:p>
        </w:tc>
        <w:tc>
          <w:tcPr>
            <w:tcW w:w="1259" w:type="pct"/>
            <w:gridSpan w:val="2"/>
            <w:vAlign w:val="center"/>
          </w:tcPr>
          <w:p>
            <w:pPr>
              <w:pStyle w:val="129"/>
              <w:keepNext w:val="0"/>
              <w:keepLines w:val="0"/>
              <w:suppressLineNumbers w:val="0"/>
              <w:spacing w:before="0" w:beforeAutospacing="0" w:after="0" w:afterAutospacing="0" w:line="240" w:lineRule="auto"/>
              <w:ind w:left="0" w:right="0" w:firstLine="0" w:firstLineChars="0"/>
              <w:jc w:val="center"/>
              <w:rPr>
                <w:rFonts w:hint="default"/>
                <w:b/>
                <w:bCs/>
                <w:sz w:val="21"/>
                <w:szCs w:val="21"/>
              </w:rPr>
            </w:pPr>
            <w:r>
              <w:rPr>
                <w:rFonts w:hint="default"/>
                <w:b/>
                <w:bCs/>
                <w:sz w:val="21"/>
                <w:szCs w:val="21"/>
              </w:rPr>
              <w:t>坐标</w:t>
            </w:r>
          </w:p>
        </w:tc>
        <w:tc>
          <w:tcPr>
            <w:tcW w:w="378" w:type="pct"/>
            <w:vMerge w:val="restart"/>
            <w:vAlign w:val="center"/>
          </w:tcPr>
          <w:p>
            <w:pPr>
              <w:keepNext w:val="0"/>
              <w:keepLines w:val="0"/>
              <w:suppressLineNumbers w:val="0"/>
              <w:topLinePunct/>
              <w:spacing w:before="0" w:beforeAutospacing="0" w:after="0" w:afterAutospacing="0" w:line="240" w:lineRule="auto"/>
              <w:ind w:left="0" w:right="0" w:firstLine="0" w:firstLineChars="0"/>
              <w:jc w:val="center"/>
              <w:rPr>
                <w:rFonts w:hint="default"/>
                <w:b/>
                <w:bCs/>
                <w:sz w:val="21"/>
                <w:szCs w:val="21"/>
              </w:rPr>
            </w:pPr>
            <w:r>
              <w:rPr>
                <w:rFonts w:hint="default"/>
                <w:b/>
                <w:bCs/>
                <w:sz w:val="21"/>
                <w:szCs w:val="21"/>
              </w:rPr>
              <w:t>保护目标</w:t>
            </w:r>
          </w:p>
        </w:tc>
        <w:tc>
          <w:tcPr>
            <w:tcW w:w="480" w:type="pct"/>
            <w:vMerge w:val="restart"/>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rPr>
                <w:rFonts w:hint="default"/>
                <w:b/>
                <w:bCs/>
                <w:sz w:val="21"/>
                <w:szCs w:val="21"/>
              </w:rPr>
            </w:pPr>
            <w:r>
              <w:rPr>
                <w:rFonts w:hint="default"/>
                <w:b/>
                <w:bCs/>
                <w:sz w:val="21"/>
                <w:szCs w:val="21"/>
              </w:rPr>
              <w:t>环境功能区</w:t>
            </w:r>
          </w:p>
        </w:tc>
        <w:tc>
          <w:tcPr>
            <w:tcW w:w="364" w:type="pct"/>
            <w:vMerge w:val="restart"/>
            <w:vAlign w:val="center"/>
          </w:tcPr>
          <w:p>
            <w:pPr>
              <w:keepNext w:val="0"/>
              <w:keepLines w:val="0"/>
              <w:suppressLineNumbers w:val="0"/>
              <w:topLinePunct/>
              <w:spacing w:before="0" w:beforeAutospacing="0" w:after="0" w:afterAutospacing="0" w:line="240" w:lineRule="auto"/>
              <w:ind w:left="0" w:right="0" w:firstLine="0" w:firstLineChars="0"/>
              <w:jc w:val="center"/>
              <w:rPr>
                <w:rFonts w:hint="default"/>
                <w:b/>
                <w:bCs/>
                <w:sz w:val="21"/>
                <w:szCs w:val="21"/>
              </w:rPr>
            </w:pPr>
            <w:r>
              <w:rPr>
                <w:rFonts w:hint="default"/>
                <w:b/>
                <w:bCs/>
                <w:sz w:val="21"/>
                <w:szCs w:val="21"/>
              </w:rPr>
              <w:t>相对方位</w:t>
            </w:r>
          </w:p>
        </w:tc>
        <w:tc>
          <w:tcPr>
            <w:tcW w:w="420" w:type="pct"/>
            <w:vMerge w:val="restart"/>
            <w:vAlign w:val="center"/>
          </w:tcPr>
          <w:p>
            <w:pPr>
              <w:keepNext w:val="0"/>
              <w:keepLines w:val="0"/>
              <w:suppressLineNumbers w:val="0"/>
              <w:topLinePunct/>
              <w:spacing w:before="0" w:beforeAutospacing="0" w:after="0" w:afterAutospacing="0" w:line="240" w:lineRule="auto"/>
              <w:ind w:left="0" w:right="0" w:firstLine="0" w:firstLineChars="0"/>
              <w:jc w:val="center"/>
              <w:rPr>
                <w:rFonts w:hint="default"/>
                <w:b/>
                <w:bCs/>
                <w:sz w:val="21"/>
                <w:szCs w:val="21"/>
              </w:rPr>
            </w:pPr>
            <w:r>
              <w:rPr>
                <w:rFonts w:hint="default"/>
                <w:b/>
                <w:bCs/>
                <w:sz w:val="21"/>
                <w:szCs w:val="21"/>
              </w:rPr>
              <w:t>相对距离(m)</w:t>
            </w:r>
          </w:p>
        </w:tc>
        <w:tc>
          <w:tcPr>
            <w:tcW w:w="815" w:type="pct"/>
            <w:vMerge w:val="restart"/>
            <w:vAlign w:val="center"/>
          </w:tcPr>
          <w:p>
            <w:pPr>
              <w:keepNext w:val="0"/>
              <w:keepLines w:val="0"/>
              <w:suppressLineNumbers w:val="0"/>
              <w:topLinePunct/>
              <w:spacing w:before="0" w:beforeAutospacing="0" w:after="0" w:afterAutospacing="0" w:line="240" w:lineRule="auto"/>
              <w:ind w:left="0" w:right="0" w:firstLine="0" w:firstLineChars="0"/>
              <w:jc w:val="center"/>
              <w:textAlignment w:val="center"/>
              <w:rPr>
                <w:rFonts w:hint="default"/>
                <w:b/>
                <w:bCs/>
                <w:sz w:val="21"/>
                <w:szCs w:val="21"/>
              </w:rPr>
            </w:pPr>
            <w:r>
              <w:rPr>
                <w:rFonts w:hint="default"/>
                <w:b/>
                <w:bCs/>
                <w:sz w:val="21"/>
                <w:szCs w:val="21"/>
              </w:rPr>
              <w:t>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50" w:type="pct"/>
            <w:vMerge w:val="continue"/>
            <w:vAlign w:val="center"/>
          </w:tcPr>
          <w:p>
            <w:pPr>
              <w:keepNext w:val="0"/>
              <w:keepLines w:val="0"/>
              <w:suppressLineNumbers w:val="0"/>
              <w:topLinePunct/>
              <w:spacing w:before="0" w:beforeAutospacing="0" w:after="0" w:afterAutospacing="0" w:line="240" w:lineRule="auto"/>
              <w:ind w:left="0" w:right="0" w:firstLine="0" w:firstLineChars="0"/>
              <w:jc w:val="center"/>
              <w:rPr>
                <w:rFonts w:hint="default"/>
                <w:b/>
                <w:bCs/>
                <w:sz w:val="21"/>
                <w:szCs w:val="21"/>
              </w:rPr>
            </w:pPr>
          </w:p>
        </w:tc>
        <w:tc>
          <w:tcPr>
            <w:tcW w:w="730" w:type="pct"/>
            <w:vMerge w:val="continue"/>
            <w:vAlign w:val="center"/>
          </w:tcPr>
          <w:p>
            <w:pPr>
              <w:keepNext w:val="0"/>
              <w:keepLines w:val="0"/>
              <w:suppressLineNumbers w:val="0"/>
              <w:topLinePunct/>
              <w:spacing w:before="0" w:beforeAutospacing="0" w:after="0" w:afterAutospacing="0" w:line="240" w:lineRule="auto"/>
              <w:ind w:left="0" w:right="0" w:firstLine="0" w:firstLineChars="0"/>
              <w:jc w:val="center"/>
              <w:rPr>
                <w:rFonts w:hint="default"/>
                <w:b/>
                <w:bCs/>
                <w:sz w:val="21"/>
                <w:szCs w:val="21"/>
              </w:rPr>
            </w:pPr>
          </w:p>
        </w:tc>
        <w:tc>
          <w:tcPr>
            <w:tcW w:w="670" w:type="pct"/>
            <w:vAlign w:val="center"/>
          </w:tcPr>
          <w:p>
            <w:pPr>
              <w:pStyle w:val="129"/>
              <w:keepNext w:val="0"/>
              <w:keepLines w:val="0"/>
              <w:suppressLineNumbers w:val="0"/>
              <w:spacing w:before="0" w:beforeAutospacing="0" w:after="0" w:afterAutospacing="0" w:line="240" w:lineRule="auto"/>
              <w:ind w:left="0" w:right="0" w:firstLine="0" w:firstLineChars="0"/>
              <w:jc w:val="center"/>
              <w:rPr>
                <w:rFonts w:hint="default"/>
                <w:b/>
                <w:bCs/>
                <w:sz w:val="21"/>
                <w:szCs w:val="21"/>
              </w:rPr>
            </w:pPr>
            <w:r>
              <w:rPr>
                <w:rFonts w:hint="default"/>
                <w:b/>
                <w:bCs/>
                <w:sz w:val="21"/>
                <w:szCs w:val="21"/>
              </w:rPr>
              <w:t>E</w:t>
            </w:r>
          </w:p>
        </w:tc>
        <w:tc>
          <w:tcPr>
            <w:tcW w:w="588" w:type="pct"/>
            <w:vAlign w:val="center"/>
          </w:tcPr>
          <w:p>
            <w:pPr>
              <w:pStyle w:val="129"/>
              <w:keepNext w:val="0"/>
              <w:keepLines w:val="0"/>
              <w:suppressLineNumbers w:val="0"/>
              <w:spacing w:before="0" w:beforeAutospacing="0" w:after="0" w:afterAutospacing="0" w:line="240" w:lineRule="auto"/>
              <w:ind w:left="0" w:right="0" w:firstLine="0" w:firstLineChars="0"/>
              <w:jc w:val="center"/>
              <w:rPr>
                <w:rFonts w:hint="default"/>
                <w:b/>
                <w:bCs/>
                <w:sz w:val="21"/>
                <w:szCs w:val="21"/>
              </w:rPr>
            </w:pPr>
            <w:r>
              <w:rPr>
                <w:rFonts w:hint="default"/>
                <w:b/>
                <w:bCs/>
                <w:sz w:val="21"/>
                <w:szCs w:val="21"/>
              </w:rPr>
              <w:t>N</w:t>
            </w:r>
          </w:p>
        </w:tc>
        <w:tc>
          <w:tcPr>
            <w:tcW w:w="378" w:type="pct"/>
            <w:vMerge w:val="continue"/>
            <w:vAlign w:val="center"/>
          </w:tcPr>
          <w:p>
            <w:pPr>
              <w:keepNext w:val="0"/>
              <w:keepLines w:val="0"/>
              <w:suppressLineNumbers w:val="0"/>
              <w:topLinePunct/>
              <w:spacing w:before="0" w:beforeAutospacing="0" w:after="0" w:afterAutospacing="0" w:line="240" w:lineRule="auto"/>
              <w:ind w:left="0" w:right="0" w:firstLine="0" w:firstLineChars="0"/>
              <w:jc w:val="center"/>
              <w:rPr>
                <w:rFonts w:hint="default"/>
                <w:b/>
                <w:bCs/>
                <w:sz w:val="21"/>
                <w:szCs w:val="21"/>
              </w:rPr>
            </w:pPr>
          </w:p>
        </w:tc>
        <w:tc>
          <w:tcPr>
            <w:tcW w:w="480" w:type="pct"/>
            <w:vMerge w:val="continue"/>
            <w:vAlign w:val="center"/>
          </w:tcPr>
          <w:p>
            <w:pPr>
              <w:keepNext w:val="0"/>
              <w:keepLines w:val="0"/>
              <w:suppressLineNumbers w:val="0"/>
              <w:topLinePunct/>
              <w:spacing w:before="0" w:beforeAutospacing="0" w:after="0" w:afterAutospacing="0" w:line="240" w:lineRule="auto"/>
              <w:ind w:left="0" w:right="0" w:firstLine="0" w:firstLineChars="0"/>
              <w:jc w:val="center"/>
              <w:rPr>
                <w:rFonts w:hint="default"/>
                <w:b/>
                <w:bCs/>
                <w:sz w:val="21"/>
                <w:szCs w:val="21"/>
              </w:rPr>
            </w:pPr>
          </w:p>
        </w:tc>
        <w:tc>
          <w:tcPr>
            <w:tcW w:w="364" w:type="pct"/>
            <w:vMerge w:val="continue"/>
            <w:vAlign w:val="center"/>
          </w:tcPr>
          <w:p>
            <w:pPr>
              <w:keepNext w:val="0"/>
              <w:keepLines w:val="0"/>
              <w:suppressLineNumbers w:val="0"/>
              <w:topLinePunct/>
              <w:spacing w:before="0" w:beforeAutospacing="0" w:after="0" w:afterAutospacing="0" w:line="240" w:lineRule="auto"/>
              <w:ind w:left="0" w:right="0" w:firstLine="0" w:firstLineChars="0"/>
              <w:jc w:val="center"/>
              <w:rPr>
                <w:rFonts w:hint="default"/>
                <w:b/>
                <w:bCs/>
                <w:sz w:val="21"/>
                <w:szCs w:val="21"/>
              </w:rPr>
            </w:pPr>
          </w:p>
        </w:tc>
        <w:tc>
          <w:tcPr>
            <w:tcW w:w="420" w:type="pct"/>
            <w:vMerge w:val="continue"/>
            <w:vAlign w:val="center"/>
          </w:tcPr>
          <w:p>
            <w:pPr>
              <w:keepNext w:val="0"/>
              <w:keepLines w:val="0"/>
              <w:suppressLineNumbers w:val="0"/>
              <w:topLinePunct/>
              <w:spacing w:before="0" w:beforeAutospacing="0" w:after="0" w:afterAutospacing="0" w:line="240" w:lineRule="auto"/>
              <w:ind w:left="0" w:right="0" w:firstLine="0" w:firstLineChars="0"/>
              <w:jc w:val="center"/>
              <w:rPr>
                <w:rFonts w:hint="default"/>
                <w:b/>
                <w:bCs/>
                <w:sz w:val="21"/>
                <w:szCs w:val="21"/>
              </w:rPr>
            </w:pPr>
          </w:p>
        </w:tc>
        <w:tc>
          <w:tcPr>
            <w:tcW w:w="815" w:type="pct"/>
            <w:vMerge w:val="continue"/>
            <w:vAlign w:val="center"/>
          </w:tcPr>
          <w:p>
            <w:pPr>
              <w:keepNext w:val="0"/>
              <w:keepLines w:val="0"/>
              <w:suppressLineNumbers w:val="0"/>
              <w:topLinePunct/>
              <w:spacing w:before="0" w:beforeAutospacing="0" w:after="0" w:afterAutospacing="0" w:line="240" w:lineRule="auto"/>
              <w:ind w:left="0" w:right="0" w:firstLine="0" w:firstLineChars="0"/>
              <w:jc w:val="center"/>
              <w:rPr>
                <w:rFonts w:hint="default"/>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河道疏浚工程</w:t>
            </w:r>
          </w:p>
        </w:tc>
        <w:tc>
          <w:tcPr>
            <w:tcW w:w="7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eastAsia" w:cs="Times New Roman"/>
                <w:i w:val="0"/>
                <w:iCs w:val="0"/>
                <w:color w:val="auto"/>
                <w:kern w:val="0"/>
                <w:sz w:val="21"/>
                <w:szCs w:val="21"/>
                <w:u w:val="none"/>
                <w:lang w:val="en-US" w:eastAsia="zh-CN" w:bidi="ar"/>
              </w:rPr>
              <w:t>杨树底下村</w:t>
            </w:r>
          </w:p>
        </w:tc>
        <w:tc>
          <w:tcPr>
            <w:tcW w:w="67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117.453443</w:t>
            </w:r>
          </w:p>
        </w:tc>
        <w:tc>
          <w:tcPr>
            <w:tcW w:w="58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40.364655</w:t>
            </w:r>
          </w:p>
        </w:tc>
        <w:tc>
          <w:tcPr>
            <w:tcW w:w="378" w:type="pct"/>
            <w:vAlign w:val="center"/>
          </w:tcPr>
          <w:p>
            <w:pPr>
              <w:keepNext w:val="0"/>
              <w:keepLines w:val="0"/>
              <w:suppressLineNumbers w:val="0"/>
              <w:topLinePunct/>
              <w:spacing w:before="0" w:beforeAutospacing="0" w:after="0" w:afterAutospacing="0" w:line="240" w:lineRule="auto"/>
              <w:ind w:left="0" w:right="0" w:firstLine="0" w:firstLineChars="0"/>
              <w:jc w:val="center"/>
              <w:textAlignment w:val="center"/>
              <w:rPr>
                <w:rFonts w:hint="default"/>
                <w:color w:val="auto"/>
                <w:sz w:val="21"/>
                <w:szCs w:val="21"/>
              </w:rPr>
            </w:pPr>
            <w:r>
              <w:rPr>
                <w:rFonts w:hint="default"/>
                <w:snapToGrid w:val="0"/>
                <w:color w:val="auto"/>
                <w:sz w:val="21"/>
                <w:szCs w:val="21"/>
              </w:rPr>
              <w:t>居民</w:t>
            </w:r>
          </w:p>
        </w:tc>
        <w:tc>
          <w:tcPr>
            <w:tcW w:w="480" w:type="pct"/>
            <w:vMerge w:val="restart"/>
            <w:vAlign w:val="center"/>
          </w:tcPr>
          <w:p>
            <w:pPr>
              <w:keepNext w:val="0"/>
              <w:keepLines w:val="0"/>
              <w:suppressLineNumbers w:val="0"/>
              <w:topLinePunct/>
              <w:spacing w:before="0" w:beforeAutospacing="0" w:after="0" w:afterAutospacing="0" w:line="240" w:lineRule="auto"/>
              <w:ind w:left="0" w:right="0" w:firstLine="0" w:firstLineChars="0"/>
              <w:jc w:val="center"/>
              <w:textAlignment w:val="center"/>
              <w:rPr>
                <w:rFonts w:hint="default"/>
                <w:color w:val="auto"/>
                <w:sz w:val="21"/>
                <w:szCs w:val="21"/>
              </w:rPr>
            </w:pPr>
            <w:r>
              <w:rPr>
                <w:rFonts w:hint="default"/>
                <w:snapToGrid w:val="0"/>
                <w:color w:val="auto"/>
                <w:sz w:val="21"/>
                <w:szCs w:val="21"/>
              </w:rPr>
              <w:t>二类区</w:t>
            </w:r>
          </w:p>
        </w:tc>
        <w:tc>
          <w:tcPr>
            <w:tcW w:w="364"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eastAsia" w:eastAsia="宋体"/>
                <w:color w:val="auto"/>
                <w:lang w:eastAsia="zh-CN"/>
              </w:rPr>
            </w:pPr>
            <w:r>
              <w:rPr>
                <w:rFonts w:hint="eastAsia"/>
                <w:color w:val="auto"/>
                <w:lang w:eastAsia="zh-CN"/>
              </w:rPr>
              <w:t>西</w:t>
            </w:r>
          </w:p>
        </w:tc>
        <w:tc>
          <w:tcPr>
            <w:tcW w:w="420"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160</w:t>
            </w:r>
          </w:p>
        </w:tc>
        <w:tc>
          <w:tcPr>
            <w:tcW w:w="815" w:type="pct"/>
            <w:vMerge w:val="restart"/>
            <w:vAlign w:val="center"/>
          </w:tcPr>
          <w:p>
            <w:pPr>
              <w:keepNext w:val="0"/>
              <w:keepLines w:val="0"/>
              <w:suppressLineNumbers w:val="0"/>
              <w:topLinePunct/>
              <w:spacing w:before="0" w:beforeAutospacing="0" w:after="0" w:afterAutospacing="0" w:line="240" w:lineRule="auto"/>
              <w:ind w:left="0" w:right="0" w:firstLine="0" w:firstLineChars="0"/>
              <w:jc w:val="center"/>
              <w:textAlignment w:val="center"/>
              <w:rPr>
                <w:rFonts w:hint="default"/>
                <w:sz w:val="21"/>
                <w:szCs w:val="21"/>
              </w:rPr>
            </w:pPr>
            <w:r>
              <w:rPr>
                <w:rFonts w:hint="default"/>
                <w:sz w:val="21"/>
                <w:szCs w:val="21"/>
              </w:rPr>
              <w:t>《环境空气质量标准》（GB3095-2012）中的二级标准及其修改单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p>
        </w:tc>
        <w:tc>
          <w:tcPr>
            <w:tcW w:w="7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三块石村</w:t>
            </w:r>
          </w:p>
        </w:tc>
        <w:tc>
          <w:tcPr>
            <w:tcW w:w="67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117.455641</w:t>
            </w:r>
          </w:p>
        </w:tc>
        <w:tc>
          <w:tcPr>
            <w:tcW w:w="58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40.364860</w:t>
            </w:r>
          </w:p>
        </w:tc>
        <w:tc>
          <w:tcPr>
            <w:tcW w:w="378" w:type="pct"/>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snapToGrid w:val="0"/>
                <w:color w:val="auto"/>
                <w:sz w:val="21"/>
                <w:szCs w:val="21"/>
              </w:rPr>
              <w:t>居民</w:t>
            </w:r>
          </w:p>
        </w:tc>
        <w:tc>
          <w:tcPr>
            <w:tcW w:w="480" w:type="pct"/>
            <w:vMerge w:val="continue"/>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364"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北</w:t>
            </w:r>
          </w:p>
        </w:tc>
        <w:tc>
          <w:tcPr>
            <w:tcW w:w="420"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120</w:t>
            </w:r>
          </w:p>
        </w:tc>
        <w:tc>
          <w:tcPr>
            <w:tcW w:w="81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p>
        </w:tc>
        <w:tc>
          <w:tcPr>
            <w:tcW w:w="7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高洼子村</w:t>
            </w:r>
          </w:p>
        </w:tc>
        <w:tc>
          <w:tcPr>
            <w:tcW w:w="67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117.772343</w:t>
            </w:r>
          </w:p>
        </w:tc>
        <w:tc>
          <w:tcPr>
            <w:tcW w:w="58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40.608562</w:t>
            </w:r>
          </w:p>
        </w:tc>
        <w:tc>
          <w:tcPr>
            <w:tcW w:w="378" w:type="pct"/>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textAlignment w:val="center"/>
              <w:rPr>
                <w:rFonts w:hint="default"/>
                <w:snapToGrid w:val="0"/>
                <w:color w:val="auto"/>
                <w:sz w:val="21"/>
                <w:szCs w:val="21"/>
              </w:rPr>
            </w:pPr>
            <w:r>
              <w:rPr>
                <w:rFonts w:hint="default"/>
                <w:snapToGrid w:val="0"/>
                <w:color w:val="auto"/>
                <w:sz w:val="21"/>
                <w:szCs w:val="21"/>
              </w:rPr>
              <w:t>居民</w:t>
            </w:r>
          </w:p>
        </w:tc>
        <w:tc>
          <w:tcPr>
            <w:tcW w:w="480" w:type="pct"/>
            <w:vMerge w:val="continue"/>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364"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南</w:t>
            </w:r>
          </w:p>
        </w:tc>
        <w:tc>
          <w:tcPr>
            <w:tcW w:w="420"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310</w:t>
            </w:r>
          </w:p>
        </w:tc>
        <w:tc>
          <w:tcPr>
            <w:tcW w:w="81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河岸岸堤建设工程</w:t>
            </w:r>
          </w:p>
        </w:tc>
        <w:tc>
          <w:tcPr>
            <w:tcW w:w="7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三块石村</w:t>
            </w:r>
          </w:p>
        </w:tc>
        <w:tc>
          <w:tcPr>
            <w:tcW w:w="67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117.455641</w:t>
            </w:r>
          </w:p>
        </w:tc>
        <w:tc>
          <w:tcPr>
            <w:tcW w:w="58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40.364860</w:t>
            </w:r>
          </w:p>
        </w:tc>
        <w:tc>
          <w:tcPr>
            <w:tcW w:w="378" w:type="pct"/>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textAlignment w:val="center"/>
              <w:rPr>
                <w:rFonts w:hint="default"/>
                <w:snapToGrid w:val="0"/>
                <w:color w:val="auto"/>
                <w:sz w:val="21"/>
                <w:szCs w:val="21"/>
              </w:rPr>
            </w:pPr>
            <w:r>
              <w:rPr>
                <w:rFonts w:hint="default"/>
                <w:snapToGrid w:val="0"/>
                <w:color w:val="auto"/>
                <w:sz w:val="21"/>
                <w:szCs w:val="21"/>
              </w:rPr>
              <w:t>居民</w:t>
            </w:r>
          </w:p>
        </w:tc>
        <w:tc>
          <w:tcPr>
            <w:tcW w:w="480" w:type="pct"/>
            <w:vMerge w:val="continue"/>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364"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北</w:t>
            </w:r>
          </w:p>
        </w:tc>
        <w:tc>
          <w:tcPr>
            <w:tcW w:w="420"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170</w:t>
            </w:r>
          </w:p>
        </w:tc>
        <w:tc>
          <w:tcPr>
            <w:tcW w:w="81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p>
        </w:tc>
        <w:tc>
          <w:tcPr>
            <w:tcW w:w="7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杨树底下村</w:t>
            </w:r>
          </w:p>
        </w:tc>
        <w:tc>
          <w:tcPr>
            <w:tcW w:w="67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117.453443</w:t>
            </w:r>
          </w:p>
        </w:tc>
        <w:tc>
          <w:tcPr>
            <w:tcW w:w="58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40.364655</w:t>
            </w:r>
          </w:p>
        </w:tc>
        <w:tc>
          <w:tcPr>
            <w:tcW w:w="378" w:type="pct"/>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textAlignment w:val="center"/>
              <w:rPr>
                <w:rFonts w:hint="default"/>
                <w:snapToGrid w:val="0"/>
                <w:color w:val="auto"/>
                <w:sz w:val="21"/>
                <w:szCs w:val="21"/>
              </w:rPr>
            </w:pPr>
            <w:r>
              <w:rPr>
                <w:rFonts w:hint="default"/>
                <w:snapToGrid w:val="0"/>
                <w:color w:val="auto"/>
                <w:sz w:val="21"/>
                <w:szCs w:val="21"/>
              </w:rPr>
              <w:t>居民</w:t>
            </w:r>
          </w:p>
        </w:tc>
        <w:tc>
          <w:tcPr>
            <w:tcW w:w="480" w:type="pct"/>
            <w:vMerge w:val="continue"/>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364"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西</w:t>
            </w:r>
          </w:p>
        </w:tc>
        <w:tc>
          <w:tcPr>
            <w:tcW w:w="420"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215</w:t>
            </w:r>
          </w:p>
        </w:tc>
        <w:tc>
          <w:tcPr>
            <w:tcW w:w="81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p>
        </w:tc>
        <w:tc>
          <w:tcPr>
            <w:tcW w:w="7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高洼子村</w:t>
            </w:r>
          </w:p>
        </w:tc>
        <w:tc>
          <w:tcPr>
            <w:tcW w:w="67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117.772343</w:t>
            </w:r>
          </w:p>
        </w:tc>
        <w:tc>
          <w:tcPr>
            <w:tcW w:w="58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40.608562</w:t>
            </w:r>
          </w:p>
        </w:tc>
        <w:tc>
          <w:tcPr>
            <w:tcW w:w="378" w:type="pct"/>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textAlignment w:val="center"/>
              <w:rPr>
                <w:rFonts w:hint="default"/>
                <w:snapToGrid w:val="0"/>
                <w:color w:val="auto"/>
                <w:sz w:val="21"/>
                <w:szCs w:val="21"/>
              </w:rPr>
            </w:pPr>
            <w:r>
              <w:rPr>
                <w:rFonts w:hint="default"/>
                <w:snapToGrid w:val="0"/>
                <w:color w:val="auto"/>
                <w:sz w:val="21"/>
                <w:szCs w:val="21"/>
              </w:rPr>
              <w:t>居民</w:t>
            </w:r>
          </w:p>
        </w:tc>
        <w:tc>
          <w:tcPr>
            <w:tcW w:w="480" w:type="pct"/>
            <w:vMerge w:val="continue"/>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364"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南</w:t>
            </w:r>
          </w:p>
        </w:tc>
        <w:tc>
          <w:tcPr>
            <w:tcW w:w="420"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344</w:t>
            </w:r>
          </w:p>
        </w:tc>
        <w:tc>
          <w:tcPr>
            <w:tcW w:w="81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河岸缓冲带生态建设工程</w:t>
            </w:r>
          </w:p>
        </w:tc>
        <w:tc>
          <w:tcPr>
            <w:tcW w:w="7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三块石村</w:t>
            </w:r>
          </w:p>
        </w:tc>
        <w:tc>
          <w:tcPr>
            <w:tcW w:w="67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117.455641</w:t>
            </w:r>
          </w:p>
        </w:tc>
        <w:tc>
          <w:tcPr>
            <w:tcW w:w="58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40.364860</w:t>
            </w:r>
          </w:p>
        </w:tc>
        <w:tc>
          <w:tcPr>
            <w:tcW w:w="378" w:type="pct"/>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textAlignment w:val="center"/>
              <w:rPr>
                <w:rFonts w:hint="default"/>
                <w:snapToGrid w:val="0"/>
                <w:color w:val="auto"/>
                <w:sz w:val="21"/>
                <w:szCs w:val="21"/>
              </w:rPr>
            </w:pPr>
            <w:r>
              <w:rPr>
                <w:rFonts w:hint="default"/>
                <w:snapToGrid w:val="0"/>
                <w:color w:val="auto"/>
                <w:sz w:val="21"/>
                <w:szCs w:val="21"/>
              </w:rPr>
              <w:t>居民</w:t>
            </w:r>
          </w:p>
        </w:tc>
        <w:tc>
          <w:tcPr>
            <w:tcW w:w="480" w:type="pct"/>
            <w:vMerge w:val="continue"/>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364"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北</w:t>
            </w:r>
          </w:p>
        </w:tc>
        <w:tc>
          <w:tcPr>
            <w:tcW w:w="420"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170</w:t>
            </w:r>
          </w:p>
        </w:tc>
        <w:tc>
          <w:tcPr>
            <w:tcW w:w="81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p>
        </w:tc>
        <w:tc>
          <w:tcPr>
            <w:tcW w:w="7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杨树底下村</w:t>
            </w:r>
          </w:p>
        </w:tc>
        <w:tc>
          <w:tcPr>
            <w:tcW w:w="67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117.453443</w:t>
            </w:r>
          </w:p>
        </w:tc>
        <w:tc>
          <w:tcPr>
            <w:tcW w:w="58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40.364655</w:t>
            </w:r>
          </w:p>
        </w:tc>
        <w:tc>
          <w:tcPr>
            <w:tcW w:w="378" w:type="pct"/>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textAlignment w:val="center"/>
              <w:rPr>
                <w:rFonts w:hint="default"/>
                <w:snapToGrid w:val="0"/>
                <w:color w:val="auto"/>
                <w:sz w:val="21"/>
                <w:szCs w:val="21"/>
              </w:rPr>
            </w:pPr>
            <w:r>
              <w:rPr>
                <w:rFonts w:hint="default"/>
                <w:snapToGrid w:val="0"/>
                <w:color w:val="auto"/>
                <w:sz w:val="21"/>
                <w:szCs w:val="21"/>
              </w:rPr>
              <w:t>居民</w:t>
            </w:r>
          </w:p>
        </w:tc>
        <w:tc>
          <w:tcPr>
            <w:tcW w:w="480" w:type="pct"/>
            <w:vMerge w:val="continue"/>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364"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西</w:t>
            </w:r>
          </w:p>
        </w:tc>
        <w:tc>
          <w:tcPr>
            <w:tcW w:w="420"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230</w:t>
            </w:r>
          </w:p>
        </w:tc>
        <w:tc>
          <w:tcPr>
            <w:tcW w:w="81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0000FF"/>
                <w:kern w:val="0"/>
                <w:sz w:val="21"/>
                <w:szCs w:val="21"/>
                <w:u w:val="none"/>
                <w:lang w:val="en-US" w:eastAsia="zh-CN" w:bidi="ar"/>
              </w:rPr>
            </w:pPr>
          </w:p>
        </w:tc>
        <w:tc>
          <w:tcPr>
            <w:tcW w:w="7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高洼子村</w:t>
            </w:r>
          </w:p>
        </w:tc>
        <w:tc>
          <w:tcPr>
            <w:tcW w:w="67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117.772343</w:t>
            </w:r>
          </w:p>
        </w:tc>
        <w:tc>
          <w:tcPr>
            <w:tcW w:w="58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40.608562</w:t>
            </w:r>
          </w:p>
        </w:tc>
        <w:tc>
          <w:tcPr>
            <w:tcW w:w="378" w:type="pct"/>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textAlignment w:val="center"/>
              <w:rPr>
                <w:rFonts w:hint="default"/>
                <w:snapToGrid w:val="0"/>
                <w:color w:val="auto"/>
                <w:sz w:val="21"/>
                <w:szCs w:val="21"/>
              </w:rPr>
            </w:pPr>
            <w:r>
              <w:rPr>
                <w:rFonts w:hint="default"/>
                <w:snapToGrid w:val="0"/>
                <w:color w:val="auto"/>
                <w:sz w:val="21"/>
                <w:szCs w:val="21"/>
              </w:rPr>
              <w:t>居民</w:t>
            </w:r>
          </w:p>
        </w:tc>
        <w:tc>
          <w:tcPr>
            <w:tcW w:w="480" w:type="pct"/>
            <w:vMerge w:val="continue"/>
            <w:vAlign w:val="center"/>
          </w:tcPr>
          <w:p>
            <w:pPr>
              <w:keepNext w:val="0"/>
              <w:keepLines w:val="0"/>
              <w:suppressLineNumbers w:val="0"/>
              <w:topLinePunct/>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364"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南</w:t>
            </w:r>
          </w:p>
        </w:tc>
        <w:tc>
          <w:tcPr>
            <w:tcW w:w="420"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315</w:t>
            </w:r>
          </w:p>
        </w:tc>
        <w:tc>
          <w:tcPr>
            <w:tcW w:w="815"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bl>
    <w:p>
      <w:pPr>
        <w:spacing w:before="120" w:beforeLines="50"/>
        <w:ind w:firstLine="0" w:firstLineChars="0"/>
        <w:jc w:val="center"/>
        <w:rPr>
          <w:b/>
          <w:bCs/>
          <w:sz w:val="21"/>
          <w:szCs w:val="21"/>
        </w:rPr>
      </w:pPr>
      <w:r>
        <w:rPr>
          <w:b/>
          <w:bCs/>
          <w:sz w:val="21"/>
          <w:szCs w:val="21"/>
        </w:rPr>
        <w:t>表2</w:t>
      </w:r>
      <w:r>
        <w:rPr>
          <w:rFonts w:hint="eastAsia"/>
          <w:b/>
          <w:bCs/>
          <w:sz w:val="21"/>
          <w:szCs w:val="21"/>
        </w:rPr>
        <w:t>.7</w:t>
      </w:r>
      <w:r>
        <w:rPr>
          <w:b/>
          <w:bCs/>
          <w:sz w:val="21"/>
          <w:szCs w:val="21"/>
        </w:rPr>
        <w:t>-</w:t>
      </w:r>
      <w:r>
        <w:rPr>
          <w:rFonts w:hint="eastAsia"/>
          <w:b/>
          <w:bCs/>
          <w:sz w:val="21"/>
          <w:szCs w:val="21"/>
        </w:rPr>
        <w:t>2</w:t>
      </w:r>
      <w:r>
        <w:rPr>
          <w:b/>
          <w:bCs/>
          <w:sz w:val="21"/>
          <w:szCs w:val="21"/>
        </w:rPr>
        <w:t xml:space="preserve">  </w:t>
      </w:r>
      <w:r>
        <w:rPr>
          <w:rFonts w:hint="eastAsia"/>
          <w:b/>
          <w:bCs/>
          <w:sz w:val="21"/>
          <w:szCs w:val="21"/>
        </w:rPr>
        <w:t>其他环境</w:t>
      </w:r>
      <w:r>
        <w:rPr>
          <w:b/>
          <w:bCs/>
          <w:sz w:val="21"/>
          <w:szCs w:val="21"/>
        </w:rPr>
        <w:t>保护目标一览表</w:t>
      </w:r>
    </w:p>
    <w:tbl>
      <w:tblPr>
        <w:tblStyle w:val="39"/>
        <w:tblpPr w:leftFromText="180" w:rightFromText="180" w:vertAnchor="text" w:tblpXSpec="center" w:tblpY="1"/>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953"/>
        <w:gridCol w:w="1259"/>
        <w:gridCol w:w="1749"/>
        <w:gridCol w:w="3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8"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b/>
                <w:color w:val="000000"/>
              </w:rPr>
            </w:pPr>
            <w:r>
              <w:rPr>
                <w:rFonts w:hint="default"/>
                <w:b/>
                <w:color w:val="000000"/>
              </w:rPr>
              <w:t>环境要素</w:t>
            </w:r>
          </w:p>
        </w:tc>
        <w:tc>
          <w:tcPr>
            <w:tcW w:w="1027"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b/>
                <w:color w:val="000000"/>
              </w:rPr>
            </w:pPr>
            <w:r>
              <w:rPr>
                <w:rFonts w:hint="default"/>
                <w:b/>
                <w:color w:val="000000"/>
              </w:rPr>
              <w:t>保护</w:t>
            </w:r>
            <w:r>
              <w:rPr>
                <w:rFonts w:hint="eastAsia"/>
                <w:b/>
                <w:color w:val="000000"/>
              </w:rPr>
              <w:t>目标</w:t>
            </w:r>
          </w:p>
        </w:tc>
        <w:tc>
          <w:tcPr>
            <w:tcW w:w="662"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b/>
                <w:color w:val="000000"/>
              </w:rPr>
            </w:pPr>
            <w:r>
              <w:rPr>
                <w:rFonts w:hint="eastAsia"/>
                <w:b/>
                <w:color w:val="000000"/>
                <w:lang w:eastAsia="zh-CN"/>
              </w:rPr>
              <w:t>相对</w:t>
            </w:r>
            <w:r>
              <w:rPr>
                <w:rFonts w:hint="default"/>
                <w:b/>
                <w:color w:val="000000"/>
              </w:rPr>
              <w:t>方</w:t>
            </w:r>
            <w:r>
              <w:rPr>
                <w:rFonts w:hint="eastAsia"/>
                <w:b/>
                <w:color w:val="000000"/>
              </w:rPr>
              <w:t>位</w:t>
            </w:r>
          </w:p>
        </w:tc>
        <w:tc>
          <w:tcPr>
            <w:tcW w:w="920"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b/>
                <w:color w:val="000000"/>
              </w:rPr>
            </w:pPr>
            <w:r>
              <w:rPr>
                <w:rFonts w:hint="eastAsia"/>
                <w:b/>
                <w:color w:val="000000"/>
                <w:lang w:eastAsia="zh-CN"/>
              </w:rPr>
              <w:t>相对</w:t>
            </w:r>
            <w:r>
              <w:rPr>
                <w:rFonts w:hint="default"/>
                <w:b/>
                <w:color w:val="000000"/>
              </w:rPr>
              <w:t>距离</w:t>
            </w:r>
            <w:r>
              <w:rPr>
                <w:rFonts w:hint="eastAsia"/>
                <w:b/>
                <w:color w:val="000000"/>
                <w:lang w:val="en-US" w:eastAsia="zh-CN"/>
              </w:rPr>
              <w:t>/</w:t>
            </w:r>
            <w:r>
              <w:rPr>
                <w:rFonts w:hint="default"/>
                <w:b/>
                <w:color w:val="000000"/>
              </w:rPr>
              <w:t>m</w:t>
            </w:r>
          </w:p>
        </w:tc>
        <w:tc>
          <w:tcPr>
            <w:tcW w:w="1801"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b/>
                <w:color w:val="000000"/>
              </w:rPr>
            </w:pPr>
            <w:r>
              <w:rPr>
                <w:rFonts w:hint="default"/>
                <w:b/>
                <w:color w:val="000000"/>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8" w:type="pct"/>
            <w:vMerge w:val="restar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color w:val="000000"/>
              </w:rPr>
            </w:pPr>
            <w:r>
              <w:rPr>
                <w:rFonts w:hint="default"/>
                <w:color w:val="000000"/>
              </w:rPr>
              <w:t>声环境</w:t>
            </w:r>
          </w:p>
        </w:tc>
        <w:tc>
          <w:tcPr>
            <w:tcW w:w="102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color w:val="000000"/>
                <w:szCs w:val="20"/>
              </w:rPr>
            </w:pPr>
            <w:r>
              <w:rPr>
                <w:rFonts w:hint="eastAsia" w:cs="Times New Roman"/>
                <w:i w:val="0"/>
                <w:iCs w:val="0"/>
                <w:color w:val="000000"/>
                <w:kern w:val="0"/>
                <w:sz w:val="21"/>
                <w:szCs w:val="21"/>
                <w:u w:val="none"/>
                <w:lang w:val="en-US" w:eastAsia="zh-CN" w:bidi="ar"/>
              </w:rPr>
              <w:t>杨树底下村</w:t>
            </w:r>
          </w:p>
        </w:tc>
        <w:tc>
          <w:tcPr>
            <w:tcW w:w="662"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color w:val="000000"/>
              </w:rPr>
            </w:pPr>
            <w:r>
              <w:rPr>
                <w:rFonts w:hint="eastAsia"/>
                <w:lang w:eastAsia="zh-CN"/>
              </w:rPr>
              <w:t>西</w:t>
            </w:r>
          </w:p>
        </w:tc>
        <w:tc>
          <w:tcPr>
            <w:tcW w:w="920"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eastAsia"/>
                <w:color w:val="000000"/>
                <w:lang w:eastAsia="zh-CN"/>
              </w:rPr>
            </w:pPr>
            <w:r>
              <w:rPr>
                <w:rFonts w:hint="eastAsia"/>
                <w:color w:val="000000"/>
                <w:lang w:val="en-US" w:eastAsia="zh-CN"/>
              </w:rPr>
              <w:t>160</w:t>
            </w:r>
          </w:p>
        </w:tc>
        <w:tc>
          <w:tcPr>
            <w:tcW w:w="1801" w:type="pct"/>
            <w:vMerge w:val="restar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color w:val="000000"/>
              </w:rPr>
            </w:pPr>
            <w:r>
              <w:rPr>
                <w:rFonts w:hint="default"/>
                <w:color w:val="000000"/>
              </w:rPr>
              <w:t>《声环境质量标准》(GB3096-2008)中的</w:t>
            </w:r>
            <w:r>
              <w:rPr>
                <w:rFonts w:hint="eastAsia"/>
                <w:color w:val="000000"/>
                <w:lang w:val="en-US" w:eastAsia="zh-CN"/>
              </w:rPr>
              <w:t>2</w:t>
            </w:r>
            <w:r>
              <w:rPr>
                <w:rFonts w:hint="default"/>
                <w:color w:val="000000"/>
              </w:rPr>
              <w:t>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8"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color w:val="000000"/>
              </w:rPr>
            </w:pPr>
          </w:p>
        </w:tc>
        <w:tc>
          <w:tcPr>
            <w:tcW w:w="102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color w:val="000000"/>
                <w:szCs w:val="20"/>
              </w:rPr>
            </w:pPr>
            <w:r>
              <w:rPr>
                <w:rFonts w:hint="eastAsia" w:cs="Times New Roman"/>
                <w:i w:val="0"/>
                <w:iCs w:val="0"/>
                <w:color w:val="000000"/>
                <w:kern w:val="0"/>
                <w:sz w:val="21"/>
                <w:szCs w:val="21"/>
                <w:u w:val="none"/>
                <w:lang w:val="en-US" w:eastAsia="zh-CN" w:bidi="ar"/>
              </w:rPr>
              <w:t>三块石村</w:t>
            </w:r>
          </w:p>
        </w:tc>
        <w:tc>
          <w:tcPr>
            <w:tcW w:w="662"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color w:val="000000"/>
              </w:rPr>
            </w:pPr>
            <w:r>
              <w:rPr>
                <w:rFonts w:hint="eastAsia" w:cs="Times New Roman"/>
                <w:kern w:val="2"/>
                <w:sz w:val="21"/>
                <w:szCs w:val="21"/>
                <w:lang w:val="en-US" w:eastAsia="zh-CN" w:bidi="ar-SA"/>
              </w:rPr>
              <w:t>北</w:t>
            </w:r>
          </w:p>
        </w:tc>
        <w:tc>
          <w:tcPr>
            <w:tcW w:w="920" w:type="pct"/>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rPr>
                <w:rFonts w:hint="default"/>
                <w:color w:val="000000"/>
                <w:lang w:val="en-US"/>
              </w:rPr>
            </w:pPr>
            <w:r>
              <w:rPr>
                <w:rFonts w:hint="eastAsia"/>
                <w:lang w:val="en-US" w:eastAsia="zh-CN"/>
              </w:rPr>
              <w:t>120</w:t>
            </w:r>
          </w:p>
        </w:tc>
        <w:tc>
          <w:tcPr>
            <w:tcW w:w="1801"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8"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color w:val="000000"/>
              </w:rPr>
            </w:pPr>
            <w:r>
              <w:rPr>
                <w:rFonts w:hint="default"/>
                <w:color w:val="000000"/>
              </w:rPr>
              <w:t>地表水</w:t>
            </w:r>
          </w:p>
        </w:tc>
        <w:tc>
          <w:tcPr>
            <w:tcW w:w="1027"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eastAsia" w:eastAsia="宋体"/>
                <w:color w:val="000000"/>
                <w:highlight w:val="none"/>
                <w:lang w:eastAsia="zh-CN"/>
              </w:rPr>
            </w:pPr>
            <w:r>
              <w:rPr>
                <w:rFonts w:hint="eastAsia"/>
                <w:color w:val="000000"/>
                <w:highlight w:val="none"/>
                <w:lang w:eastAsia="zh-CN"/>
              </w:rPr>
              <w:t>柳河</w:t>
            </w:r>
          </w:p>
        </w:tc>
        <w:tc>
          <w:tcPr>
            <w:tcW w:w="662"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eastAsia" w:eastAsia="宋体"/>
                <w:color w:val="000000"/>
                <w:highlight w:val="none"/>
                <w:lang w:eastAsia="zh-CN"/>
              </w:rPr>
            </w:pPr>
            <w:r>
              <w:rPr>
                <w:rFonts w:hint="eastAsia"/>
                <w:color w:val="000000"/>
                <w:highlight w:val="none"/>
                <w:lang w:val="en-US" w:eastAsia="zh-CN"/>
              </w:rPr>
              <w:t>/</w:t>
            </w:r>
          </w:p>
        </w:tc>
        <w:tc>
          <w:tcPr>
            <w:tcW w:w="920" w:type="pct"/>
            <w:shd w:val="clear" w:color="auto" w:fill="auto"/>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eastAsia="宋体"/>
                <w:color w:val="000000"/>
                <w:highlight w:val="yellow"/>
                <w:lang w:val="en-US" w:eastAsia="zh-CN"/>
              </w:rPr>
            </w:pPr>
            <w:r>
              <w:rPr>
                <w:rFonts w:hint="eastAsia"/>
                <w:color w:val="000000"/>
                <w:highlight w:val="none"/>
                <w:lang w:val="en-US" w:eastAsia="zh-CN"/>
              </w:rPr>
              <w:t>/</w:t>
            </w:r>
          </w:p>
        </w:tc>
        <w:tc>
          <w:tcPr>
            <w:tcW w:w="1801"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color w:val="000000"/>
              </w:rPr>
            </w:pPr>
            <w:r>
              <w:rPr>
                <w:rFonts w:hint="default"/>
                <w:color w:val="000000"/>
              </w:rPr>
              <w:t>《地表水环境质量标准》（GB3838-2002）中的</w:t>
            </w:r>
            <w:r>
              <w:rPr>
                <w:rFonts w:hint="eastAsia"/>
                <w:color w:val="000000" w:themeColor="text1"/>
                <w:sz w:val="21"/>
                <w:szCs w:val="21"/>
                <w14:textFill>
                  <w14:solidFill>
                    <w14:schemeClr w14:val="tx1"/>
                  </w14:solidFill>
                </w14:textFill>
              </w:rPr>
              <w:t>III</w:t>
            </w:r>
            <w:r>
              <w:rPr>
                <w:rFonts w:hint="default"/>
                <w:color w:val="000000"/>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8"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color w:val="000000"/>
              </w:rPr>
            </w:pPr>
            <w:r>
              <w:rPr>
                <w:rFonts w:hint="default"/>
                <w:color w:val="000000"/>
              </w:rPr>
              <w:t>地下水</w:t>
            </w:r>
          </w:p>
        </w:tc>
        <w:tc>
          <w:tcPr>
            <w:tcW w:w="1027"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color w:val="000000"/>
              </w:rPr>
            </w:pPr>
            <w:r>
              <w:rPr>
                <w:rFonts w:hint="eastAsia"/>
                <w:color w:val="000000"/>
              </w:rPr>
              <w:t>以项目拟治理修复河流流向为主要水流方向，其地下水径流下游方向的潜水含水层、居民饮用水井等</w:t>
            </w:r>
          </w:p>
        </w:tc>
        <w:tc>
          <w:tcPr>
            <w:tcW w:w="662"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color w:val="000000"/>
              </w:rPr>
            </w:pPr>
            <w:r>
              <w:rPr>
                <w:rFonts w:hint="eastAsia"/>
                <w:color w:val="000000"/>
              </w:rPr>
              <w:t>/</w:t>
            </w:r>
          </w:p>
        </w:tc>
        <w:tc>
          <w:tcPr>
            <w:tcW w:w="920"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color w:val="000000"/>
              </w:rPr>
            </w:pPr>
            <w:r>
              <w:rPr>
                <w:rFonts w:hint="eastAsia"/>
                <w:color w:val="000000"/>
              </w:rPr>
              <w:t>/</w:t>
            </w:r>
          </w:p>
        </w:tc>
        <w:tc>
          <w:tcPr>
            <w:tcW w:w="1801"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color w:val="000000"/>
              </w:rPr>
            </w:pPr>
            <w:r>
              <w:rPr>
                <w:rFonts w:hint="default"/>
                <w:color w:val="000000"/>
              </w:rPr>
              <w:t>《地下水质量标准》（GB/T14848-</w:t>
            </w:r>
            <w:r>
              <w:rPr>
                <w:rFonts w:hint="eastAsia"/>
                <w:color w:val="000000"/>
              </w:rPr>
              <w:t>2017</w:t>
            </w:r>
            <w:r>
              <w:rPr>
                <w:rFonts w:hint="default"/>
                <w:color w:val="000000"/>
              </w:rPr>
              <w:t>）中的III类标准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8" w:type="pct"/>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color w:val="000000"/>
              </w:rPr>
            </w:pPr>
            <w:bookmarkStart w:id="203" w:name="_Toc470785828"/>
            <w:r>
              <w:rPr>
                <w:rFonts w:hint="default"/>
                <w:color w:val="000000"/>
              </w:rPr>
              <w:t>生态环境</w:t>
            </w:r>
          </w:p>
        </w:tc>
        <w:tc>
          <w:tcPr>
            <w:tcW w:w="1027" w:type="pct"/>
            <w:vAlign w:val="center"/>
          </w:tcPr>
          <w:p>
            <w:pPr>
              <w:keepNext w:val="0"/>
              <w:keepLines w:val="0"/>
              <w:suppressLineNumbers w:val="0"/>
              <w:topLinePunct/>
              <w:spacing w:before="0" w:beforeAutospacing="0" w:after="0" w:afterAutospacing="0" w:line="240" w:lineRule="auto"/>
              <w:ind w:left="0" w:right="0" w:firstLine="0" w:firstLineChars="0"/>
              <w:jc w:val="center"/>
              <w:rPr>
                <w:rFonts w:hint="eastAsia" w:eastAsia="宋体"/>
                <w:color w:val="000000"/>
                <w:sz w:val="21"/>
                <w:szCs w:val="21"/>
                <w:highlight w:val="none"/>
                <w:lang w:val="en-US" w:eastAsia="zh-CN"/>
              </w:rPr>
            </w:pPr>
            <w:r>
              <w:rPr>
                <w:rFonts w:hint="eastAsia"/>
                <w:sz w:val="21"/>
                <w:szCs w:val="21"/>
              </w:rPr>
              <w:t>项目</w:t>
            </w:r>
            <w:r>
              <w:rPr>
                <w:rFonts w:hint="eastAsia"/>
                <w:sz w:val="21"/>
                <w:szCs w:val="21"/>
                <w:lang w:eastAsia="zh-CN"/>
              </w:rPr>
              <w:t>施工河道范围、</w:t>
            </w:r>
            <w:r>
              <w:rPr>
                <w:rFonts w:hint="default" w:ascii="Times New Roman" w:hAnsi="Times New Roman" w:eastAsia="宋体" w:cs="Times New Roman"/>
                <w:b w:val="0"/>
                <w:bCs w:val="0"/>
                <w:snapToGrid w:val="0"/>
                <w:color w:val="000000"/>
                <w:sz w:val="21"/>
                <w:szCs w:val="21"/>
                <w:highlight w:val="none"/>
                <w:lang w:val="en-US" w:eastAsia="zh-CN"/>
              </w:rPr>
              <w:t>生态保护红线</w:t>
            </w:r>
          </w:p>
        </w:tc>
        <w:tc>
          <w:tcPr>
            <w:tcW w:w="662" w:type="pct"/>
            <w:vAlign w:val="center"/>
          </w:tcPr>
          <w:p>
            <w:pPr>
              <w:keepNext w:val="0"/>
              <w:keepLines w:val="0"/>
              <w:suppressLineNumbers w:val="0"/>
              <w:topLinePunct/>
              <w:spacing w:before="0" w:beforeAutospacing="0" w:after="0" w:afterAutospacing="0" w:line="240" w:lineRule="auto"/>
              <w:ind w:left="0" w:right="0" w:firstLine="420"/>
              <w:jc w:val="center"/>
              <w:rPr>
                <w:rFonts w:hint="default"/>
                <w:sz w:val="21"/>
                <w:szCs w:val="21"/>
                <w:highlight w:val="none"/>
              </w:rPr>
            </w:pPr>
            <w:r>
              <w:rPr>
                <w:rFonts w:hint="default"/>
                <w:sz w:val="21"/>
                <w:szCs w:val="21"/>
                <w:highlight w:val="none"/>
              </w:rPr>
              <w:t>—</w:t>
            </w:r>
          </w:p>
        </w:tc>
        <w:tc>
          <w:tcPr>
            <w:tcW w:w="920" w:type="pct"/>
            <w:vAlign w:val="center"/>
          </w:tcPr>
          <w:p>
            <w:pPr>
              <w:keepNext w:val="0"/>
              <w:keepLines w:val="0"/>
              <w:suppressLineNumbers w:val="0"/>
              <w:topLinePunct/>
              <w:spacing w:before="0" w:beforeAutospacing="0" w:after="0" w:afterAutospacing="0" w:line="240" w:lineRule="auto"/>
              <w:ind w:left="0" w:leftChars="0" w:right="0" w:firstLine="0" w:firstLineChars="0"/>
              <w:jc w:val="center"/>
              <w:rPr>
                <w:rFonts w:hint="eastAsia" w:eastAsia="宋体"/>
                <w:sz w:val="21"/>
                <w:szCs w:val="21"/>
                <w:highlight w:val="none"/>
                <w:lang w:eastAsia="zh-CN"/>
              </w:rPr>
            </w:pPr>
            <w:r>
              <w:rPr>
                <w:rFonts w:hint="default"/>
                <w:sz w:val="21"/>
                <w:szCs w:val="21"/>
                <w:highlight w:val="none"/>
              </w:rPr>
              <w:t>治理河道的水域范围</w:t>
            </w:r>
            <w:r>
              <w:rPr>
                <w:rFonts w:hint="eastAsia"/>
                <w:sz w:val="21"/>
                <w:szCs w:val="21"/>
                <w:highlight w:val="none"/>
                <w:lang w:eastAsia="zh-CN"/>
              </w:rPr>
              <w:t>，外扩至</w:t>
            </w:r>
            <w:r>
              <w:rPr>
                <w:rFonts w:hint="default"/>
                <w:sz w:val="21"/>
                <w:szCs w:val="21"/>
                <w:highlight w:val="none"/>
              </w:rPr>
              <w:t>河道两侧最近山脊线范围内</w:t>
            </w:r>
          </w:p>
        </w:tc>
        <w:tc>
          <w:tcPr>
            <w:tcW w:w="1801" w:type="pct"/>
            <w:vAlign w:val="center"/>
          </w:tcPr>
          <w:p>
            <w:pPr>
              <w:keepNext w:val="0"/>
              <w:keepLines w:val="0"/>
              <w:suppressLineNumbers w:val="0"/>
              <w:topLinePunct/>
              <w:spacing w:before="0" w:beforeAutospacing="0" w:after="0" w:afterAutospacing="0" w:line="240" w:lineRule="auto"/>
              <w:ind w:left="0" w:right="0" w:firstLine="420"/>
              <w:jc w:val="center"/>
              <w:rPr>
                <w:rFonts w:hint="default"/>
                <w:sz w:val="21"/>
                <w:szCs w:val="21"/>
                <w:highlight w:val="none"/>
              </w:rPr>
            </w:pPr>
            <w:r>
              <w:rPr>
                <w:rFonts w:hint="default" w:ascii="Times New Roman" w:hAnsi="Times New Roman" w:eastAsia="宋体" w:cs="Times New Roman"/>
                <w:b w:val="0"/>
                <w:bCs w:val="0"/>
                <w:color w:val="000000"/>
                <w:sz w:val="21"/>
                <w:szCs w:val="21"/>
                <w:highlight w:val="none"/>
              </w:rPr>
              <w:t>水土流失得到防控、植被及时恢复</w:t>
            </w:r>
            <w:r>
              <w:rPr>
                <w:rFonts w:hint="default" w:ascii="Times New Roman" w:hAnsi="Times New Roman" w:eastAsia="宋体" w:cs="Times New Roman"/>
                <w:b w:val="0"/>
                <w:bCs w:val="0"/>
                <w:color w:val="000000"/>
                <w:sz w:val="21"/>
                <w:szCs w:val="21"/>
                <w:highlight w:val="none"/>
                <w:lang w:eastAsia="zh-CN"/>
              </w:rPr>
              <w:t>，</w:t>
            </w:r>
            <w:r>
              <w:rPr>
                <w:rFonts w:hint="default" w:ascii="Times New Roman" w:hAnsi="Times New Roman" w:eastAsia="宋体" w:cs="Times New Roman"/>
                <w:b w:val="0"/>
                <w:bCs w:val="0"/>
                <w:color w:val="000000"/>
                <w:sz w:val="21"/>
                <w:szCs w:val="21"/>
                <w:highlight w:val="none"/>
              </w:rPr>
              <w:t>保护生态环境</w:t>
            </w:r>
          </w:p>
        </w:tc>
      </w:tr>
    </w:tbl>
    <w:p>
      <w:pPr>
        <w:pStyle w:val="5"/>
        <w:bidi w:val="0"/>
        <w:rPr>
          <w:rFonts w:hint="eastAsia"/>
        </w:rPr>
      </w:pPr>
      <w:bookmarkStart w:id="204" w:name="_Toc15"/>
      <w:r>
        <w:t>2.8</w:t>
      </w:r>
      <w:r>
        <w:rPr>
          <w:rFonts w:hint="eastAsia"/>
        </w:rPr>
        <w:t>环境影响评价标准</w:t>
      </w:r>
      <w:bookmarkEnd w:id="185"/>
      <w:bookmarkEnd w:id="186"/>
      <w:bookmarkEnd w:id="187"/>
      <w:bookmarkEnd w:id="188"/>
      <w:bookmarkEnd w:id="189"/>
      <w:bookmarkEnd w:id="190"/>
      <w:bookmarkEnd w:id="191"/>
      <w:bookmarkEnd w:id="192"/>
      <w:bookmarkEnd w:id="193"/>
      <w:bookmarkEnd w:id="194"/>
      <w:bookmarkEnd w:id="203"/>
      <w:r>
        <w:rPr>
          <w:rFonts w:hint="eastAsia"/>
        </w:rPr>
        <w:t>的确定</w:t>
      </w:r>
      <w:bookmarkEnd w:id="204"/>
    </w:p>
    <w:p>
      <w:pPr>
        <w:pStyle w:val="6"/>
        <w:bidi w:val="0"/>
      </w:pPr>
      <w:bookmarkStart w:id="205" w:name="_Toc282946132"/>
      <w:bookmarkStart w:id="206" w:name="_Toc324769741"/>
      <w:bookmarkStart w:id="207" w:name="_Toc324770203"/>
      <w:bookmarkStart w:id="208" w:name="_Toc470785829"/>
      <w:bookmarkStart w:id="209" w:name="_Toc332632550"/>
      <w:bookmarkStart w:id="210" w:name="_Toc282959702"/>
      <w:bookmarkStart w:id="211" w:name="_Toc326754955"/>
      <w:bookmarkStart w:id="212" w:name="_Toc326754812"/>
      <w:bookmarkStart w:id="213" w:name="_Toc324768945"/>
      <w:bookmarkStart w:id="214" w:name="_Toc286934642"/>
      <w:bookmarkStart w:id="215" w:name="_Toc286835707"/>
      <w:bookmarkStart w:id="216" w:name="_Toc283110177"/>
      <w:bookmarkStart w:id="217" w:name="_Toc2484"/>
      <w:r>
        <w:t>2.8.1 环境质量标准</w:t>
      </w:r>
      <w:bookmarkEnd w:id="205"/>
      <w:bookmarkEnd w:id="206"/>
      <w:bookmarkEnd w:id="207"/>
      <w:bookmarkEnd w:id="208"/>
      <w:bookmarkEnd w:id="209"/>
      <w:bookmarkEnd w:id="210"/>
      <w:bookmarkEnd w:id="211"/>
      <w:bookmarkEnd w:id="212"/>
      <w:bookmarkEnd w:id="213"/>
      <w:bookmarkEnd w:id="214"/>
      <w:bookmarkEnd w:id="215"/>
      <w:bookmarkEnd w:id="216"/>
      <w:r>
        <w:t>的确定</w:t>
      </w:r>
      <w:bookmarkEnd w:id="217"/>
    </w:p>
    <w:p>
      <w:pPr>
        <w:bidi w:val="0"/>
      </w:pPr>
      <w:r>
        <w:t>环境空气质量执行《环境空气质量标准》（GB3095-2012）及其修改单中的二级标准，详见下表。</w:t>
      </w:r>
    </w:p>
    <w:p>
      <w:pPr>
        <w:pStyle w:val="144"/>
        <w:tabs>
          <w:tab w:val="left" w:pos="420"/>
        </w:tabs>
        <w:ind w:firstLine="0" w:firstLineChars="0"/>
        <w:jc w:val="center"/>
        <w:rPr>
          <w:b/>
          <w:bCs/>
          <w:sz w:val="21"/>
          <w:szCs w:val="16"/>
        </w:rPr>
      </w:pPr>
      <w:r>
        <w:rPr>
          <w:rFonts w:hint="eastAsia"/>
          <w:b/>
          <w:bCs/>
          <w:sz w:val="21"/>
          <w:szCs w:val="16"/>
        </w:rPr>
        <w:t>表2</w:t>
      </w:r>
      <w:r>
        <w:rPr>
          <w:rFonts w:hint="eastAsia"/>
          <w:b/>
          <w:bCs/>
          <w:sz w:val="21"/>
          <w:szCs w:val="16"/>
          <w:lang w:val="en-US" w:eastAsia="zh-CN"/>
        </w:rPr>
        <w:t>.8-1</w:t>
      </w:r>
      <w:r>
        <w:rPr>
          <w:b/>
          <w:bCs/>
          <w:sz w:val="21"/>
          <w:szCs w:val="16"/>
        </w:rPr>
        <w:t xml:space="preserve"> </w:t>
      </w:r>
      <w:r>
        <w:rPr>
          <w:rFonts w:hint="eastAsia"/>
          <w:b/>
          <w:bCs/>
          <w:sz w:val="21"/>
          <w:szCs w:val="16"/>
          <w:lang w:val="en-US" w:eastAsia="zh-CN"/>
        </w:rPr>
        <w:t xml:space="preserve"> </w:t>
      </w:r>
      <w:r>
        <w:rPr>
          <w:b/>
          <w:bCs/>
          <w:sz w:val="21"/>
          <w:szCs w:val="16"/>
        </w:rPr>
        <w:t>环境空气质量标准一览表</w:t>
      </w:r>
    </w:p>
    <w:tbl>
      <w:tblPr>
        <w:tblStyle w:val="39"/>
        <w:tblW w:w="87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8"/>
        <w:gridCol w:w="890"/>
        <w:gridCol w:w="1890"/>
        <w:gridCol w:w="1392"/>
        <w:gridCol w:w="883"/>
        <w:gridCol w:w="259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tblHeader/>
          <w:jc w:val="center"/>
        </w:trPr>
        <w:tc>
          <w:tcPr>
            <w:tcW w:w="1068"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b/>
                <w:bCs/>
                <w:szCs w:val="21"/>
              </w:rPr>
            </w:pPr>
            <w:r>
              <w:rPr>
                <w:rFonts w:hint="default" w:ascii="Times New Roman" w:hAnsi="Times New Roman" w:cs="Times New Roman"/>
                <w:b/>
                <w:bCs/>
                <w:szCs w:val="21"/>
              </w:rPr>
              <w:t>环境</w:t>
            </w:r>
          </w:p>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b/>
                <w:bCs/>
                <w:szCs w:val="21"/>
              </w:rPr>
            </w:pPr>
            <w:r>
              <w:rPr>
                <w:rFonts w:hint="default" w:ascii="Times New Roman" w:hAnsi="Times New Roman" w:cs="Times New Roman"/>
                <w:b/>
                <w:bCs/>
                <w:szCs w:val="21"/>
              </w:rPr>
              <w:t>要素</w:t>
            </w:r>
          </w:p>
        </w:tc>
        <w:tc>
          <w:tcPr>
            <w:tcW w:w="2780" w:type="dxa"/>
            <w:gridSpan w:val="2"/>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b/>
                <w:bCs/>
                <w:szCs w:val="21"/>
              </w:rPr>
            </w:pPr>
            <w:r>
              <w:rPr>
                <w:rFonts w:hint="default" w:ascii="Times New Roman" w:hAnsi="Times New Roman" w:cs="Times New Roman"/>
                <w:b/>
                <w:bCs/>
                <w:szCs w:val="21"/>
              </w:rPr>
              <w:t>污染物名称</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b/>
                <w:bCs/>
                <w:szCs w:val="21"/>
              </w:rPr>
            </w:pPr>
            <w:r>
              <w:rPr>
                <w:rFonts w:hint="default" w:ascii="Times New Roman" w:hAnsi="Times New Roman" w:cs="Times New Roman"/>
                <w:b/>
                <w:bCs/>
                <w:szCs w:val="21"/>
              </w:rPr>
              <w:t>标准值</w:t>
            </w:r>
          </w:p>
        </w:tc>
        <w:tc>
          <w:tcPr>
            <w:tcW w:w="883"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b/>
                <w:bCs/>
                <w:szCs w:val="21"/>
              </w:rPr>
            </w:pPr>
            <w:r>
              <w:rPr>
                <w:rFonts w:hint="default" w:ascii="Times New Roman" w:hAnsi="Times New Roman" w:cs="Times New Roman"/>
                <w:b/>
                <w:bCs/>
                <w:szCs w:val="21"/>
              </w:rPr>
              <w:t>单位</w:t>
            </w:r>
          </w:p>
        </w:tc>
        <w:tc>
          <w:tcPr>
            <w:tcW w:w="2597"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b/>
                <w:bCs/>
                <w:szCs w:val="21"/>
              </w:rPr>
            </w:pPr>
            <w:r>
              <w:rPr>
                <w:rFonts w:hint="default" w:ascii="Times New Roman" w:hAnsi="Times New Roman" w:cs="Times New Roman"/>
                <w:b/>
                <w:bCs/>
                <w:szCs w:val="21"/>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restart"/>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大</w:t>
            </w:r>
          </w:p>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气</w:t>
            </w:r>
          </w:p>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环</w:t>
            </w:r>
          </w:p>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境</w:t>
            </w:r>
          </w:p>
        </w:tc>
        <w:tc>
          <w:tcPr>
            <w:tcW w:w="890" w:type="dxa"/>
            <w:vMerge w:val="restart"/>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SO</w:t>
            </w:r>
            <w:r>
              <w:rPr>
                <w:rFonts w:hint="default" w:ascii="Times New Roman" w:hAnsi="Times New Roman" w:cs="Times New Roman"/>
                <w:szCs w:val="21"/>
                <w:vertAlign w:val="subscript"/>
              </w:rPr>
              <w:t>2</w:t>
            </w: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年平均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60</w:t>
            </w:r>
          </w:p>
        </w:tc>
        <w:tc>
          <w:tcPr>
            <w:tcW w:w="883" w:type="dxa"/>
            <w:vMerge w:val="restart"/>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μg/m</w:t>
            </w:r>
            <w:r>
              <w:rPr>
                <w:rFonts w:hint="default" w:ascii="Times New Roman" w:hAnsi="Times New Roman" w:cs="Times New Roman"/>
                <w:szCs w:val="21"/>
                <w:vertAlign w:val="superscript"/>
              </w:rPr>
              <w:t>3</w:t>
            </w:r>
          </w:p>
        </w:tc>
        <w:tc>
          <w:tcPr>
            <w:tcW w:w="2597" w:type="dxa"/>
            <w:vMerge w:val="restart"/>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《环境空气质量标准》（GB3095-2012）及其修改单中的二级标准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24小时平均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150</w:t>
            </w:r>
          </w:p>
        </w:tc>
        <w:tc>
          <w:tcPr>
            <w:tcW w:w="883"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1小时平均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500</w:t>
            </w:r>
          </w:p>
        </w:tc>
        <w:tc>
          <w:tcPr>
            <w:tcW w:w="883"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restart"/>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NO</w:t>
            </w:r>
            <w:r>
              <w:rPr>
                <w:rFonts w:hint="default" w:ascii="Times New Roman" w:hAnsi="Times New Roman" w:cs="Times New Roman"/>
                <w:szCs w:val="21"/>
                <w:vertAlign w:val="subscript"/>
              </w:rPr>
              <w:t>2</w:t>
            </w: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年平均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40</w:t>
            </w:r>
          </w:p>
        </w:tc>
        <w:tc>
          <w:tcPr>
            <w:tcW w:w="883"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24小时平均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80</w:t>
            </w:r>
          </w:p>
        </w:tc>
        <w:tc>
          <w:tcPr>
            <w:tcW w:w="883"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1小时平均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200</w:t>
            </w:r>
          </w:p>
        </w:tc>
        <w:tc>
          <w:tcPr>
            <w:tcW w:w="883"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restart"/>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CO</w:t>
            </w: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24小时平均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4</w:t>
            </w:r>
          </w:p>
        </w:tc>
        <w:tc>
          <w:tcPr>
            <w:tcW w:w="883" w:type="dxa"/>
            <w:vMerge w:val="restart"/>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mg/m</w:t>
            </w:r>
            <w:r>
              <w:rPr>
                <w:rFonts w:hint="default" w:ascii="Times New Roman" w:hAnsi="Times New Roman" w:cs="Times New Roman"/>
                <w:szCs w:val="21"/>
                <w:vertAlign w:val="superscript"/>
              </w:rPr>
              <w:t>3</w:t>
            </w: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1小时平均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10</w:t>
            </w:r>
          </w:p>
        </w:tc>
        <w:tc>
          <w:tcPr>
            <w:tcW w:w="883"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restart"/>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O</w:t>
            </w:r>
            <w:r>
              <w:rPr>
                <w:rFonts w:hint="default" w:ascii="Times New Roman" w:hAnsi="Times New Roman" w:cs="Times New Roman"/>
                <w:szCs w:val="21"/>
                <w:vertAlign w:val="subscript"/>
              </w:rPr>
              <w:t>3</w:t>
            </w: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日最大8小时平均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160</w:t>
            </w:r>
          </w:p>
        </w:tc>
        <w:tc>
          <w:tcPr>
            <w:tcW w:w="883" w:type="dxa"/>
            <w:vMerge w:val="restart"/>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μg/m</w:t>
            </w:r>
            <w:r>
              <w:rPr>
                <w:rFonts w:hint="default" w:ascii="Times New Roman" w:hAnsi="Times New Roman" w:cs="Times New Roman"/>
                <w:szCs w:val="21"/>
                <w:vertAlign w:val="superscript"/>
              </w:rPr>
              <w:t>3</w:t>
            </w: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1小时平均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200</w:t>
            </w:r>
          </w:p>
        </w:tc>
        <w:tc>
          <w:tcPr>
            <w:tcW w:w="883"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restart"/>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TSP</w:t>
            </w: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年平均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200</w:t>
            </w:r>
          </w:p>
        </w:tc>
        <w:tc>
          <w:tcPr>
            <w:tcW w:w="883"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24小时平均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300</w:t>
            </w:r>
          </w:p>
        </w:tc>
        <w:tc>
          <w:tcPr>
            <w:tcW w:w="883"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restart"/>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10</w:t>
            </w: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年平均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70</w:t>
            </w:r>
          </w:p>
        </w:tc>
        <w:tc>
          <w:tcPr>
            <w:tcW w:w="883"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continue"/>
            <w:tcBorders>
              <w:bottom w:val="single" w:color="auto" w:sz="4" w:space="0"/>
            </w:tcBorders>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1890" w:type="dxa"/>
            <w:tcBorders>
              <w:bottom w:val="single" w:color="auto" w:sz="4" w:space="0"/>
            </w:tcBorders>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24小时平均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150</w:t>
            </w:r>
          </w:p>
        </w:tc>
        <w:tc>
          <w:tcPr>
            <w:tcW w:w="883"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restart"/>
            <w:tcBorders>
              <w:top w:val="single" w:color="auto" w:sz="4" w:space="0"/>
            </w:tcBorders>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2.5</w:t>
            </w:r>
          </w:p>
        </w:tc>
        <w:tc>
          <w:tcPr>
            <w:tcW w:w="1890" w:type="dxa"/>
            <w:tcBorders>
              <w:top w:val="single" w:color="auto" w:sz="4" w:space="0"/>
            </w:tcBorders>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年平均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35</w:t>
            </w:r>
          </w:p>
        </w:tc>
        <w:tc>
          <w:tcPr>
            <w:tcW w:w="883"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8"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890"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1890"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24小时平均</w:t>
            </w:r>
          </w:p>
        </w:tc>
        <w:tc>
          <w:tcPr>
            <w:tcW w:w="1392" w:type="dxa"/>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r>
              <w:rPr>
                <w:rFonts w:hint="default" w:ascii="Times New Roman" w:hAnsi="Times New Roman" w:cs="Times New Roman"/>
                <w:szCs w:val="21"/>
              </w:rPr>
              <w:t>75</w:t>
            </w:r>
          </w:p>
        </w:tc>
        <w:tc>
          <w:tcPr>
            <w:tcW w:w="883"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c>
          <w:tcPr>
            <w:tcW w:w="2597" w:type="dxa"/>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line="300" w:lineRule="exact"/>
              <w:ind w:left="0" w:right="0"/>
              <w:rPr>
                <w:rFonts w:hint="default" w:ascii="Times New Roman" w:hAnsi="Times New Roman" w:cs="Times New Roman"/>
                <w:szCs w:val="21"/>
              </w:rPr>
            </w:pPr>
          </w:p>
        </w:tc>
      </w:tr>
    </w:tbl>
    <w:p>
      <w:pPr>
        <w:snapToGrid/>
        <w:spacing w:before="163" w:beforeLines="50"/>
        <w:ind w:firstLine="540"/>
        <w:rPr>
          <w:szCs w:val="24"/>
        </w:rPr>
      </w:pPr>
      <w:bookmarkStart w:id="218" w:name="_Toc282959703"/>
      <w:bookmarkStart w:id="219" w:name="_Toc324768946"/>
      <w:bookmarkStart w:id="220" w:name="_Toc324769742"/>
      <w:bookmarkStart w:id="221" w:name="_Toc470785830"/>
      <w:bookmarkStart w:id="222" w:name="_Toc286934643"/>
      <w:bookmarkStart w:id="223" w:name="_Toc326754813"/>
      <w:bookmarkStart w:id="224" w:name="_Toc326754956"/>
      <w:bookmarkStart w:id="225" w:name="_Toc332632551"/>
      <w:bookmarkStart w:id="226" w:name="_Toc283110178"/>
      <w:bookmarkStart w:id="227" w:name="_Toc282946133"/>
      <w:bookmarkStart w:id="228" w:name="_Toc286835708"/>
      <w:bookmarkStart w:id="229" w:name="_Toc324770204"/>
      <w:r>
        <w:rPr>
          <w:szCs w:val="24"/>
        </w:rPr>
        <w:t>（2）地表水环境质量执行《地表水环境质量标准》（GB3838-2002）中的III类标准，详见下表。</w:t>
      </w:r>
    </w:p>
    <w:p>
      <w:pPr>
        <w:pStyle w:val="144"/>
        <w:tabs>
          <w:tab w:val="left" w:pos="420"/>
        </w:tabs>
        <w:ind w:firstLine="0" w:firstLineChars="0"/>
        <w:jc w:val="center"/>
        <w:rPr>
          <w:rFonts w:hint="eastAsia"/>
          <w:b/>
          <w:bCs/>
          <w:sz w:val="21"/>
          <w:szCs w:val="16"/>
        </w:rPr>
      </w:pPr>
    </w:p>
    <w:p>
      <w:pPr>
        <w:pStyle w:val="144"/>
        <w:tabs>
          <w:tab w:val="left" w:pos="420"/>
        </w:tabs>
        <w:ind w:firstLine="0" w:firstLineChars="0"/>
        <w:jc w:val="center"/>
        <w:rPr>
          <w:b/>
          <w:bCs/>
          <w:sz w:val="21"/>
          <w:szCs w:val="16"/>
        </w:rPr>
      </w:pPr>
      <w:r>
        <w:rPr>
          <w:rFonts w:hint="eastAsia"/>
          <w:b/>
          <w:bCs/>
          <w:sz w:val="21"/>
          <w:szCs w:val="16"/>
        </w:rPr>
        <w:t>表2</w:t>
      </w:r>
      <w:r>
        <w:rPr>
          <w:rFonts w:hint="eastAsia"/>
          <w:b/>
          <w:bCs/>
          <w:sz w:val="21"/>
          <w:szCs w:val="16"/>
          <w:lang w:val="en-US" w:eastAsia="zh-CN"/>
        </w:rPr>
        <w:t>.8-2</w:t>
      </w:r>
      <w:r>
        <w:rPr>
          <w:b/>
          <w:bCs/>
          <w:sz w:val="21"/>
          <w:szCs w:val="16"/>
        </w:rPr>
        <w:t xml:space="preserve"> </w:t>
      </w:r>
      <w:r>
        <w:rPr>
          <w:rFonts w:hint="eastAsia"/>
          <w:b/>
          <w:bCs/>
          <w:sz w:val="21"/>
          <w:szCs w:val="16"/>
          <w:lang w:val="en-US" w:eastAsia="zh-CN"/>
        </w:rPr>
        <w:t xml:space="preserve"> </w:t>
      </w:r>
      <w:r>
        <w:rPr>
          <w:b/>
          <w:bCs/>
          <w:sz w:val="21"/>
          <w:szCs w:val="16"/>
        </w:rPr>
        <w:t>地表水质量标准一览表</w:t>
      </w:r>
    </w:p>
    <w:tbl>
      <w:tblPr>
        <w:tblStyle w:val="39"/>
        <w:tblW w:w="46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800"/>
        <w:gridCol w:w="2331"/>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 w:type="pct"/>
            <w:noWrap w:val="0"/>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类别</w:t>
            </w:r>
          </w:p>
        </w:tc>
        <w:tc>
          <w:tcPr>
            <w:tcW w:w="1591" w:type="pct"/>
            <w:noWrap w:val="0"/>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污染物名称</w:t>
            </w:r>
          </w:p>
        </w:tc>
        <w:tc>
          <w:tcPr>
            <w:tcW w:w="1324" w:type="pct"/>
            <w:noWrap w:val="0"/>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标准值</w:t>
            </w:r>
          </w:p>
        </w:tc>
        <w:tc>
          <w:tcPr>
            <w:tcW w:w="1664" w:type="pct"/>
            <w:noWrap w:val="0"/>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restart"/>
            <w:noWrap w:val="0"/>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地表水环境</w:t>
            </w: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bCs/>
                <w:szCs w:val="21"/>
              </w:rPr>
            </w:pPr>
            <w:r>
              <w:rPr>
                <w:rFonts w:hint="default" w:ascii="Times New Roman" w:hAnsi="Times New Roman" w:cs="Times New Roman"/>
              </w:rPr>
              <w:t>pH值（无量纲）</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bCs/>
                <w:szCs w:val="21"/>
              </w:rPr>
            </w:pPr>
            <w:r>
              <w:rPr>
                <w:rFonts w:hint="default" w:ascii="Times New Roman" w:hAnsi="Times New Roman" w:cs="Times New Roman"/>
              </w:rPr>
              <w:t>6-9</w:t>
            </w:r>
          </w:p>
        </w:tc>
        <w:tc>
          <w:tcPr>
            <w:tcW w:w="1664" w:type="pct"/>
            <w:vMerge w:val="restart"/>
            <w:noWrap w:val="0"/>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《地表水环境质量标准》（GB3838-2002）III类标准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溶解氧</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≥5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高锰酸盐指数</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≤6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化学需氧量（COD）</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≤20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五日生化需氧量（BOD</w:t>
            </w:r>
            <w:r>
              <w:rPr>
                <w:rFonts w:hint="default" w:ascii="Times New Roman" w:hAnsi="Times New Roman" w:cs="Times New Roman"/>
                <w:vertAlign w:val="subscript"/>
              </w:rPr>
              <w:t>5</w:t>
            </w:r>
            <w:r>
              <w:rPr>
                <w:rFonts w:hint="default" w:ascii="Times New Roman" w:hAnsi="Times New Roman" w:cs="Times New Roman"/>
              </w:rPr>
              <w:t>）</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≤4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氨氮（NH</w:t>
            </w:r>
            <w:r>
              <w:rPr>
                <w:rFonts w:hint="default" w:ascii="Times New Roman" w:hAnsi="Times New Roman" w:cs="Times New Roman"/>
                <w:vertAlign w:val="subscript"/>
              </w:rPr>
              <w:t>3</w:t>
            </w:r>
            <w:r>
              <w:rPr>
                <w:rFonts w:hint="default" w:ascii="Times New Roman" w:hAnsi="Times New Roman" w:cs="Times New Roman"/>
              </w:rPr>
              <w:t>-N）</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≤1.0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总磷（以P计）</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≤0.2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总氮</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≤1.0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铜</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≤1.0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锌</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≤1.0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氟化物</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≤1.0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硒</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≤0.01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砷</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≤0.05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汞</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≤0.0001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镉</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≤0.005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铬（六价）</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≤0.05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铅</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≤0.05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氰化物</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≤0.2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挥发酚</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≤0.005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石油类</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≤0.05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阴离子表面活性剂</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≤0.2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硫化物</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≤0.2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napToGrid/>
              <w:spacing w:before="0" w:beforeAutospacing="0" w:after="0" w:afterAutospacing="0" w:line="240" w:lineRule="auto"/>
              <w:ind w:left="0" w:right="0"/>
              <w:rPr>
                <w:rFonts w:hint="default" w:ascii="Times New Roman" w:hAnsi="Times New Roman" w:cs="Times New Roman"/>
                <w:snapToGrid w:val="0"/>
                <w:kern w:val="0"/>
                <w:szCs w:val="21"/>
              </w:rPr>
            </w:pPr>
            <w:r>
              <w:rPr>
                <w:rFonts w:hint="default" w:ascii="Times New Roman" w:hAnsi="Times New Roman" w:cs="Times New Roman"/>
              </w:rPr>
              <w:t>粪大肠杆菌数</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≤10000个/L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硫酸盐</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250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氯化物</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250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硝酸盐</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10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铁</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0.3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topLinePunct/>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napToGrid w:val="0"/>
                <w:kern w:val="0"/>
                <w:sz w:val="21"/>
                <w:szCs w:val="21"/>
              </w:rPr>
            </w:pPr>
          </w:p>
        </w:tc>
        <w:tc>
          <w:tcPr>
            <w:tcW w:w="1591"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锰</w:t>
            </w:r>
          </w:p>
        </w:tc>
        <w:tc>
          <w:tcPr>
            <w:tcW w:w="1324"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napToGrid w:val="0"/>
                <w:kern w:val="0"/>
                <w:szCs w:val="21"/>
              </w:rPr>
            </w:pPr>
            <w:r>
              <w:rPr>
                <w:rFonts w:hint="default" w:ascii="Times New Roman" w:hAnsi="Times New Roman" w:cs="Times New Roman"/>
              </w:rPr>
              <w:t>0.1 mg/L</w:t>
            </w:r>
          </w:p>
        </w:tc>
        <w:tc>
          <w:tcPr>
            <w:tcW w:w="1664" w:type="pct"/>
            <w:vMerge w:val="continue"/>
            <w:noWrap w:val="0"/>
            <w:vAlign w:val="center"/>
          </w:tcPr>
          <w:p>
            <w:pPr>
              <w:keepNext w:val="0"/>
              <w:keepLines w:val="0"/>
              <w:suppressLineNumbers w:val="0"/>
              <w:spacing w:before="0" w:beforeAutospacing="0" w:after="0" w:afterAutospacing="0" w:line="0" w:lineRule="atLeast"/>
              <w:ind w:left="0" w:right="0" w:firstLine="512" w:firstLineChars="0"/>
              <w:jc w:val="center"/>
              <w:rPr>
                <w:rFonts w:hint="default" w:ascii="Times New Roman" w:hAnsi="Times New Roman" w:cs="Times New Roman"/>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74" w:beforeLines="50"/>
        <w:textAlignment w:val="auto"/>
      </w:pPr>
      <w:r>
        <w:t>（3）地下水环境质量执行《地下水质量标准》（GB/T14848-2017）</w:t>
      </w:r>
      <w:r>
        <w:rPr>
          <w:rFonts w:hint="eastAsia"/>
        </w:rPr>
        <w:t>III</w:t>
      </w:r>
      <w:r>
        <w:t>类标准，详见下表。</w:t>
      </w:r>
    </w:p>
    <w:p>
      <w:pPr>
        <w:pStyle w:val="144"/>
        <w:tabs>
          <w:tab w:val="left" w:pos="420"/>
        </w:tabs>
        <w:ind w:firstLine="0" w:firstLineChars="0"/>
        <w:jc w:val="center"/>
        <w:rPr>
          <w:b/>
          <w:bCs/>
          <w:sz w:val="21"/>
          <w:szCs w:val="16"/>
        </w:rPr>
      </w:pPr>
      <w:r>
        <w:rPr>
          <w:rFonts w:hint="eastAsia"/>
          <w:b/>
          <w:bCs/>
          <w:sz w:val="21"/>
          <w:szCs w:val="16"/>
        </w:rPr>
        <w:t>表2</w:t>
      </w:r>
      <w:r>
        <w:rPr>
          <w:rFonts w:hint="eastAsia"/>
          <w:b/>
          <w:bCs/>
          <w:sz w:val="21"/>
          <w:szCs w:val="16"/>
          <w:lang w:val="en-US" w:eastAsia="zh-CN"/>
        </w:rPr>
        <w:t>.8-3</w:t>
      </w:r>
      <w:r>
        <w:rPr>
          <w:b/>
          <w:bCs/>
          <w:sz w:val="21"/>
          <w:szCs w:val="16"/>
        </w:rPr>
        <w:t xml:space="preserve"> </w:t>
      </w:r>
      <w:r>
        <w:rPr>
          <w:rFonts w:hint="eastAsia"/>
          <w:b/>
          <w:bCs/>
          <w:sz w:val="21"/>
          <w:szCs w:val="16"/>
          <w:lang w:val="en-US" w:eastAsia="zh-CN"/>
        </w:rPr>
        <w:t xml:space="preserve"> </w:t>
      </w:r>
      <w:r>
        <w:rPr>
          <w:b/>
          <w:bCs/>
          <w:sz w:val="21"/>
          <w:szCs w:val="16"/>
        </w:rPr>
        <w:t>地下水质量标准一览表</w:t>
      </w:r>
    </w:p>
    <w:tbl>
      <w:tblPr>
        <w:tblStyle w:val="39"/>
        <w:tblW w:w="46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788"/>
        <w:gridCol w:w="2329"/>
        <w:gridCol w:w="2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2" w:type="pct"/>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类别</w:t>
            </w:r>
          </w:p>
        </w:tc>
        <w:tc>
          <w:tcPr>
            <w:tcW w:w="1577" w:type="pct"/>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指标</w:t>
            </w:r>
          </w:p>
        </w:tc>
        <w:tc>
          <w:tcPr>
            <w:tcW w:w="1317" w:type="pct"/>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标准值</w:t>
            </w:r>
          </w:p>
        </w:tc>
        <w:tc>
          <w:tcPr>
            <w:tcW w:w="1661" w:type="pct"/>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b/>
                <w:bCs/>
                <w:szCs w:val="21"/>
              </w:rPr>
            </w:pPr>
            <w:r>
              <w:rPr>
                <w:rFonts w:hint="default" w:ascii="Times New Roman" w:hAnsi="Times New Roman" w:cs="Times New Roman"/>
                <w:b/>
                <w:bCs/>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restart"/>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地下水</w:t>
            </w: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色度（铂钴色度单位）</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≤15</w:t>
            </w:r>
          </w:p>
        </w:tc>
        <w:tc>
          <w:tcPr>
            <w:tcW w:w="1661" w:type="pct"/>
            <w:vMerge w:val="restart"/>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《地下水质量标准》</w:t>
            </w:r>
          </w:p>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（GB/T14848-2017）</w:t>
            </w:r>
            <w:r>
              <w:rPr>
                <w:rFonts w:hint="eastAsia" w:ascii="Times New Roman" w:hAnsi="Times New Roman" w:cs="Times New Roman"/>
                <w:szCs w:val="21"/>
              </w:rPr>
              <w:t>III</w:t>
            </w:r>
            <w:r>
              <w:rPr>
                <w:rFonts w:hint="default" w:ascii="Times New Roman" w:hAnsi="Times New Roman" w:cs="Times New Roman"/>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嗅和味</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无</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浑浊度</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≤3</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肉眼可见物</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无</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pH值（无量纲）</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6.5-8.5</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总硬度（以CaCO</w:t>
            </w:r>
            <w:r>
              <w:rPr>
                <w:rFonts w:hint="default" w:ascii="Times New Roman" w:hAnsi="Times New Roman" w:cs="Times New Roman"/>
                <w:szCs w:val="21"/>
                <w:vertAlign w:val="subscript"/>
              </w:rPr>
              <w:t>3</w:t>
            </w:r>
            <w:r>
              <w:rPr>
                <w:rFonts w:hint="default" w:ascii="Times New Roman" w:hAnsi="Times New Roman" w:cs="Times New Roman"/>
                <w:szCs w:val="21"/>
              </w:rPr>
              <w:t>计）</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≤450mg/L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溶解性总固体</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≤1000mg/L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硫酸盐</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≤250mg/L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氯化物</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≤250mg/L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铁</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≤0.3mg/L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锰</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≤0.1mg/L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铜</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≤1mg/L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锌</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≤1mg/L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铝</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≤0.2mg/L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挥发性酚类</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≤0.002mg/L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阴离子表面活性剂</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≤0.3mg/L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耗氧量</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≤3mg/L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氨氮</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≤0.5mg/L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硫化物</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≤0.02mg/L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钠</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≤200mg/L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总大肠菌群</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≤3CFU/100mL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菌落总数</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≤100CFU/mL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亚硝酸盐（以N计）</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≤1mg/L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硝酸盐（以N计）</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≤20mg/L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氰化物</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≤0.05mg/L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氟化物</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≤1mg/L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碘化物</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≤0.08mg/L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汞</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≤0.001mg/L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砷</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≤0.01mg/L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硒</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≤0.01mg/L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镉</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≤0.005mg/L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六价铬</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≤0.05mg/L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pPr>
              <w:pStyle w:val="65"/>
              <w:keepNext w:val="0"/>
              <w:keepLines w:val="0"/>
              <w:framePr w:hSpace="0" w:wrap="auto" w:vAnchor="margin" w:hAnchor="text" w:xAlign="left" w:yAlign="inline"/>
              <w:suppressLineNumbers w:val="0"/>
              <w:spacing w:before="0" w:beforeAutospacing="0" w:after="0" w:afterAutospacing="0"/>
              <w:ind w:left="0" w:right="0"/>
              <w:rPr>
                <w:rFonts w:hint="default" w:ascii="Times New Roman" w:hAnsi="Times New Roman" w:cs="Times New Roman"/>
                <w:szCs w:val="21"/>
              </w:rPr>
            </w:pPr>
          </w:p>
        </w:tc>
        <w:tc>
          <w:tcPr>
            <w:tcW w:w="157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铅</w:t>
            </w:r>
          </w:p>
        </w:tc>
        <w:tc>
          <w:tcPr>
            <w:tcW w:w="1317" w:type="pct"/>
            <w:noWrap w:val="0"/>
            <w:vAlign w:val="center"/>
          </w:tcPr>
          <w:p>
            <w:pPr>
              <w:pStyle w:val="177"/>
              <w:keepNext w:val="0"/>
              <w:keepLines w:val="0"/>
              <w:suppressLineNumbers w:val="0"/>
              <w:snapToGrid/>
              <w:spacing w:before="0" w:beforeAutospacing="0" w:after="0" w:afterAutospacing="0"/>
              <w:ind w:left="0" w:right="0" w:firstLine="0" w:firstLineChars="0"/>
              <w:rPr>
                <w:rFonts w:hint="default" w:ascii="Times New Roman" w:hAnsi="Times New Roman" w:cs="Times New Roman"/>
                <w:szCs w:val="21"/>
              </w:rPr>
            </w:pPr>
            <w:r>
              <w:rPr>
                <w:rFonts w:hint="default" w:ascii="Times New Roman" w:hAnsi="Times New Roman" w:cs="Times New Roman"/>
                <w:szCs w:val="21"/>
              </w:rPr>
              <w:t>≤0.01mg/L</w:t>
            </w:r>
          </w:p>
        </w:tc>
        <w:tc>
          <w:tcPr>
            <w:tcW w:w="1661" w:type="pct"/>
            <w:vMerge w:val="continue"/>
            <w:noWrap w:val="0"/>
            <w:vAlign w:val="center"/>
          </w:tcPr>
          <w:p>
            <w:pPr>
              <w:pStyle w:val="161"/>
              <w:keepNext w:val="0"/>
              <w:keepLines w:val="0"/>
              <w:suppressLineNumbers w:val="0"/>
              <w:spacing w:before="0" w:beforeAutospacing="0" w:after="0" w:afterAutospacing="0" w:line="320" w:lineRule="exact"/>
              <w:ind w:left="0" w:right="0" w:firstLine="480"/>
              <w:rPr>
                <w:rFonts w:hint="default" w:ascii="Times New Roman" w:hAnsi="Times New Roman" w:cs="Times New Roman"/>
              </w:rPr>
            </w:pPr>
          </w:p>
        </w:tc>
      </w:tr>
    </w:tbl>
    <w:p>
      <w:pPr>
        <w:snapToGrid/>
        <w:spacing w:before="163" w:beforeLines="50"/>
        <w:ind w:firstLine="540"/>
      </w:pPr>
      <w:r>
        <w:rPr>
          <w:szCs w:val="24"/>
        </w:rPr>
        <w:t>（4）声环境质量执行《声环境质量标准》（GB3096-2008）中的</w:t>
      </w:r>
      <w:r>
        <w:rPr>
          <w:rFonts w:hint="eastAsia"/>
          <w:szCs w:val="24"/>
          <w:lang w:val="en-US" w:eastAsia="zh-CN"/>
        </w:rPr>
        <w:t>2</w:t>
      </w:r>
      <w:r>
        <w:rPr>
          <w:szCs w:val="24"/>
        </w:rPr>
        <w:t>类标准，详见下表。</w:t>
      </w:r>
    </w:p>
    <w:p>
      <w:pPr>
        <w:pStyle w:val="144"/>
        <w:tabs>
          <w:tab w:val="left" w:pos="420"/>
        </w:tabs>
        <w:ind w:firstLine="0" w:firstLineChars="0"/>
        <w:jc w:val="center"/>
        <w:rPr>
          <w:b/>
          <w:bCs/>
          <w:sz w:val="21"/>
          <w:szCs w:val="16"/>
        </w:rPr>
      </w:pPr>
      <w:r>
        <w:rPr>
          <w:rFonts w:hint="eastAsia"/>
          <w:b/>
          <w:bCs/>
          <w:sz w:val="21"/>
          <w:szCs w:val="16"/>
        </w:rPr>
        <w:t>表2</w:t>
      </w:r>
      <w:r>
        <w:rPr>
          <w:rFonts w:hint="eastAsia"/>
          <w:b/>
          <w:bCs/>
          <w:sz w:val="21"/>
          <w:szCs w:val="16"/>
          <w:lang w:val="en-US" w:eastAsia="zh-CN"/>
        </w:rPr>
        <w:t>.8-4</w:t>
      </w:r>
      <w:r>
        <w:rPr>
          <w:b/>
          <w:bCs/>
          <w:sz w:val="21"/>
          <w:szCs w:val="16"/>
        </w:rPr>
        <w:t xml:space="preserve"> </w:t>
      </w:r>
      <w:r>
        <w:rPr>
          <w:rFonts w:hint="eastAsia"/>
          <w:b/>
          <w:bCs/>
          <w:sz w:val="21"/>
          <w:szCs w:val="16"/>
          <w:lang w:val="en-US" w:eastAsia="zh-CN"/>
        </w:rPr>
        <w:t xml:space="preserve"> </w:t>
      </w:r>
      <w:r>
        <w:rPr>
          <w:b/>
          <w:bCs/>
          <w:sz w:val="21"/>
          <w:szCs w:val="16"/>
        </w:rPr>
        <w:t>声环境质量标准一览表</w:t>
      </w:r>
    </w:p>
    <w:tbl>
      <w:tblPr>
        <w:tblStyle w:val="39"/>
        <w:tblW w:w="46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2514"/>
        <w:gridCol w:w="2493"/>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pct"/>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b/>
                <w:bCs/>
                <w:sz w:val="21"/>
                <w:szCs w:val="20"/>
              </w:rPr>
            </w:pPr>
            <w:r>
              <w:rPr>
                <w:rFonts w:hint="default" w:ascii="Times New Roman" w:hAnsi="Times New Roman" w:cs="Times New Roman"/>
                <w:b/>
                <w:bCs/>
                <w:sz w:val="21"/>
                <w:szCs w:val="20"/>
              </w:rPr>
              <w:t>类别</w:t>
            </w:r>
          </w:p>
        </w:tc>
        <w:tc>
          <w:tcPr>
            <w:tcW w:w="2832" w:type="pct"/>
            <w:gridSpan w:val="2"/>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b/>
                <w:bCs/>
                <w:sz w:val="21"/>
                <w:szCs w:val="20"/>
              </w:rPr>
            </w:pPr>
            <w:r>
              <w:rPr>
                <w:rFonts w:hint="default" w:ascii="Times New Roman" w:hAnsi="Times New Roman" w:cs="Times New Roman"/>
                <w:b/>
                <w:bCs/>
                <w:sz w:val="21"/>
                <w:szCs w:val="20"/>
              </w:rPr>
              <w:t>标准值</w:t>
            </w:r>
          </w:p>
        </w:tc>
        <w:tc>
          <w:tcPr>
            <w:tcW w:w="1537" w:type="pct"/>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b/>
                <w:bCs/>
                <w:sz w:val="21"/>
                <w:szCs w:val="20"/>
              </w:rPr>
            </w:pPr>
            <w:r>
              <w:rPr>
                <w:rFonts w:hint="default" w:ascii="Times New Roman" w:hAnsi="Times New Roman" w:cs="Times New Roman"/>
                <w:b/>
                <w:bCs/>
                <w:sz w:val="21"/>
                <w:szCs w:val="20"/>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0" w:type="pct"/>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z w:val="21"/>
                <w:szCs w:val="20"/>
              </w:rPr>
            </w:pPr>
            <w:r>
              <w:rPr>
                <w:rFonts w:hint="default" w:ascii="Times New Roman" w:hAnsi="Times New Roman" w:cs="Times New Roman"/>
                <w:sz w:val="21"/>
                <w:szCs w:val="20"/>
              </w:rPr>
              <w:t>声环境</w:t>
            </w:r>
          </w:p>
        </w:tc>
        <w:tc>
          <w:tcPr>
            <w:tcW w:w="1422" w:type="pct"/>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z w:val="21"/>
                <w:szCs w:val="20"/>
              </w:rPr>
            </w:pPr>
            <w:r>
              <w:rPr>
                <w:rFonts w:hint="default" w:ascii="Times New Roman" w:hAnsi="Times New Roman" w:cs="Times New Roman"/>
                <w:sz w:val="21"/>
                <w:szCs w:val="20"/>
              </w:rPr>
              <w:t>昼间≤</w:t>
            </w:r>
            <w:r>
              <w:rPr>
                <w:rFonts w:hint="eastAsia" w:cs="Times New Roman"/>
                <w:sz w:val="21"/>
                <w:szCs w:val="20"/>
                <w:lang w:val="en-US" w:eastAsia="zh-CN"/>
              </w:rPr>
              <w:t>60</w:t>
            </w:r>
            <w:r>
              <w:rPr>
                <w:rFonts w:hint="default" w:ascii="Times New Roman" w:hAnsi="Times New Roman" w:cs="Times New Roman"/>
                <w:sz w:val="21"/>
                <w:szCs w:val="20"/>
              </w:rPr>
              <w:t>dB（A）</w:t>
            </w:r>
          </w:p>
        </w:tc>
        <w:tc>
          <w:tcPr>
            <w:tcW w:w="1410" w:type="pct"/>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z w:val="21"/>
                <w:szCs w:val="20"/>
              </w:rPr>
            </w:pPr>
            <w:r>
              <w:rPr>
                <w:rFonts w:hint="default" w:ascii="Times New Roman" w:hAnsi="Times New Roman" w:cs="Times New Roman"/>
                <w:sz w:val="21"/>
                <w:szCs w:val="20"/>
              </w:rPr>
              <w:t>夜间≤</w:t>
            </w:r>
            <w:r>
              <w:rPr>
                <w:rFonts w:hint="eastAsia" w:cs="Times New Roman"/>
                <w:sz w:val="21"/>
                <w:szCs w:val="20"/>
                <w:lang w:val="en-US" w:eastAsia="zh-CN"/>
              </w:rPr>
              <w:t>50</w:t>
            </w:r>
            <w:r>
              <w:rPr>
                <w:rFonts w:hint="default" w:ascii="Times New Roman" w:hAnsi="Times New Roman" w:cs="Times New Roman"/>
                <w:sz w:val="21"/>
                <w:szCs w:val="20"/>
              </w:rPr>
              <w:t>dB（A）</w:t>
            </w:r>
          </w:p>
        </w:tc>
        <w:tc>
          <w:tcPr>
            <w:tcW w:w="1537" w:type="pct"/>
            <w:noWrap w:val="0"/>
            <w:vAlign w:val="center"/>
          </w:tcPr>
          <w:p>
            <w:pPr>
              <w:keepNext w:val="0"/>
              <w:keepLines w:val="0"/>
              <w:suppressLineNumbers w:val="0"/>
              <w:snapToGrid/>
              <w:spacing w:before="0" w:beforeAutospacing="0" w:after="0" w:afterAutospacing="0" w:line="240" w:lineRule="auto"/>
              <w:ind w:left="0" w:right="0" w:firstLine="0" w:firstLineChars="0"/>
              <w:jc w:val="center"/>
              <w:rPr>
                <w:rFonts w:hint="default" w:ascii="Times New Roman" w:hAnsi="Times New Roman" w:cs="Times New Roman"/>
                <w:sz w:val="21"/>
                <w:szCs w:val="20"/>
              </w:rPr>
            </w:pPr>
            <w:r>
              <w:rPr>
                <w:rFonts w:hint="default" w:ascii="Times New Roman" w:hAnsi="Times New Roman" w:cs="Times New Roman"/>
                <w:sz w:val="21"/>
                <w:szCs w:val="20"/>
              </w:rPr>
              <w:t>《声环境质量标准》（GB3096-2008）</w:t>
            </w:r>
            <w:r>
              <w:rPr>
                <w:rFonts w:hint="eastAsia" w:cs="Times New Roman"/>
                <w:sz w:val="21"/>
                <w:szCs w:val="20"/>
                <w:lang w:val="en-US" w:eastAsia="zh-CN"/>
              </w:rPr>
              <w:t>2</w:t>
            </w:r>
            <w:r>
              <w:rPr>
                <w:rFonts w:hint="default" w:ascii="Times New Roman" w:hAnsi="Times New Roman" w:cs="Times New Roman"/>
                <w:sz w:val="21"/>
                <w:szCs w:val="20"/>
              </w:rPr>
              <w:t>类区</w:t>
            </w:r>
          </w:p>
        </w:tc>
      </w:tr>
    </w:tbl>
    <w:p>
      <w:pPr>
        <w:keepNext w:val="0"/>
        <w:keepLines w:val="0"/>
        <w:pageBreakBefore w:val="0"/>
        <w:widowControl w:val="0"/>
        <w:kinsoku/>
        <w:wordWrap/>
        <w:overflowPunct/>
        <w:topLinePunct w:val="0"/>
        <w:autoSpaceDE/>
        <w:autoSpaceDN/>
        <w:bidi w:val="0"/>
        <w:adjustRightInd w:val="0"/>
        <w:snapToGrid w:val="0"/>
        <w:spacing w:before="174" w:beforeLines="50"/>
        <w:textAlignment w:val="auto"/>
      </w:pPr>
      <w:r>
        <w:rPr>
          <w:rFonts w:hint="eastAsia"/>
          <w:lang w:eastAsia="zh-CN"/>
        </w:rPr>
        <w:t>（</w:t>
      </w:r>
      <w:r>
        <w:rPr>
          <w:rFonts w:hint="eastAsia"/>
          <w:lang w:val="en-US" w:eastAsia="zh-CN"/>
        </w:rPr>
        <w:t>5</w:t>
      </w:r>
      <w:r>
        <w:rPr>
          <w:rFonts w:hint="eastAsia"/>
          <w:lang w:eastAsia="zh-CN"/>
        </w:rPr>
        <w:t>）</w:t>
      </w:r>
      <w:r>
        <w:t>土壤环境</w:t>
      </w:r>
      <w:r>
        <w:rPr>
          <w:rFonts w:hint="eastAsia"/>
        </w:rPr>
        <w:t>质量标准</w:t>
      </w:r>
    </w:p>
    <w:p>
      <w:r>
        <w:rPr>
          <w:rFonts w:hint="eastAsia"/>
          <w:szCs w:val="28"/>
        </w:rPr>
        <w:t>土壤环境质量执行</w:t>
      </w:r>
      <w:r>
        <w:rPr>
          <w:szCs w:val="28"/>
        </w:rPr>
        <w:t>《土壤环境质量 农用地土壤污染风险管控标准（试行）》（GB15618-2018）</w:t>
      </w:r>
      <w:r>
        <w:rPr>
          <w:rFonts w:hint="eastAsia"/>
          <w:szCs w:val="28"/>
        </w:rPr>
        <w:t>表1（基本项目）筛选值。</w:t>
      </w:r>
      <w:r>
        <w:rPr>
          <w:rFonts w:hint="eastAsia"/>
        </w:rPr>
        <w:t>相关标准列表如下：</w:t>
      </w:r>
    </w:p>
    <w:p>
      <w:pPr>
        <w:pStyle w:val="131"/>
        <w:numPr>
          <w:ilvl w:val="0"/>
          <w:numId w:val="0"/>
        </w:numPr>
        <w:spacing w:line="360" w:lineRule="auto"/>
        <w:ind w:leftChars="0"/>
        <w:jc w:val="center"/>
        <w:rPr>
          <w:rFonts w:eastAsia="宋体"/>
          <w:b/>
        </w:rPr>
      </w:pPr>
      <w:r>
        <w:rPr>
          <w:rFonts w:hint="eastAsia"/>
          <w:b/>
          <w:bCs/>
          <w:sz w:val="21"/>
          <w:szCs w:val="16"/>
        </w:rPr>
        <w:t>表2</w:t>
      </w:r>
      <w:r>
        <w:rPr>
          <w:rFonts w:hint="eastAsia"/>
          <w:b/>
          <w:bCs/>
          <w:sz w:val="21"/>
          <w:szCs w:val="16"/>
          <w:lang w:val="en-US" w:eastAsia="zh-CN"/>
        </w:rPr>
        <w:t>.8-5</w:t>
      </w:r>
      <w:r>
        <w:rPr>
          <w:b/>
          <w:bCs/>
          <w:sz w:val="21"/>
          <w:szCs w:val="16"/>
        </w:rPr>
        <w:t xml:space="preserve"> </w:t>
      </w:r>
      <w:r>
        <w:rPr>
          <w:rFonts w:hint="eastAsia"/>
          <w:b/>
          <w:bCs/>
          <w:sz w:val="21"/>
          <w:szCs w:val="16"/>
          <w:lang w:val="en-US" w:eastAsia="zh-CN"/>
        </w:rPr>
        <w:t xml:space="preserve"> </w:t>
      </w:r>
      <w:r>
        <w:rPr>
          <w:rFonts w:hint="eastAsia" w:eastAsia="宋体"/>
          <w:b/>
        </w:rPr>
        <w:t>土壤</w:t>
      </w:r>
      <w:r>
        <w:rPr>
          <w:rFonts w:eastAsia="宋体"/>
          <w:b/>
        </w:rPr>
        <w:t>环境质量标准一览表</w:t>
      </w:r>
      <w:r>
        <w:rPr>
          <w:rFonts w:hint="eastAsia" w:eastAsia="宋体"/>
          <w:b/>
        </w:rPr>
        <w:t>（农用地）</w:t>
      </w:r>
    </w:p>
    <w:tbl>
      <w:tblPr>
        <w:tblStyle w:val="39"/>
        <w:tblW w:w="471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53"/>
        <w:gridCol w:w="883"/>
        <w:gridCol w:w="988"/>
        <w:gridCol w:w="1356"/>
        <w:gridCol w:w="1356"/>
        <w:gridCol w:w="972"/>
        <w:gridCol w:w="971"/>
        <w:gridCol w:w="17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restart"/>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b/>
              </w:rPr>
            </w:pPr>
            <w:r>
              <w:rPr>
                <w:rFonts w:hint="default"/>
                <w:b/>
              </w:rPr>
              <w:t>环境要素</w:t>
            </w:r>
          </w:p>
        </w:tc>
        <w:tc>
          <w:tcPr>
            <w:tcW w:w="491" w:type="pct"/>
            <w:vMerge w:val="restart"/>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b/>
              </w:rPr>
            </w:pPr>
            <w:r>
              <w:rPr>
                <w:rFonts w:hint="default"/>
                <w:b/>
              </w:rPr>
              <w:t>污染物名称</w:t>
            </w:r>
          </w:p>
        </w:tc>
        <w:tc>
          <w:tcPr>
            <w:tcW w:w="2602" w:type="pct"/>
            <w:gridSpan w:val="4"/>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b/>
              </w:rPr>
            </w:pPr>
            <w:r>
              <w:rPr>
                <w:rFonts w:hint="default"/>
                <w:b/>
              </w:rPr>
              <w:t>标准值</w:t>
            </w:r>
          </w:p>
        </w:tc>
        <w:tc>
          <w:tcPr>
            <w:tcW w:w="540" w:type="pct"/>
            <w:vMerge w:val="restart"/>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b/>
              </w:rPr>
            </w:pPr>
            <w:r>
              <w:rPr>
                <w:rFonts w:hint="default"/>
                <w:b/>
              </w:rPr>
              <w:t>单位</w:t>
            </w:r>
          </w:p>
        </w:tc>
        <w:tc>
          <w:tcPr>
            <w:tcW w:w="1000" w:type="pct"/>
            <w:vMerge w:val="restart"/>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b/>
              </w:rPr>
            </w:pPr>
            <w:r>
              <w:rPr>
                <w:rFonts w:hint="default"/>
                <w:b/>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b/>
              </w:rPr>
            </w:pPr>
          </w:p>
        </w:tc>
        <w:tc>
          <w:tcPr>
            <w:tcW w:w="491"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b/>
              </w:rPr>
            </w:pPr>
          </w:p>
        </w:tc>
        <w:tc>
          <w:tcPr>
            <w:tcW w:w="550"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pH≤5.5</w:t>
            </w:r>
          </w:p>
        </w:tc>
        <w:tc>
          <w:tcPr>
            <w:tcW w:w="75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5.5＜pH≤6.5</w:t>
            </w:r>
          </w:p>
        </w:tc>
        <w:tc>
          <w:tcPr>
            <w:tcW w:w="75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6.5＜pH≤7.5</w:t>
            </w:r>
          </w:p>
        </w:tc>
        <w:tc>
          <w:tcPr>
            <w:tcW w:w="54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pH＞7.5</w:t>
            </w:r>
          </w:p>
        </w:tc>
        <w:tc>
          <w:tcPr>
            <w:tcW w:w="540"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b/>
              </w:rPr>
            </w:pPr>
          </w:p>
        </w:tc>
        <w:tc>
          <w:tcPr>
            <w:tcW w:w="1000"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3" w:type="pct"/>
            <w:vMerge w:val="restart"/>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r>
              <w:rPr>
                <w:rFonts w:hint="default"/>
              </w:rPr>
              <w:t>土壤环境</w:t>
            </w:r>
          </w:p>
        </w:tc>
        <w:tc>
          <w:tcPr>
            <w:tcW w:w="491" w:type="pct"/>
            <w:vAlign w:val="center"/>
          </w:tcPr>
          <w:p>
            <w:pPr>
              <w:pStyle w:val="12"/>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bCs/>
                <w:snapToGrid w:val="0"/>
                <w:kern w:val="0"/>
                <w:sz w:val="21"/>
                <w:szCs w:val="21"/>
              </w:rPr>
              <w:t>镉</w:t>
            </w:r>
          </w:p>
        </w:tc>
        <w:tc>
          <w:tcPr>
            <w:tcW w:w="550"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0.3</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rPr>
            </w:pPr>
            <w:r>
              <w:rPr>
                <w:rFonts w:hint="eastAsia"/>
                <w:sz w:val="21"/>
                <w:szCs w:val="21"/>
                <w:highlight w:val="none"/>
                <w:lang w:val="en-US" w:eastAsia="zh-CN"/>
              </w:rPr>
              <w:t>0.3</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lang w:val="en-US" w:eastAsia="zh-CN"/>
              </w:rPr>
            </w:pPr>
            <w:r>
              <w:rPr>
                <w:rFonts w:hint="eastAsia"/>
                <w:bCs/>
                <w:snapToGrid w:val="0"/>
                <w:kern w:val="0"/>
                <w:sz w:val="21"/>
                <w:szCs w:val="21"/>
                <w:highlight w:val="none"/>
                <w:lang w:val="en-US" w:eastAsia="zh-CN"/>
              </w:rPr>
              <w:t>0.3</w:t>
            </w:r>
          </w:p>
        </w:tc>
        <w:tc>
          <w:tcPr>
            <w:tcW w:w="541" w:type="pct"/>
            <w:vAlign w:val="center"/>
          </w:tcPr>
          <w:p>
            <w:pPr>
              <w:pStyle w:val="12"/>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val="0"/>
                <w:kern w:val="2"/>
                <w:sz w:val="21"/>
                <w:szCs w:val="21"/>
                <w:highlight w:val="none"/>
                <w:lang w:val="en-US" w:eastAsia="zh-CN" w:bidi="ar-SA"/>
              </w:rPr>
            </w:pPr>
            <w:r>
              <w:rPr>
                <w:rFonts w:hint="default" w:ascii="Times New Roman" w:eastAsia="宋体"/>
                <w:b/>
                <w:bCs w:val="0"/>
                <w:snapToGrid w:val="0"/>
                <w:kern w:val="0"/>
                <w:sz w:val="21"/>
                <w:szCs w:val="21"/>
                <w:highlight w:val="none"/>
              </w:rPr>
              <w:t>0.6</w:t>
            </w:r>
          </w:p>
        </w:tc>
        <w:tc>
          <w:tcPr>
            <w:tcW w:w="540" w:type="pct"/>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r>
              <w:rPr>
                <w:rFonts w:hint="default"/>
              </w:rPr>
              <w:t>mg/kg</w:t>
            </w:r>
          </w:p>
        </w:tc>
        <w:tc>
          <w:tcPr>
            <w:tcW w:w="1000" w:type="pct"/>
            <w:vMerge w:val="restart"/>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r>
              <w:rPr>
                <w:rFonts w:hint="default"/>
              </w:rPr>
              <w:t>《土壤环境质量 农用地土壤污染风险管控标准（试行）》（GB 15618-2018）表1风险筛选值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3"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c>
          <w:tcPr>
            <w:tcW w:w="491" w:type="pct"/>
            <w:vAlign w:val="center"/>
          </w:tcPr>
          <w:p>
            <w:pPr>
              <w:pStyle w:val="12"/>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bCs/>
                <w:snapToGrid w:val="0"/>
                <w:kern w:val="0"/>
                <w:sz w:val="21"/>
                <w:szCs w:val="21"/>
              </w:rPr>
              <w:t>汞</w:t>
            </w:r>
          </w:p>
        </w:tc>
        <w:tc>
          <w:tcPr>
            <w:tcW w:w="550"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1.3</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lang w:val="en-US" w:eastAsia="zh-CN"/>
              </w:rPr>
            </w:pPr>
            <w:r>
              <w:rPr>
                <w:rFonts w:hint="eastAsia"/>
                <w:bCs/>
                <w:snapToGrid w:val="0"/>
                <w:kern w:val="0"/>
                <w:sz w:val="21"/>
                <w:szCs w:val="21"/>
                <w:highlight w:val="none"/>
                <w:lang w:val="en-US" w:eastAsia="zh-CN"/>
              </w:rPr>
              <w:t>1.8</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lang w:val="en-US" w:eastAsia="zh-CN"/>
              </w:rPr>
            </w:pPr>
            <w:r>
              <w:rPr>
                <w:rFonts w:hint="eastAsia"/>
                <w:bCs/>
                <w:snapToGrid w:val="0"/>
                <w:kern w:val="0"/>
                <w:sz w:val="21"/>
                <w:szCs w:val="21"/>
                <w:highlight w:val="none"/>
                <w:lang w:val="en-US" w:eastAsia="zh-CN"/>
              </w:rPr>
              <w:t>2.4</w:t>
            </w:r>
          </w:p>
        </w:tc>
        <w:tc>
          <w:tcPr>
            <w:tcW w:w="541" w:type="pct"/>
            <w:vAlign w:val="center"/>
          </w:tcPr>
          <w:p>
            <w:pPr>
              <w:pStyle w:val="12"/>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val="0"/>
                <w:kern w:val="2"/>
                <w:sz w:val="21"/>
                <w:szCs w:val="21"/>
                <w:highlight w:val="none"/>
                <w:lang w:val="en-US" w:eastAsia="zh-CN" w:bidi="ar-SA"/>
              </w:rPr>
            </w:pPr>
            <w:r>
              <w:rPr>
                <w:rFonts w:hint="default" w:ascii="Times New Roman" w:eastAsia="宋体"/>
                <w:b/>
                <w:bCs w:val="0"/>
                <w:snapToGrid w:val="0"/>
                <w:kern w:val="0"/>
                <w:sz w:val="21"/>
                <w:szCs w:val="21"/>
                <w:highlight w:val="none"/>
              </w:rPr>
              <w:t>3.4</w:t>
            </w:r>
          </w:p>
        </w:tc>
        <w:tc>
          <w:tcPr>
            <w:tcW w:w="540" w:type="pct"/>
            <w:vAlign w:val="center"/>
          </w:tcPr>
          <w:p>
            <w:pPr>
              <w:keepNext w:val="0"/>
              <w:keepLines w:val="0"/>
              <w:suppressLineNumbers w:val="0"/>
              <w:tabs>
                <w:tab w:val="left" w:pos="1255"/>
              </w:tabs>
              <w:spacing w:before="0" w:beforeAutospacing="0" w:after="0" w:afterAutospacing="0" w:line="240" w:lineRule="auto"/>
              <w:ind w:left="0" w:right="0" w:firstLine="0" w:firstLineChars="0"/>
              <w:jc w:val="center"/>
              <w:rPr>
                <w:rFonts w:hint="default"/>
                <w:sz w:val="21"/>
                <w:szCs w:val="21"/>
              </w:rPr>
            </w:pPr>
            <w:r>
              <w:rPr>
                <w:rFonts w:hint="default"/>
                <w:sz w:val="21"/>
                <w:szCs w:val="21"/>
              </w:rPr>
              <w:t>mg/kg</w:t>
            </w:r>
          </w:p>
        </w:tc>
        <w:tc>
          <w:tcPr>
            <w:tcW w:w="1000"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3"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c>
          <w:tcPr>
            <w:tcW w:w="491" w:type="pct"/>
            <w:vAlign w:val="center"/>
          </w:tcPr>
          <w:p>
            <w:pPr>
              <w:pStyle w:val="12"/>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bCs/>
                <w:snapToGrid w:val="0"/>
                <w:kern w:val="0"/>
                <w:sz w:val="21"/>
                <w:szCs w:val="21"/>
              </w:rPr>
              <w:t>砷</w:t>
            </w:r>
          </w:p>
        </w:tc>
        <w:tc>
          <w:tcPr>
            <w:tcW w:w="550"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40</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lang w:val="en-US" w:eastAsia="zh-CN"/>
              </w:rPr>
            </w:pPr>
            <w:r>
              <w:rPr>
                <w:rFonts w:hint="eastAsia"/>
                <w:bCs/>
                <w:snapToGrid w:val="0"/>
                <w:kern w:val="0"/>
                <w:sz w:val="21"/>
                <w:szCs w:val="21"/>
                <w:highlight w:val="none"/>
                <w:lang w:val="en-US" w:eastAsia="zh-CN"/>
              </w:rPr>
              <w:t>40</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lang w:val="en-US" w:eastAsia="zh-CN"/>
              </w:rPr>
            </w:pPr>
            <w:r>
              <w:rPr>
                <w:rFonts w:hint="eastAsia"/>
                <w:bCs/>
                <w:snapToGrid w:val="0"/>
                <w:kern w:val="0"/>
                <w:sz w:val="21"/>
                <w:szCs w:val="21"/>
                <w:highlight w:val="none"/>
                <w:lang w:val="en-US" w:eastAsia="zh-CN"/>
              </w:rPr>
              <w:t>30</w:t>
            </w:r>
          </w:p>
        </w:tc>
        <w:tc>
          <w:tcPr>
            <w:tcW w:w="541" w:type="pct"/>
            <w:vAlign w:val="center"/>
          </w:tcPr>
          <w:p>
            <w:pPr>
              <w:pStyle w:val="12"/>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val="0"/>
                <w:kern w:val="2"/>
                <w:sz w:val="21"/>
                <w:szCs w:val="21"/>
                <w:highlight w:val="none"/>
                <w:lang w:val="en-US" w:eastAsia="zh-CN" w:bidi="ar-SA"/>
              </w:rPr>
            </w:pPr>
            <w:r>
              <w:rPr>
                <w:rFonts w:hint="default" w:ascii="Times New Roman" w:eastAsia="宋体"/>
                <w:b/>
                <w:bCs w:val="0"/>
                <w:snapToGrid w:val="0"/>
                <w:kern w:val="0"/>
                <w:sz w:val="21"/>
                <w:szCs w:val="21"/>
                <w:highlight w:val="none"/>
              </w:rPr>
              <w:t>25</w:t>
            </w:r>
          </w:p>
        </w:tc>
        <w:tc>
          <w:tcPr>
            <w:tcW w:w="540" w:type="pct"/>
            <w:vAlign w:val="center"/>
          </w:tcPr>
          <w:p>
            <w:pPr>
              <w:keepNext w:val="0"/>
              <w:keepLines w:val="0"/>
              <w:suppressLineNumbers w:val="0"/>
              <w:tabs>
                <w:tab w:val="left" w:pos="1255"/>
              </w:tabs>
              <w:spacing w:before="0" w:beforeAutospacing="0" w:after="0" w:afterAutospacing="0" w:line="240" w:lineRule="auto"/>
              <w:ind w:left="0" w:right="0" w:firstLine="0" w:firstLineChars="0"/>
              <w:jc w:val="center"/>
              <w:rPr>
                <w:rFonts w:hint="default"/>
                <w:sz w:val="21"/>
                <w:szCs w:val="21"/>
              </w:rPr>
            </w:pPr>
            <w:r>
              <w:rPr>
                <w:rFonts w:hint="default"/>
                <w:sz w:val="21"/>
                <w:szCs w:val="21"/>
              </w:rPr>
              <w:t>mg/kg</w:t>
            </w:r>
          </w:p>
        </w:tc>
        <w:tc>
          <w:tcPr>
            <w:tcW w:w="1000"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3"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c>
          <w:tcPr>
            <w:tcW w:w="491" w:type="pct"/>
            <w:vAlign w:val="center"/>
          </w:tcPr>
          <w:p>
            <w:pPr>
              <w:pStyle w:val="12"/>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bCs/>
                <w:snapToGrid w:val="0"/>
                <w:kern w:val="0"/>
                <w:sz w:val="21"/>
                <w:szCs w:val="21"/>
              </w:rPr>
              <w:t>铅</w:t>
            </w:r>
          </w:p>
        </w:tc>
        <w:tc>
          <w:tcPr>
            <w:tcW w:w="550"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70</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lang w:val="en-US" w:eastAsia="zh-CN"/>
              </w:rPr>
            </w:pPr>
            <w:r>
              <w:rPr>
                <w:rFonts w:hint="eastAsia"/>
                <w:bCs/>
                <w:snapToGrid w:val="0"/>
                <w:kern w:val="0"/>
                <w:sz w:val="21"/>
                <w:szCs w:val="21"/>
                <w:highlight w:val="none"/>
                <w:lang w:val="en-US" w:eastAsia="zh-CN"/>
              </w:rPr>
              <w:t>90</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lang w:val="en-US" w:eastAsia="zh-CN"/>
              </w:rPr>
            </w:pPr>
            <w:r>
              <w:rPr>
                <w:rFonts w:hint="eastAsia"/>
                <w:bCs/>
                <w:snapToGrid w:val="0"/>
                <w:kern w:val="0"/>
                <w:sz w:val="21"/>
                <w:szCs w:val="21"/>
                <w:highlight w:val="none"/>
                <w:lang w:val="en-US" w:eastAsia="zh-CN"/>
              </w:rPr>
              <w:t>120</w:t>
            </w:r>
          </w:p>
        </w:tc>
        <w:tc>
          <w:tcPr>
            <w:tcW w:w="541" w:type="pct"/>
            <w:vAlign w:val="center"/>
          </w:tcPr>
          <w:p>
            <w:pPr>
              <w:pStyle w:val="12"/>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val="0"/>
                <w:kern w:val="2"/>
                <w:sz w:val="21"/>
                <w:szCs w:val="21"/>
                <w:highlight w:val="none"/>
                <w:lang w:val="en-US" w:eastAsia="zh-CN" w:bidi="ar-SA"/>
              </w:rPr>
            </w:pPr>
            <w:r>
              <w:rPr>
                <w:rFonts w:hint="default" w:ascii="Times New Roman" w:eastAsia="宋体"/>
                <w:b/>
                <w:bCs w:val="0"/>
                <w:snapToGrid w:val="0"/>
                <w:kern w:val="0"/>
                <w:sz w:val="21"/>
                <w:szCs w:val="21"/>
                <w:highlight w:val="none"/>
              </w:rPr>
              <w:t>170</w:t>
            </w:r>
          </w:p>
        </w:tc>
        <w:tc>
          <w:tcPr>
            <w:tcW w:w="540" w:type="pct"/>
            <w:vAlign w:val="center"/>
          </w:tcPr>
          <w:p>
            <w:pPr>
              <w:keepNext w:val="0"/>
              <w:keepLines w:val="0"/>
              <w:suppressLineNumbers w:val="0"/>
              <w:tabs>
                <w:tab w:val="left" w:pos="1255"/>
              </w:tabs>
              <w:spacing w:before="0" w:beforeAutospacing="0" w:after="0" w:afterAutospacing="0" w:line="240" w:lineRule="auto"/>
              <w:ind w:left="0" w:right="0" w:firstLine="0" w:firstLineChars="0"/>
              <w:jc w:val="center"/>
              <w:rPr>
                <w:rFonts w:hint="default"/>
                <w:sz w:val="21"/>
                <w:szCs w:val="21"/>
              </w:rPr>
            </w:pPr>
            <w:r>
              <w:rPr>
                <w:rFonts w:hint="default"/>
                <w:sz w:val="21"/>
                <w:szCs w:val="21"/>
              </w:rPr>
              <w:t>mg/kg</w:t>
            </w:r>
          </w:p>
        </w:tc>
        <w:tc>
          <w:tcPr>
            <w:tcW w:w="1000"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3"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c>
          <w:tcPr>
            <w:tcW w:w="491" w:type="pct"/>
            <w:vAlign w:val="center"/>
          </w:tcPr>
          <w:p>
            <w:pPr>
              <w:pStyle w:val="12"/>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bCs/>
                <w:snapToGrid w:val="0"/>
                <w:kern w:val="0"/>
                <w:sz w:val="21"/>
                <w:szCs w:val="21"/>
              </w:rPr>
              <w:t>铬</w:t>
            </w:r>
          </w:p>
        </w:tc>
        <w:tc>
          <w:tcPr>
            <w:tcW w:w="550"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150</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lang w:val="en-US" w:eastAsia="zh-CN"/>
              </w:rPr>
            </w:pPr>
            <w:r>
              <w:rPr>
                <w:rFonts w:hint="eastAsia"/>
                <w:bCs/>
                <w:snapToGrid w:val="0"/>
                <w:kern w:val="0"/>
                <w:sz w:val="21"/>
                <w:szCs w:val="21"/>
                <w:highlight w:val="none"/>
                <w:lang w:val="en-US" w:eastAsia="zh-CN"/>
              </w:rPr>
              <w:t>150</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lang w:val="en-US" w:eastAsia="zh-CN"/>
              </w:rPr>
            </w:pPr>
            <w:r>
              <w:rPr>
                <w:rFonts w:hint="eastAsia"/>
                <w:bCs/>
                <w:snapToGrid w:val="0"/>
                <w:kern w:val="0"/>
                <w:sz w:val="21"/>
                <w:szCs w:val="21"/>
                <w:highlight w:val="none"/>
                <w:lang w:val="en-US" w:eastAsia="zh-CN"/>
              </w:rPr>
              <w:t>200</w:t>
            </w:r>
          </w:p>
        </w:tc>
        <w:tc>
          <w:tcPr>
            <w:tcW w:w="541" w:type="pct"/>
            <w:vAlign w:val="center"/>
          </w:tcPr>
          <w:p>
            <w:pPr>
              <w:pStyle w:val="12"/>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val="0"/>
                <w:kern w:val="2"/>
                <w:sz w:val="21"/>
                <w:szCs w:val="21"/>
                <w:highlight w:val="none"/>
                <w:lang w:val="en-US" w:eastAsia="zh-CN" w:bidi="ar-SA"/>
              </w:rPr>
            </w:pPr>
            <w:r>
              <w:rPr>
                <w:rFonts w:hint="default" w:ascii="Times New Roman" w:eastAsia="宋体"/>
                <w:b/>
                <w:bCs w:val="0"/>
                <w:snapToGrid w:val="0"/>
                <w:kern w:val="0"/>
                <w:sz w:val="21"/>
                <w:szCs w:val="21"/>
                <w:highlight w:val="none"/>
              </w:rPr>
              <w:t>250</w:t>
            </w:r>
          </w:p>
        </w:tc>
        <w:tc>
          <w:tcPr>
            <w:tcW w:w="540" w:type="pct"/>
            <w:vAlign w:val="center"/>
          </w:tcPr>
          <w:p>
            <w:pPr>
              <w:keepNext w:val="0"/>
              <w:keepLines w:val="0"/>
              <w:suppressLineNumbers w:val="0"/>
              <w:tabs>
                <w:tab w:val="left" w:pos="1255"/>
              </w:tabs>
              <w:spacing w:before="0" w:beforeAutospacing="0" w:after="0" w:afterAutospacing="0" w:line="240" w:lineRule="auto"/>
              <w:ind w:left="0" w:right="0" w:firstLine="0" w:firstLineChars="0"/>
              <w:jc w:val="center"/>
              <w:rPr>
                <w:rFonts w:hint="default"/>
                <w:sz w:val="21"/>
                <w:szCs w:val="21"/>
              </w:rPr>
            </w:pPr>
            <w:r>
              <w:rPr>
                <w:rFonts w:hint="default"/>
                <w:sz w:val="21"/>
                <w:szCs w:val="21"/>
              </w:rPr>
              <w:t>mg/kg</w:t>
            </w:r>
          </w:p>
        </w:tc>
        <w:tc>
          <w:tcPr>
            <w:tcW w:w="1000"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3"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c>
          <w:tcPr>
            <w:tcW w:w="491" w:type="pct"/>
            <w:vAlign w:val="center"/>
          </w:tcPr>
          <w:p>
            <w:pPr>
              <w:pStyle w:val="12"/>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bCs/>
                <w:snapToGrid w:val="0"/>
                <w:kern w:val="0"/>
                <w:sz w:val="21"/>
                <w:szCs w:val="21"/>
              </w:rPr>
              <w:t>铜</w:t>
            </w:r>
          </w:p>
        </w:tc>
        <w:tc>
          <w:tcPr>
            <w:tcW w:w="550"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50</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lang w:val="en-US" w:eastAsia="zh-CN"/>
              </w:rPr>
            </w:pPr>
            <w:r>
              <w:rPr>
                <w:rFonts w:hint="eastAsia"/>
                <w:bCs/>
                <w:snapToGrid w:val="0"/>
                <w:kern w:val="0"/>
                <w:sz w:val="21"/>
                <w:szCs w:val="21"/>
                <w:highlight w:val="none"/>
                <w:lang w:val="en-US" w:eastAsia="zh-CN"/>
              </w:rPr>
              <w:t>50</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lang w:val="en-US" w:eastAsia="zh-CN"/>
              </w:rPr>
            </w:pPr>
            <w:r>
              <w:rPr>
                <w:rFonts w:hint="eastAsia"/>
                <w:bCs/>
                <w:snapToGrid w:val="0"/>
                <w:kern w:val="0"/>
                <w:sz w:val="21"/>
                <w:szCs w:val="21"/>
                <w:highlight w:val="none"/>
                <w:lang w:val="en-US" w:eastAsia="zh-CN"/>
              </w:rPr>
              <w:t>100</w:t>
            </w:r>
          </w:p>
        </w:tc>
        <w:tc>
          <w:tcPr>
            <w:tcW w:w="541" w:type="pct"/>
            <w:vAlign w:val="center"/>
          </w:tcPr>
          <w:p>
            <w:pPr>
              <w:pStyle w:val="12"/>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val="0"/>
                <w:kern w:val="2"/>
                <w:sz w:val="21"/>
                <w:szCs w:val="21"/>
                <w:highlight w:val="none"/>
                <w:lang w:val="en-US" w:eastAsia="zh-CN" w:bidi="ar-SA"/>
              </w:rPr>
            </w:pPr>
            <w:r>
              <w:rPr>
                <w:rFonts w:hint="default" w:ascii="Times New Roman" w:eastAsia="宋体"/>
                <w:b/>
                <w:bCs w:val="0"/>
                <w:snapToGrid w:val="0"/>
                <w:kern w:val="0"/>
                <w:sz w:val="21"/>
                <w:szCs w:val="21"/>
                <w:highlight w:val="none"/>
              </w:rPr>
              <w:t>100</w:t>
            </w:r>
          </w:p>
        </w:tc>
        <w:tc>
          <w:tcPr>
            <w:tcW w:w="540" w:type="pct"/>
            <w:vAlign w:val="center"/>
          </w:tcPr>
          <w:p>
            <w:pPr>
              <w:keepNext w:val="0"/>
              <w:keepLines w:val="0"/>
              <w:suppressLineNumbers w:val="0"/>
              <w:tabs>
                <w:tab w:val="left" w:pos="1255"/>
              </w:tabs>
              <w:spacing w:before="0" w:beforeAutospacing="0" w:after="0" w:afterAutospacing="0" w:line="240" w:lineRule="auto"/>
              <w:ind w:left="0" w:right="0" w:firstLine="0" w:firstLineChars="0"/>
              <w:jc w:val="center"/>
              <w:rPr>
                <w:rFonts w:hint="default"/>
                <w:sz w:val="21"/>
                <w:szCs w:val="21"/>
              </w:rPr>
            </w:pPr>
            <w:r>
              <w:rPr>
                <w:rFonts w:hint="default"/>
                <w:sz w:val="21"/>
                <w:szCs w:val="21"/>
              </w:rPr>
              <w:t>mg/kg</w:t>
            </w:r>
          </w:p>
        </w:tc>
        <w:tc>
          <w:tcPr>
            <w:tcW w:w="1000"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3"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c>
          <w:tcPr>
            <w:tcW w:w="491" w:type="pct"/>
            <w:vAlign w:val="center"/>
          </w:tcPr>
          <w:p>
            <w:pPr>
              <w:pStyle w:val="12"/>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bCs/>
                <w:snapToGrid w:val="0"/>
                <w:kern w:val="0"/>
                <w:sz w:val="21"/>
                <w:szCs w:val="21"/>
              </w:rPr>
              <w:t>镍</w:t>
            </w:r>
          </w:p>
        </w:tc>
        <w:tc>
          <w:tcPr>
            <w:tcW w:w="550"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60</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lang w:val="en-US" w:eastAsia="zh-CN"/>
              </w:rPr>
            </w:pPr>
            <w:r>
              <w:rPr>
                <w:rFonts w:hint="eastAsia"/>
                <w:bCs/>
                <w:snapToGrid w:val="0"/>
                <w:kern w:val="0"/>
                <w:sz w:val="21"/>
                <w:szCs w:val="21"/>
                <w:highlight w:val="none"/>
                <w:lang w:val="en-US" w:eastAsia="zh-CN"/>
              </w:rPr>
              <w:t>70</w:t>
            </w:r>
          </w:p>
        </w:tc>
        <w:tc>
          <w:tcPr>
            <w:tcW w:w="755" w:type="pct"/>
            <w:vAlign w:val="center"/>
          </w:tcPr>
          <w:p>
            <w:pPr>
              <w:pStyle w:val="12"/>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eastAsia="宋体"/>
                <w:bCs/>
                <w:snapToGrid w:val="0"/>
                <w:kern w:val="0"/>
                <w:sz w:val="21"/>
                <w:szCs w:val="21"/>
                <w:highlight w:val="none"/>
                <w:lang w:val="en-US" w:eastAsia="zh-CN"/>
              </w:rPr>
            </w:pPr>
            <w:r>
              <w:rPr>
                <w:rFonts w:hint="eastAsia"/>
                <w:bCs/>
                <w:snapToGrid w:val="0"/>
                <w:kern w:val="0"/>
                <w:sz w:val="21"/>
                <w:szCs w:val="21"/>
                <w:highlight w:val="none"/>
                <w:lang w:val="en-US" w:eastAsia="zh-CN"/>
              </w:rPr>
              <w:t>100</w:t>
            </w:r>
          </w:p>
        </w:tc>
        <w:tc>
          <w:tcPr>
            <w:tcW w:w="541" w:type="pct"/>
            <w:vAlign w:val="center"/>
          </w:tcPr>
          <w:p>
            <w:pPr>
              <w:pStyle w:val="12"/>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val="0"/>
                <w:kern w:val="2"/>
                <w:sz w:val="21"/>
                <w:szCs w:val="21"/>
                <w:highlight w:val="none"/>
                <w:lang w:val="en-US" w:eastAsia="zh-CN" w:bidi="ar-SA"/>
              </w:rPr>
            </w:pPr>
            <w:r>
              <w:rPr>
                <w:rFonts w:hint="default" w:ascii="Times New Roman" w:eastAsia="宋体"/>
                <w:b/>
                <w:bCs w:val="0"/>
                <w:snapToGrid w:val="0"/>
                <w:kern w:val="0"/>
                <w:sz w:val="21"/>
                <w:szCs w:val="21"/>
                <w:highlight w:val="none"/>
              </w:rPr>
              <w:t>190</w:t>
            </w:r>
          </w:p>
        </w:tc>
        <w:tc>
          <w:tcPr>
            <w:tcW w:w="540" w:type="pct"/>
            <w:vAlign w:val="center"/>
          </w:tcPr>
          <w:p>
            <w:pPr>
              <w:keepNext w:val="0"/>
              <w:keepLines w:val="0"/>
              <w:suppressLineNumbers w:val="0"/>
              <w:tabs>
                <w:tab w:val="left" w:pos="1255"/>
              </w:tabs>
              <w:spacing w:before="0" w:beforeAutospacing="0" w:after="0" w:afterAutospacing="0" w:line="240" w:lineRule="auto"/>
              <w:ind w:left="0" w:right="0" w:firstLine="0" w:firstLineChars="0"/>
              <w:jc w:val="center"/>
              <w:rPr>
                <w:rFonts w:hint="default"/>
                <w:sz w:val="21"/>
                <w:szCs w:val="21"/>
              </w:rPr>
            </w:pPr>
            <w:r>
              <w:rPr>
                <w:rFonts w:hint="default"/>
                <w:sz w:val="21"/>
                <w:szCs w:val="21"/>
              </w:rPr>
              <w:t>mg/kg</w:t>
            </w:r>
          </w:p>
        </w:tc>
        <w:tc>
          <w:tcPr>
            <w:tcW w:w="1000"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3"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c>
          <w:tcPr>
            <w:tcW w:w="491" w:type="pct"/>
            <w:vAlign w:val="center"/>
          </w:tcPr>
          <w:p>
            <w:pPr>
              <w:pStyle w:val="12"/>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bCs/>
                <w:snapToGrid w:val="0"/>
                <w:kern w:val="0"/>
                <w:sz w:val="21"/>
                <w:szCs w:val="21"/>
              </w:rPr>
              <w:t>锌</w:t>
            </w:r>
          </w:p>
        </w:tc>
        <w:tc>
          <w:tcPr>
            <w:tcW w:w="550" w:type="pct"/>
            <w:vAlign w:val="center"/>
          </w:tcPr>
          <w:p>
            <w:pPr>
              <w:pStyle w:val="12"/>
              <w:keepNext w:val="0"/>
              <w:keepLines w:val="0"/>
              <w:suppressLineNumbers w:val="0"/>
              <w:spacing w:before="0" w:beforeAutospacing="0" w:after="0" w:afterAutospacing="0" w:line="240" w:lineRule="auto"/>
              <w:ind w:left="0" w:right="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200</w:t>
            </w:r>
          </w:p>
        </w:tc>
        <w:tc>
          <w:tcPr>
            <w:tcW w:w="755" w:type="pct"/>
            <w:vAlign w:val="center"/>
          </w:tcPr>
          <w:p>
            <w:pPr>
              <w:pStyle w:val="12"/>
              <w:keepNext w:val="0"/>
              <w:keepLines w:val="0"/>
              <w:suppressLineNumbers w:val="0"/>
              <w:spacing w:before="0" w:beforeAutospacing="0" w:after="0" w:afterAutospacing="0" w:line="240" w:lineRule="auto"/>
              <w:ind w:left="0" w:right="0" w:firstLine="0" w:firstLineChars="0"/>
              <w:jc w:val="center"/>
              <w:rPr>
                <w:rFonts w:hint="default"/>
                <w:bCs/>
                <w:snapToGrid w:val="0"/>
                <w:kern w:val="0"/>
                <w:sz w:val="21"/>
                <w:szCs w:val="21"/>
                <w:highlight w:val="none"/>
                <w:lang w:val="en-US" w:eastAsia="zh-CN"/>
              </w:rPr>
            </w:pPr>
            <w:r>
              <w:rPr>
                <w:rFonts w:hint="eastAsia"/>
                <w:bCs/>
                <w:snapToGrid w:val="0"/>
                <w:kern w:val="0"/>
                <w:sz w:val="21"/>
                <w:szCs w:val="21"/>
                <w:highlight w:val="none"/>
                <w:lang w:val="en-US" w:eastAsia="zh-CN"/>
              </w:rPr>
              <w:t>200</w:t>
            </w:r>
          </w:p>
        </w:tc>
        <w:tc>
          <w:tcPr>
            <w:tcW w:w="755" w:type="pct"/>
            <w:vAlign w:val="center"/>
          </w:tcPr>
          <w:p>
            <w:pPr>
              <w:pStyle w:val="12"/>
              <w:keepNext w:val="0"/>
              <w:keepLines w:val="0"/>
              <w:suppressLineNumbers w:val="0"/>
              <w:spacing w:before="0" w:beforeAutospacing="0" w:after="0" w:afterAutospacing="0" w:line="240" w:lineRule="auto"/>
              <w:ind w:left="0" w:right="0" w:firstLine="0" w:firstLineChars="0"/>
              <w:jc w:val="center"/>
              <w:rPr>
                <w:rFonts w:hint="default"/>
                <w:bCs/>
                <w:snapToGrid w:val="0"/>
                <w:kern w:val="0"/>
                <w:sz w:val="21"/>
                <w:szCs w:val="21"/>
                <w:highlight w:val="none"/>
                <w:lang w:val="en-US" w:eastAsia="zh-CN"/>
              </w:rPr>
            </w:pPr>
            <w:r>
              <w:rPr>
                <w:rFonts w:hint="eastAsia"/>
                <w:bCs/>
                <w:snapToGrid w:val="0"/>
                <w:kern w:val="0"/>
                <w:sz w:val="21"/>
                <w:szCs w:val="21"/>
                <w:highlight w:val="none"/>
                <w:lang w:val="en-US" w:eastAsia="zh-CN"/>
              </w:rPr>
              <w:t>250</w:t>
            </w:r>
          </w:p>
        </w:tc>
        <w:tc>
          <w:tcPr>
            <w:tcW w:w="541" w:type="pct"/>
            <w:vAlign w:val="center"/>
          </w:tcPr>
          <w:p>
            <w:pPr>
              <w:pStyle w:val="12"/>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bCs w:val="0"/>
                <w:kern w:val="2"/>
                <w:sz w:val="21"/>
                <w:szCs w:val="21"/>
                <w:highlight w:val="none"/>
                <w:lang w:val="en-US" w:eastAsia="zh-CN" w:bidi="ar-SA"/>
              </w:rPr>
            </w:pPr>
            <w:r>
              <w:rPr>
                <w:rFonts w:hint="eastAsia"/>
                <w:b/>
                <w:bCs w:val="0"/>
                <w:snapToGrid w:val="0"/>
                <w:kern w:val="0"/>
                <w:sz w:val="21"/>
                <w:szCs w:val="21"/>
                <w:highlight w:val="none"/>
                <w:lang w:val="en-US" w:eastAsia="zh-CN"/>
              </w:rPr>
              <w:t>300</w:t>
            </w:r>
          </w:p>
        </w:tc>
        <w:tc>
          <w:tcPr>
            <w:tcW w:w="540" w:type="pct"/>
            <w:vAlign w:val="center"/>
          </w:tcPr>
          <w:p>
            <w:pPr>
              <w:keepNext w:val="0"/>
              <w:keepLines w:val="0"/>
              <w:suppressLineNumbers w:val="0"/>
              <w:tabs>
                <w:tab w:val="left" w:pos="1255"/>
              </w:tabs>
              <w:spacing w:before="0" w:beforeAutospacing="0" w:after="0" w:afterAutospacing="0" w:line="240" w:lineRule="auto"/>
              <w:ind w:left="0" w:right="0" w:firstLine="0" w:firstLineChars="0"/>
              <w:jc w:val="center"/>
              <w:rPr>
                <w:rFonts w:hint="default"/>
                <w:sz w:val="21"/>
                <w:szCs w:val="21"/>
              </w:rPr>
            </w:pPr>
            <w:r>
              <w:rPr>
                <w:rFonts w:hint="default"/>
                <w:sz w:val="21"/>
                <w:szCs w:val="21"/>
              </w:rPr>
              <w:t>mg/kg</w:t>
            </w:r>
          </w:p>
        </w:tc>
        <w:tc>
          <w:tcPr>
            <w:tcW w:w="1000" w:type="pct"/>
            <w:vMerge w:val="continue"/>
            <w:vAlign w:val="center"/>
          </w:tcPr>
          <w:p>
            <w:pPr>
              <w:pStyle w:val="65"/>
              <w:keepNext w:val="0"/>
              <w:keepLines w:val="0"/>
              <w:framePr w:hSpace="0" w:wrap="auto" w:vAnchor="margin" w:hAnchor="text" w:xAlign="left" w:yAlign="inline"/>
              <w:suppressLineNumbers w:val="0"/>
              <w:spacing w:before="0" w:beforeAutospacing="0" w:after="0" w:afterAutospacing="0" w:line="240" w:lineRule="auto"/>
              <w:ind w:left="0" w:right="0"/>
              <w:rPr>
                <w:rFonts w:hint="default"/>
              </w:rPr>
            </w:pPr>
          </w:p>
        </w:tc>
      </w:tr>
    </w:tbl>
    <w:p>
      <w:pPr>
        <w:pStyle w:val="6"/>
        <w:spacing w:before="120" w:beforeLines="50"/>
      </w:pPr>
      <w:bookmarkStart w:id="230" w:name="_Toc18249"/>
      <w:r>
        <w:t>2.8.2 污染物排放标准</w:t>
      </w:r>
      <w:bookmarkEnd w:id="218"/>
      <w:bookmarkEnd w:id="219"/>
      <w:bookmarkEnd w:id="220"/>
      <w:bookmarkEnd w:id="221"/>
      <w:bookmarkEnd w:id="222"/>
      <w:bookmarkEnd w:id="223"/>
      <w:bookmarkEnd w:id="224"/>
      <w:bookmarkEnd w:id="225"/>
      <w:bookmarkEnd w:id="226"/>
      <w:bookmarkEnd w:id="227"/>
      <w:bookmarkEnd w:id="228"/>
      <w:bookmarkEnd w:id="229"/>
      <w:r>
        <w:t>的确定</w:t>
      </w:r>
      <w:bookmarkEnd w:id="230"/>
    </w:p>
    <w:p>
      <w:pPr>
        <w:bidi w:val="0"/>
      </w:pPr>
      <w:bookmarkStart w:id="231" w:name="_Toc194834469"/>
      <w:bookmarkStart w:id="232" w:name="_Toc282959705"/>
      <w:bookmarkStart w:id="233" w:name="_Toc15351810"/>
      <w:bookmarkStart w:id="234" w:name="_Toc286835710"/>
      <w:bookmarkStart w:id="235" w:name="_Toc14756289"/>
      <w:bookmarkStart w:id="236" w:name="_Toc192227207"/>
      <w:bookmarkStart w:id="237" w:name="_Toc192323068"/>
      <w:bookmarkStart w:id="238" w:name="_Toc23297569"/>
      <w:bookmarkStart w:id="239" w:name="_Toc48354395"/>
      <w:bookmarkStart w:id="240" w:name="_Toc286934645"/>
      <w:bookmarkStart w:id="241" w:name="_Toc283110180"/>
      <w:bookmarkStart w:id="242" w:name="_Toc16412205"/>
      <w:bookmarkStart w:id="243" w:name="_Toc269200626"/>
      <w:bookmarkStart w:id="244" w:name="_Toc48354178"/>
      <w:bookmarkStart w:id="245" w:name="_Toc48354057"/>
      <w:bookmarkStart w:id="246" w:name="_Toc282946135"/>
      <w:bookmarkStart w:id="247" w:name="_Toc53022301"/>
      <w:bookmarkStart w:id="248" w:name="_Toc14755973"/>
      <w:r>
        <w:t>1、</w:t>
      </w:r>
      <w:r>
        <w:rPr>
          <w:rFonts w:hint="eastAsia"/>
        </w:rPr>
        <w:t>建设阶段污染物排放标准</w:t>
      </w:r>
    </w:p>
    <w:p>
      <w:pPr>
        <w:bidi w:val="0"/>
      </w:pPr>
      <w:r>
        <w:rPr>
          <w:rFonts w:hint="eastAsia"/>
        </w:rPr>
        <w:t>建筑施工场地扬尘的</w:t>
      </w:r>
      <w:r>
        <w:t>排放执行《</w:t>
      </w:r>
      <w:r>
        <w:rPr>
          <w:rFonts w:hint="eastAsia"/>
        </w:rPr>
        <w:t>施工场地扬尘排放标准</w:t>
      </w:r>
      <w:r>
        <w:t>》（DB13/2934-2019）中表1</w:t>
      </w:r>
      <w:r>
        <w:rPr>
          <w:rFonts w:hint="eastAsia"/>
        </w:rPr>
        <w:t>施工场地扬尘排放浓度限值</w:t>
      </w:r>
      <w:r>
        <w:t>的要求；建筑施工场界噪声执行《建筑施工场界环境噪声排放标准》（GB12523-2011）表1中噪声限值</w:t>
      </w:r>
      <w:r>
        <w:rPr>
          <w:rFonts w:hint="eastAsia"/>
        </w:rPr>
        <w:t>。相关标准列表如下：</w:t>
      </w:r>
    </w:p>
    <w:p>
      <w:pPr>
        <w:pStyle w:val="131"/>
        <w:numPr>
          <w:ilvl w:val="0"/>
          <w:numId w:val="0"/>
        </w:numPr>
        <w:spacing w:line="360" w:lineRule="auto"/>
        <w:ind w:leftChars="0"/>
        <w:jc w:val="center"/>
        <w:rPr>
          <w:rFonts w:eastAsia="宋体"/>
          <w:b/>
        </w:rPr>
      </w:pPr>
      <w:r>
        <w:rPr>
          <w:rFonts w:hint="eastAsia"/>
          <w:b/>
          <w:bCs/>
          <w:sz w:val="21"/>
          <w:szCs w:val="16"/>
        </w:rPr>
        <w:t>表2</w:t>
      </w:r>
      <w:r>
        <w:rPr>
          <w:rFonts w:hint="eastAsia"/>
          <w:b/>
          <w:bCs/>
          <w:sz w:val="21"/>
          <w:szCs w:val="16"/>
          <w:lang w:val="en-US" w:eastAsia="zh-CN"/>
        </w:rPr>
        <w:t>.8-6</w:t>
      </w:r>
      <w:r>
        <w:rPr>
          <w:b/>
          <w:bCs/>
          <w:sz w:val="21"/>
          <w:szCs w:val="16"/>
        </w:rPr>
        <w:t xml:space="preserve"> </w:t>
      </w:r>
      <w:r>
        <w:rPr>
          <w:rFonts w:hint="eastAsia"/>
          <w:b/>
          <w:bCs/>
          <w:sz w:val="21"/>
          <w:szCs w:val="16"/>
          <w:lang w:val="en-US" w:eastAsia="zh-CN"/>
        </w:rPr>
        <w:t xml:space="preserve"> </w:t>
      </w:r>
      <w:r>
        <w:rPr>
          <w:rFonts w:hint="eastAsia" w:eastAsia="宋体"/>
          <w:b/>
        </w:rPr>
        <w:t>建设阶段</w:t>
      </w:r>
      <w:r>
        <w:rPr>
          <w:rFonts w:eastAsia="宋体"/>
          <w:b/>
        </w:rPr>
        <w:t>污染物排放标准及限值一览表</w:t>
      </w:r>
    </w:p>
    <w:tbl>
      <w:tblPr>
        <w:tblStyle w:val="39"/>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134"/>
        <w:gridCol w:w="1215"/>
        <w:gridCol w:w="836"/>
        <w:gridCol w:w="2369"/>
        <w:gridCol w:w="2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48" w:type="dxa"/>
            <w:vMerge w:val="restart"/>
            <w:vAlign w:val="center"/>
          </w:tcPr>
          <w:p>
            <w:pPr>
              <w:pStyle w:val="178"/>
              <w:keepNext w:val="0"/>
              <w:keepLines w:val="0"/>
              <w:suppressLineNumbers w:val="0"/>
              <w:spacing w:before="0" w:beforeAutospacing="0" w:after="0" w:afterAutospacing="0"/>
              <w:ind w:left="0" w:right="0"/>
              <w:rPr>
                <w:rFonts w:hint="default"/>
                <w:b/>
                <w:color w:val="0D0D0D" w:themeColor="text1" w:themeTint="F2"/>
                <w:sz w:val="21"/>
                <w:szCs w:val="21"/>
                <w14:textFill>
                  <w14:solidFill>
                    <w14:schemeClr w14:val="tx1">
                      <w14:lumMod w14:val="95000"/>
                      <w14:lumOff w14:val="5000"/>
                    </w14:schemeClr>
                  </w14:solidFill>
                </w14:textFill>
              </w:rPr>
            </w:pPr>
            <w:r>
              <w:rPr>
                <w:rFonts w:hint="eastAsia"/>
                <w:b/>
                <w:color w:val="0D0D0D" w:themeColor="text1" w:themeTint="F2"/>
                <w:sz w:val="21"/>
                <w:szCs w:val="21"/>
                <w14:textFill>
                  <w14:solidFill>
                    <w14:schemeClr w14:val="tx1">
                      <w14:lumMod w14:val="95000"/>
                      <w14:lumOff w14:val="5000"/>
                    </w14:schemeClr>
                  </w14:solidFill>
                </w14:textFill>
              </w:rPr>
              <w:t>时段</w:t>
            </w:r>
          </w:p>
        </w:tc>
        <w:tc>
          <w:tcPr>
            <w:tcW w:w="1134" w:type="dxa"/>
            <w:vMerge w:val="restart"/>
            <w:vAlign w:val="center"/>
          </w:tcPr>
          <w:p>
            <w:pPr>
              <w:pStyle w:val="178"/>
              <w:keepNext w:val="0"/>
              <w:keepLines w:val="0"/>
              <w:suppressLineNumbers w:val="0"/>
              <w:spacing w:before="0" w:beforeAutospacing="0" w:after="0" w:afterAutospacing="0"/>
              <w:ind w:left="0" w:right="0"/>
              <w:rPr>
                <w:rFonts w:hint="default"/>
                <w:b/>
                <w:color w:val="0D0D0D" w:themeColor="text1" w:themeTint="F2"/>
                <w:sz w:val="21"/>
                <w:szCs w:val="21"/>
                <w14:textFill>
                  <w14:solidFill>
                    <w14:schemeClr w14:val="tx1">
                      <w14:lumMod w14:val="95000"/>
                      <w14:lumOff w14:val="5000"/>
                    </w14:schemeClr>
                  </w14:solidFill>
                </w14:textFill>
              </w:rPr>
            </w:pPr>
            <w:r>
              <w:rPr>
                <w:rFonts w:hint="default"/>
                <w:b/>
                <w:color w:val="0D0D0D" w:themeColor="text1" w:themeTint="F2"/>
                <w:sz w:val="21"/>
                <w:szCs w:val="21"/>
                <w14:textFill>
                  <w14:solidFill>
                    <w14:schemeClr w14:val="tx1">
                      <w14:lumMod w14:val="95000"/>
                      <w14:lumOff w14:val="5000"/>
                    </w14:schemeClr>
                  </w14:solidFill>
                </w14:textFill>
              </w:rPr>
              <w:t>污染物</w:t>
            </w:r>
            <w:r>
              <w:rPr>
                <w:rFonts w:hint="eastAsia"/>
                <w:b/>
                <w:color w:val="0D0D0D" w:themeColor="text1" w:themeTint="F2"/>
                <w:sz w:val="21"/>
                <w:szCs w:val="21"/>
                <w14:textFill>
                  <w14:solidFill>
                    <w14:schemeClr w14:val="tx1">
                      <w14:lumMod w14:val="95000"/>
                      <w14:lumOff w14:val="5000"/>
                    </w14:schemeClr>
                  </w14:solidFill>
                </w14:textFill>
              </w:rPr>
              <w:t>类别</w:t>
            </w:r>
          </w:p>
        </w:tc>
        <w:tc>
          <w:tcPr>
            <w:tcW w:w="1215" w:type="dxa"/>
            <w:vMerge w:val="restart"/>
            <w:vAlign w:val="center"/>
          </w:tcPr>
          <w:p>
            <w:pPr>
              <w:pStyle w:val="178"/>
              <w:keepNext w:val="0"/>
              <w:keepLines w:val="0"/>
              <w:suppressLineNumbers w:val="0"/>
              <w:spacing w:before="0" w:beforeAutospacing="0" w:after="0" w:afterAutospacing="0"/>
              <w:ind w:left="0" w:right="0"/>
              <w:rPr>
                <w:rFonts w:hint="default"/>
                <w:b/>
                <w:color w:val="0D0D0D" w:themeColor="text1" w:themeTint="F2"/>
                <w:sz w:val="21"/>
                <w:szCs w:val="21"/>
                <w14:textFill>
                  <w14:solidFill>
                    <w14:schemeClr w14:val="tx1">
                      <w14:lumMod w14:val="95000"/>
                      <w14:lumOff w14:val="5000"/>
                    </w14:schemeClr>
                  </w14:solidFill>
                </w14:textFill>
              </w:rPr>
            </w:pPr>
            <w:r>
              <w:rPr>
                <w:rFonts w:hint="eastAsia"/>
                <w:b/>
                <w:color w:val="0D0D0D" w:themeColor="text1" w:themeTint="F2"/>
                <w:sz w:val="21"/>
                <w:szCs w:val="21"/>
                <w14:textFill>
                  <w14:solidFill>
                    <w14:schemeClr w14:val="tx1">
                      <w14:lumMod w14:val="95000"/>
                      <w14:lumOff w14:val="5000"/>
                    </w14:schemeClr>
                  </w14:solidFill>
                </w14:textFill>
              </w:rPr>
              <w:t>污染物名称</w:t>
            </w:r>
          </w:p>
        </w:tc>
        <w:tc>
          <w:tcPr>
            <w:tcW w:w="3205" w:type="dxa"/>
            <w:gridSpan w:val="2"/>
            <w:vAlign w:val="center"/>
          </w:tcPr>
          <w:p>
            <w:pPr>
              <w:pStyle w:val="178"/>
              <w:keepNext w:val="0"/>
              <w:keepLines w:val="0"/>
              <w:suppressLineNumbers w:val="0"/>
              <w:spacing w:before="0" w:beforeAutospacing="0" w:after="0" w:afterAutospacing="0"/>
              <w:ind w:left="0" w:right="0"/>
              <w:rPr>
                <w:rFonts w:hint="default"/>
                <w:b/>
                <w:color w:val="0D0D0D" w:themeColor="text1" w:themeTint="F2"/>
                <w:sz w:val="21"/>
                <w:szCs w:val="21"/>
                <w14:textFill>
                  <w14:solidFill>
                    <w14:schemeClr w14:val="tx1">
                      <w14:lumMod w14:val="95000"/>
                      <w14:lumOff w14:val="5000"/>
                    </w14:schemeClr>
                  </w14:solidFill>
                </w14:textFill>
              </w:rPr>
            </w:pPr>
            <w:r>
              <w:rPr>
                <w:rFonts w:hint="default"/>
                <w:b/>
                <w:color w:val="0D0D0D" w:themeColor="text1" w:themeTint="F2"/>
                <w:sz w:val="21"/>
                <w:szCs w:val="21"/>
                <w14:textFill>
                  <w14:solidFill>
                    <w14:schemeClr w14:val="tx1">
                      <w14:lumMod w14:val="95000"/>
                      <w14:lumOff w14:val="5000"/>
                    </w14:schemeClr>
                  </w14:solidFill>
                </w14:textFill>
              </w:rPr>
              <w:t>标准值</w:t>
            </w:r>
          </w:p>
        </w:tc>
        <w:tc>
          <w:tcPr>
            <w:tcW w:w="2786" w:type="dxa"/>
            <w:vMerge w:val="restart"/>
            <w:vAlign w:val="center"/>
          </w:tcPr>
          <w:p>
            <w:pPr>
              <w:pStyle w:val="178"/>
              <w:keepNext w:val="0"/>
              <w:keepLines w:val="0"/>
              <w:suppressLineNumbers w:val="0"/>
              <w:spacing w:before="0" w:beforeAutospacing="0" w:after="0" w:afterAutospacing="0"/>
              <w:ind w:left="0" w:right="0"/>
              <w:rPr>
                <w:rFonts w:hint="default"/>
                <w:b/>
                <w:color w:val="0D0D0D" w:themeColor="text1" w:themeTint="F2"/>
                <w:sz w:val="21"/>
                <w:szCs w:val="21"/>
                <w14:textFill>
                  <w14:solidFill>
                    <w14:schemeClr w14:val="tx1">
                      <w14:lumMod w14:val="95000"/>
                      <w14:lumOff w14:val="5000"/>
                    </w14:schemeClr>
                  </w14:solidFill>
                </w14:textFill>
              </w:rPr>
            </w:pPr>
            <w:r>
              <w:rPr>
                <w:rFonts w:hint="default"/>
                <w:b/>
                <w:color w:val="0D0D0D" w:themeColor="text1" w:themeTint="F2"/>
                <w:sz w:val="21"/>
                <w:szCs w:val="21"/>
                <w14:textFill>
                  <w14:solidFill>
                    <w14:schemeClr w14:val="tx1">
                      <w14:lumMod w14:val="95000"/>
                      <w14:lumOff w14:val="5000"/>
                    </w14:schemeClr>
                  </w14:solidFill>
                </w14:textFill>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48" w:type="dxa"/>
            <w:vMerge w:val="continue"/>
            <w:vAlign w:val="center"/>
          </w:tcPr>
          <w:p>
            <w:pPr>
              <w:pStyle w:val="178"/>
              <w:keepNext w:val="0"/>
              <w:keepLines w:val="0"/>
              <w:suppressLineNumbers w:val="0"/>
              <w:spacing w:before="0" w:beforeAutospacing="0" w:after="0" w:afterAutospacing="0"/>
              <w:ind w:left="0" w:right="0" w:firstLine="422"/>
              <w:rPr>
                <w:rFonts w:hint="default"/>
                <w:b/>
                <w:color w:val="0D0D0D" w:themeColor="text1" w:themeTint="F2"/>
                <w:sz w:val="21"/>
                <w:szCs w:val="21"/>
                <w14:textFill>
                  <w14:solidFill>
                    <w14:schemeClr w14:val="tx1">
                      <w14:lumMod w14:val="95000"/>
                      <w14:lumOff w14:val="5000"/>
                    </w14:schemeClr>
                  </w14:solidFill>
                </w14:textFill>
              </w:rPr>
            </w:pPr>
          </w:p>
        </w:tc>
        <w:tc>
          <w:tcPr>
            <w:tcW w:w="1134" w:type="dxa"/>
            <w:vMerge w:val="continue"/>
            <w:vAlign w:val="center"/>
          </w:tcPr>
          <w:p>
            <w:pPr>
              <w:pStyle w:val="178"/>
              <w:keepNext w:val="0"/>
              <w:keepLines w:val="0"/>
              <w:suppressLineNumbers w:val="0"/>
              <w:spacing w:before="0" w:beforeAutospacing="0" w:after="0" w:afterAutospacing="0"/>
              <w:ind w:left="0" w:right="0" w:firstLine="422"/>
              <w:rPr>
                <w:rFonts w:hint="default"/>
                <w:b/>
                <w:color w:val="0D0D0D" w:themeColor="text1" w:themeTint="F2"/>
                <w:sz w:val="21"/>
                <w:szCs w:val="21"/>
                <w14:textFill>
                  <w14:solidFill>
                    <w14:schemeClr w14:val="tx1">
                      <w14:lumMod w14:val="95000"/>
                      <w14:lumOff w14:val="5000"/>
                    </w14:schemeClr>
                  </w14:solidFill>
                </w14:textFill>
              </w:rPr>
            </w:pPr>
          </w:p>
        </w:tc>
        <w:tc>
          <w:tcPr>
            <w:tcW w:w="1215" w:type="dxa"/>
            <w:vMerge w:val="continue"/>
            <w:vAlign w:val="center"/>
          </w:tcPr>
          <w:p>
            <w:pPr>
              <w:pStyle w:val="178"/>
              <w:keepNext w:val="0"/>
              <w:keepLines w:val="0"/>
              <w:suppressLineNumbers w:val="0"/>
              <w:spacing w:before="0" w:beforeAutospacing="0" w:after="0" w:afterAutospacing="0"/>
              <w:ind w:left="0" w:right="0"/>
              <w:rPr>
                <w:rFonts w:hint="default"/>
                <w:b/>
                <w:color w:val="0D0D0D" w:themeColor="text1" w:themeTint="F2"/>
                <w:sz w:val="21"/>
                <w:szCs w:val="21"/>
                <w14:textFill>
                  <w14:solidFill>
                    <w14:schemeClr w14:val="tx1">
                      <w14:lumMod w14:val="95000"/>
                      <w14:lumOff w14:val="5000"/>
                    </w14:schemeClr>
                  </w14:solidFill>
                </w14:textFill>
              </w:rPr>
            </w:pPr>
          </w:p>
        </w:tc>
        <w:tc>
          <w:tcPr>
            <w:tcW w:w="836" w:type="dxa"/>
            <w:vAlign w:val="center"/>
          </w:tcPr>
          <w:p>
            <w:pPr>
              <w:pStyle w:val="178"/>
              <w:keepNext w:val="0"/>
              <w:keepLines w:val="0"/>
              <w:suppressLineNumbers w:val="0"/>
              <w:spacing w:before="0" w:beforeAutospacing="0" w:after="0" w:afterAutospacing="0"/>
              <w:ind w:left="0" w:right="0"/>
              <w:rPr>
                <w:rFonts w:hint="default"/>
                <w:b/>
                <w:color w:val="0D0D0D" w:themeColor="text1" w:themeTint="F2"/>
                <w:sz w:val="21"/>
                <w:szCs w:val="21"/>
                <w14:textFill>
                  <w14:solidFill>
                    <w14:schemeClr w14:val="tx1">
                      <w14:lumMod w14:val="95000"/>
                      <w14:lumOff w14:val="5000"/>
                    </w14:schemeClr>
                  </w14:solidFill>
                </w14:textFill>
              </w:rPr>
            </w:pPr>
            <w:r>
              <w:rPr>
                <w:rFonts w:hint="default"/>
                <w:b/>
                <w:color w:val="0D0D0D" w:themeColor="text1" w:themeTint="F2"/>
                <w:sz w:val="21"/>
                <w:szCs w:val="21"/>
                <w14:textFill>
                  <w14:solidFill>
                    <w14:schemeClr w14:val="tx1">
                      <w14:lumMod w14:val="95000"/>
                      <w14:lumOff w14:val="5000"/>
                    </w14:schemeClr>
                  </w14:solidFill>
                </w14:textFill>
              </w:rPr>
              <w:t>单位</w:t>
            </w:r>
          </w:p>
        </w:tc>
        <w:tc>
          <w:tcPr>
            <w:tcW w:w="2369" w:type="dxa"/>
            <w:vAlign w:val="center"/>
          </w:tcPr>
          <w:p>
            <w:pPr>
              <w:pStyle w:val="178"/>
              <w:keepNext w:val="0"/>
              <w:keepLines w:val="0"/>
              <w:suppressLineNumbers w:val="0"/>
              <w:spacing w:before="0" w:beforeAutospacing="0" w:after="0" w:afterAutospacing="0"/>
              <w:ind w:left="0" w:right="0"/>
              <w:rPr>
                <w:rFonts w:hint="default"/>
                <w:b/>
                <w:color w:val="0D0D0D" w:themeColor="text1" w:themeTint="F2"/>
                <w:sz w:val="21"/>
                <w:szCs w:val="21"/>
                <w14:textFill>
                  <w14:solidFill>
                    <w14:schemeClr w14:val="tx1">
                      <w14:lumMod w14:val="95000"/>
                      <w14:lumOff w14:val="5000"/>
                    </w14:schemeClr>
                  </w14:solidFill>
                </w14:textFill>
              </w:rPr>
            </w:pPr>
            <w:r>
              <w:rPr>
                <w:rFonts w:hint="default"/>
                <w:b/>
                <w:color w:val="0D0D0D" w:themeColor="text1" w:themeTint="F2"/>
                <w:sz w:val="21"/>
                <w:szCs w:val="21"/>
                <w14:textFill>
                  <w14:solidFill>
                    <w14:schemeClr w14:val="tx1">
                      <w14:lumMod w14:val="95000"/>
                      <w14:lumOff w14:val="5000"/>
                    </w14:schemeClr>
                  </w14:solidFill>
                </w14:textFill>
              </w:rPr>
              <w:t>数值</w:t>
            </w:r>
          </w:p>
        </w:tc>
        <w:tc>
          <w:tcPr>
            <w:tcW w:w="2786" w:type="dxa"/>
            <w:vMerge w:val="continue"/>
            <w:vAlign w:val="center"/>
          </w:tcPr>
          <w:p>
            <w:pPr>
              <w:pStyle w:val="178"/>
              <w:keepNext w:val="0"/>
              <w:keepLines w:val="0"/>
              <w:suppressLineNumbers w:val="0"/>
              <w:spacing w:before="0" w:beforeAutospacing="0" w:after="0" w:afterAutospacing="0"/>
              <w:ind w:left="0" w:right="0" w:firstLine="422"/>
              <w:rPr>
                <w:rFonts w:hint="default"/>
                <w:b/>
                <w:color w:val="0D0D0D" w:themeColor="text1" w:themeTint="F2"/>
                <w:sz w:val="21"/>
                <w:szCs w:val="21"/>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8" w:type="dxa"/>
            <w:vMerge w:val="restart"/>
            <w:vAlign w:val="center"/>
          </w:tcPr>
          <w:p>
            <w:pPr>
              <w:pStyle w:val="178"/>
              <w:keepNext w:val="0"/>
              <w:keepLines w:val="0"/>
              <w:suppressLineNumbers w:val="0"/>
              <w:spacing w:before="0" w:beforeAutospacing="0" w:after="0" w:afterAutospacing="0"/>
              <w:ind w:left="0" w:right="0"/>
              <w:rPr>
                <w:rFonts w:hint="default"/>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建设阶段</w:t>
            </w:r>
          </w:p>
        </w:tc>
        <w:tc>
          <w:tcPr>
            <w:tcW w:w="1134" w:type="dxa"/>
            <w:vAlign w:val="center"/>
          </w:tcPr>
          <w:p>
            <w:pPr>
              <w:pStyle w:val="178"/>
              <w:keepNext w:val="0"/>
              <w:keepLines w:val="0"/>
              <w:suppressLineNumbers w:val="0"/>
              <w:spacing w:before="0" w:beforeAutospacing="0" w:after="0" w:afterAutospacing="0"/>
              <w:ind w:left="0" w:right="0"/>
              <w:rPr>
                <w:rFonts w:hint="default"/>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施工扬尘</w:t>
            </w:r>
          </w:p>
        </w:tc>
        <w:tc>
          <w:tcPr>
            <w:tcW w:w="1215" w:type="dxa"/>
            <w:vAlign w:val="center"/>
          </w:tcPr>
          <w:p>
            <w:pPr>
              <w:pStyle w:val="178"/>
              <w:keepNext w:val="0"/>
              <w:keepLines w:val="0"/>
              <w:suppressLineNumbers w:val="0"/>
              <w:spacing w:before="0" w:beforeAutospacing="0" w:after="0" w:afterAutospacing="0"/>
              <w:ind w:left="0" w:right="0"/>
              <w:rPr>
                <w:rFonts w:hint="default"/>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颗粒物（P</w:t>
            </w:r>
            <w:r>
              <w:rPr>
                <w:rFonts w:hint="default"/>
                <w:color w:val="0D0D0D" w:themeColor="text1" w:themeTint="F2"/>
                <w:sz w:val="21"/>
                <w:szCs w:val="21"/>
                <w14:textFill>
                  <w14:solidFill>
                    <w14:schemeClr w14:val="tx1">
                      <w14:lumMod w14:val="95000"/>
                      <w14:lumOff w14:val="5000"/>
                    </w14:schemeClr>
                  </w14:solidFill>
                </w14:textFill>
              </w:rPr>
              <w:t>M</w:t>
            </w:r>
            <w:r>
              <w:rPr>
                <w:rFonts w:hint="default"/>
                <w:color w:val="0D0D0D" w:themeColor="text1" w:themeTint="F2"/>
                <w:sz w:val="21"/>
                <w:szCs w:val="21"/>
                <w:vertAlign w:val="subscript"/>
                <w14:textFill>
                  <w14:solidFill>
                    <w14:schemeClr w14:val="tx1">
                      <w14:lumMod w14:val="95000"/>
                      <w14:lumOff w14:val="5000"/>
                    </w14:schemeClr>
                  </w14:solidFill>
                </w14:textFill>
              </w:rPr>
              <w:t>10</w:t>
            </w:r>
            <w:r>
              <w:rPr>
                <w:rFonts w:hint="eastAsia"/>
                <w:color w:val="0D0D0D" w:themeColor="text1" w:themeTint="F2"/>
                <w:sz w:val="21"/>
                <w:szCs w:val="21"/>
                <w:vertAlign w:val="superscript"/>
                <w14:textFill>
                  <w14:solidFill>
                    <w14:schemeClr w14:val="tx1">
                      <w14:lumMod w14:val="95000"/>
                      <w14:lumOff w14:val="5000"/>
                    </w14:schemeClr>
                  </w14:solidFill>
                </w14:textFill>
              </w:rPr>
              <w:t>*</w:t>
            </w:r>
            <w:r>
              <w:rPr>
                <w:rFonts w:hint="eastAsia"/>
                <w:color w:val="0D0D0D" w:themeColor="text1" w:themeTint="F2"/>
                <w:sz w:val="21"/>
                <w:szCs w:val="21"/>
                <w14:textFill>
                  <w14:solidFill>
                    <w14:schemeClr w14:val="tx1">
                      <w14:lumMod w14:val="95000"/>
                      <w14:lumOff w14:val="5000"/>
                    </w14:schemeClr>
                  </w14:solidFill>
                </w14:textFill>
              </w:rPr>
              <w:t>）</w:t>
            </w:r>
          </w:p>
        </w:tc>
        <w:tc>
          <w:tcPr>
            <w:tcW w:w="836" w:type="dxa"/>
            <w:vAlign w:val="center"/>
          </w:tcPr>
          <w:p>
            <w:pPr>
              <w:pStyle w:val="178"/>
              <w:keepNext w:val="0"/>
              <w:keepLines w:val="0"/>
              <w:suppressLineNumbers w:val="0"/>
              <w:spacing w:before="0" w:beforeAutospacing="0" w:after="0" w:afterAutospacing="0"/>
              <w:ind w:left="0" w:right="0"/>
              <w:rPr>
                <w:rFonts w:hint="default"/>
                <w:color w:val="0D0D0D" w:themeColor="text1" w:themeTint="F2"/>
                <w:sz w:val="21"/>
                <w:szCs w:val="21"/>
                <w14:textFill>
                  <w14:solidFill>
                    <w14:schemeClr w14:val="tx1">
                      <w14:lumMod w14:val="95000"/>
                      <w14:lumOff w14:val="5000"/>
                    </w14:schemeClr>
                  </w14:solidFill>
                </w14:textFill>
              </w:rPr>
            </w:pPr>
            <w:r>
              <w:rPr>
                <w:rFonts w:hint="default"/>
                <w:color w:val="0D0D0D" w:themeColor="text1" w:themeTint="F2"/>
                <w:sz w:val="21"/>
                <w:szCs w:val="21"/>
                <w14:textFill>
                  <w14:solidFill>
                    <w14:schemeClr w14:val="tx1">
                      <w14:lumMod w14:val="95000"/>
                      <w14:lumOff w14:val="5000"/>
                    </w14:schemeClr>
                  </w14:solidFill>
                </w14:textFill>
              </w:rPr>
              <w:t>μg/m</w:t>
            </w:r>
            <w:r>
              <w:rPr>
                <w:rFonts w:hint="default"/>
                <w:color w:val="0D0D0D" w:themeColor="text1" w:themeTint="F2"/>
                <w:sz w:val="21"/>
                <w:szCs w:val="21"/>
                <w:vertAlign w:val="superscript"/>
                <w14:textFill>
                  <w14:solidFill>
                    <w14:schemeClr w14:val="tx1">
                      <w14:lumMod w14:val="95000"/>
                      <w14:lumOff w14:val="5000"/>
                    </w14:schemeClr>
                  </w14:solidFill>
                </w14:textFill>
              </w:rPr>
              <w:t>3</w:t>
            </w:r>
          </w:p>
        </w:tc>
        <w:tc>
          <w:tcPr>
            <w:tcW w:w="2369" w:type="dxa"/>
            <w:tcMar>
              <w:left w:w="57" w:type="dxa"/>
              <w:right w:w="57" w:type="dxa"/>
            </w:tcMar>
            <w:vAlign w:val="center"/>
          </w:tcPr>
          <w:p>
            <w:pPr>
              <w:pStyle w:val="178"/>
              <w:keepNext w:val="0"/>
              <w:keepLines w:val="0"/>
              <w:suppressLineNumbers w:val="0"/>
              <w:spacing w:before="0" w:beforeAutospacing="0" w:after="0" w:afterAutospacing="0"/>
              <w:ind w:left="0" w:right="0"/>
              <w:rPr>
                <w:rFonts w:hint="default"/>
                <w:color w:val="0D0D0D" w:themeColor="text1" w:themeTint="F2"/>
                <w:sz w:val="21"/>
                <w:szCs w:val="21"/>
                <w:vertAlign w:val="superscript"/>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监测点浓度限值</w:t>
            </w:r>
            <w:r>
              <w:rPr>
                <w:rFonts w:hint="default"/>
                <w:color w:val="0D0D0D" w:themeColor="text1" w:themeTint="F2"/>
                <w:sz w:val="21"/>
                <w:szCs w:val="21"/>
                <w14:textFill>
                  <w14:solidFill>
                    <w14:schemeClr w14:val="tx1">
                      <w14:lumMod w14:val="95000"/>
                      <w14:lumOff w14:val="5000"/>
                    </w14:schemeClr>
                  </w14:solidFill>
                </w14:textFill>
              </w:rPr>
              <w:t>80μg/m</w:t>
            </w:r>
            <w:r>
              <w:rPr>
                <w:rFonts w:hint="default"/>
                <w:color w:val="0D0D0D" w:themeColor="text1" w:themeTint="F2"/>
                <w:sz w:val="21"/>
                <w:szCs w:val="21"/>
                <w:vertAlign w:val="superscript"/>
                <w14:textFill>
                  <w14:solidFill>
                    <w14:schemeClr w14:val="tx1">
                      <w14:lumMod w14:val="95000"/>
                      <w14:lumOff w14:val="5000"/>
                    </w14:schemeClr>
                  </w14:solidFill>
                </w14:textFill>
              </w:rPr>
              <w:t>3</w:t>
            </w:r>
          </w:p>
          <w:p>
            <w:pPr>
              <w:pStyle w:val="178"/>
              <w:keepNext w:val="0"/>
              <w:keepLines w:val="0"/>
              <w:suppressLineNumbers w:val="0"/>
              <w:spacing w:before="0" w:beforeAutospacing="0" w:after="0" w:afterAutospacing="0"/>
              <w:ind w:left="0" w:right="0"/>
              <w:rPr>
                <w:rFonts w:hint="default"/>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达标判定依据</w:t>
            </w:r>
            <w:r>
              <w:rPr>
                <w:rFonts w:hint="default"/>
                <w:color w:val="0D0D0D" w:themeColor="text1" w:themeTint="F2"/>
                <w:sz w:val="21"/>
                <w:szCs w:val="21"/>
                <w14:textFill>
                  <w14:solidFill>
                    <w14:schemeClr w14:val="tx1">
                      <w14:lumMod w14:val="95000"/>
                      <w14:lumOff w14:val="5000"/>
                    </w14:schemeClr>
                  </w14:solidFill>
                </w14:textFill>
              </w:rPr>
              <w:t>≤2</w:t>
            </w:r>
            <w:r>
              <w:rPr>
                <w:rFonts w:hint="eastAsia"/>
                <w:color w:val="0D0D0D" w:themeColor="text1" w:themeTint="F2"/>
                <w:sz w:val="21"/>
                <w:szCs w:val="21"/>
                <w14:textFill>
                  <w14:solidFill>
                    <w14:schemeClr w14:val="tx1">
                      <w14:lumMod w14:val="95000"/>
                      <w14:lumOff w14:val="5000"/>
                    </w14:schemeClr>
                  </w14:solidFill>
                </w14:textFill>
              </w:rPr>
              <w:t>次/天</w:t>
            </w:r>
          </w:p>
        </w:tc>
        <w:tc>
          <w:tcPr>
            <w:tcW w:w="2786" w:type="dxa"/>
            <w:vAlign w:val="center"/>
          </w:tcPr>
          <w:p>
            <w:pPr>
              <w:pStyle w:val="178"/>
              <w:keepNext w:val="0"/>
              <w:keepLines w:val="0"/>
              <w:suppressLineNumbers w:val="0"/>
              <w:spacing w:before="0" w:beforeAutospacing="0" w:after="0" w:afterAutospacing="0"/>
              <w:ind w:left="0" w:right="0"/>
              <w:rPr>
                <w:rFonts w:hint="default"/>
                <w:color w:val="0D0D0D" w:themeColor="text1" w:themeTint="F2"/>
                <w:sz w:val="21"/>
                <w:szCs w:val="21"/>
                <w14:textFill>
                  <w14:solidFill>
                    <w14:schemeClr w14:val="tx1">
                      <w14:lumMod w14:val="95000"/>
                      <w14:lumOff w14:val="5000"/>
                    </w14:schemeClr>
                  </w14:solidFill>
                </w14:textFill>
              </w:rPr>
            </w:pPr>
            <w:r>
              <w:rPr>
                <w:rFonts w:hint="default"/>
                <w:color w:val="0D0D0D" w:themeColor="text1" w:themeTint="F2"/>
                <w:sz w:val="21"/>
                <w:szCs w:val="21"/>
                <w14:textFill>
                  <w14:solidFill>
                    <w14:schemeClr w14:val="tx1">
                      <w14:lumMod w14:val="95000"/>
                      <w14:lumOff w14:val="5000"/>
                    </w14:schemeClr>
                  </w14:solidFill>
                </w14:textFill>
              </w:rPr>
              <w:t>《</w:t>
            </w:r>
            <w:r>
              <w:rPr>
                <w:rFonts w:hint="eastAsia"/>
                <w:color w:val="0D0D0D" w:themeColor="text1" w:themeTint="F2"/>
                <w:sz w:val="21"/>
                <w:szCs w:val="21"/>
                <w14:textFill>
                  <w14:solidFill>
                    <w14:schemeClr w14:val="tx1">
                      <w14:lumMod w14:val="95000"/>
                      <w14:lumOff w14:val="5000"/>
                    </w14:schemeClr>
                  </w14:solidFill>
                </w14:textFill>
              </w:rPr>
              <w:t>施工场地扬尘排放标准</w:t>
            </w:r>
            <w:r>
              <w:rPr>
                <w:rFonts w:hint="default"/>
                <w:color w:val="0D0D0D" w:themeColor="text1" w:themeTint="F2"/>
                <w:sz w:val="21"/>
                <w:szCs w:val="21"/>
                <w14:textFill>
                  <w14:solidFill>
                    <w14:schemeClr w14:val="tx1">
                      <w14:lumMod w14:val="95000"/>
                      <w14:lumOff w14:val="5000"/>
                    </w14:schemeClr>
                  </w14:solidFill>
                </w14:textFill>
              </w:rPr>
              <w:t>》（DB13/2934-2019）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8" w:type="dxa"/>
            <w:vMerge w:val="continue"/>
            <w:vAlign w:val="center"/>
          </w:tcPr>
          <w:p>
            <w:pPr>
              <w:pStyle w:val="178"/>
              <w:keepNext w:val="0"/>
              <w:keepLines w:val="0"/>
              <w:suppressLineNumbers w:val="0"/>
              <w:spacing w:before="0" w:beforeAutospacing="0" w:after="0" w:afterAutospacing="0"/>
              <w:ind w:left="0" w:right="0"/>
              <w:rPr>
                <w:rFonts w:hint="default"/>
                <w:color w:val="0D0D0D" w:themeColor="text1" w:themeTint="F2"/>
                <w:sz w:val="21"/>
                <w:szCs w:val="21"/>
                <w14:textFill>
                  <w14:solidFill>
                    <w14:schemeClr w14:val="tx1">
                      <w14:lumMod w14:val="95000"/>
                      <w14:lumOff w14:val="5000"/>
                    </w14:schemeClr>
                  </w14:solidFill>
                </w14:textFill>
              </w:rPr>
            </w:pPr>
          </w:p>
        </w:tc>
        <w:tc>
          <w:tcPr>
            <w:tcW w:w="1134" w:type="dxa"/>
            <w:vAlign w:val="center"/>
          </w:tcPr>
          <w:p>
            <w:pPr>
              <w:pStyle w:val="178"/>
              <w:keepNext w:val="0"/>
              <w:keepLines w:val="0"/>
              <w:suppressLineNumbers w:val="0"/>
              <w:spacing w:before="0" w:beforeAutospacing="0" w:after="0" w:afterAutospacing="0"/>
              <w:ind w:left="0" w:right="0"/>
              <w:rPr>
                <w:rFonts w:hint="default"/>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施工噪声</w:t>
            </w:r>
          </w:p>
        </w:tc>
        <w:tc>
          <w:tcPr>
            <w:tcW w:w="1215" w:type="dxa"/>
            <w:vAlign w:val="center"/>
          </w:tcPr>
          <w:p>
            <w:pPr>
              <w:pStyle w:val="178"/>
              <w:keepNext w:val="0"/>
              <w:keepLines w:val="0"/>
              <w:suppressLineNumbers w:val="0"/>
              <w:spacing w:before="0" w:beforeAutospacing="0" w:after="0" w:afterAutospacing="0"/>
              <w:ind w:left="0" w:right="0"/>
              <w:rPr>
                <w:rFonts w:hint="default"/>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等效连续A声级</w:t>
            </w:r>
          </w:p>
        </w:tc>
        <w:tc>
          <w:tcPr>
            <w:tcW w:w="3205" w:type="dxa"/>
            <w:gridSpan w:val="2"/>
            <w:vAlign w:val="center"/>
          </w:tcPr>
          <w:p>
            <w:pPr>
              <w:pStyle w:val="178"/>
              <w:keepNext w:val="0"/>
              <w:keepLines w:val="0"/>
              <w:suppressLineNumbers w:val="0"/>
              <w:spacing w:before="0" w:beforeAutospacing="0" w:after="0" w:afterAutospacing="0"/>
              <w:ind w:left="0" w:right="0"/>
              <w:rPr>
                <w:rFonts w:hint="default"/>
                <w:color w:val="0D0D0D" w:themeColor="text1" w:themeTint="F2"/>
                <w:sz w:val="21"/>
                <w:szCs w:val="21"/>
                <w14:textFill>
                  <w14:solidFill>
                    <w14:schemeClr w14:val="tx1">
                      <w14:lumMod w14:val="95000"/>
                      <w14:lumOff w14:val="5000"/>
                    </w14:schemeClr>
                  </w14:solidFill>
                </w14:textFill>
              </w:rPr>
            </w:pPr>
            <w:r>
              <w:rPr>
                <w:rFonts w:hint="default"/>
                <w:color w:val="0D0D0D" w:themeColor="text1" w:themeTint="F2"/>
                <w:sz w:val="21"/>
                <w:szCs w:val="21"/>
                <w14:textFill>
                  <w14:solidFill>
                    <w14:schemeClr w14:val="tx1">
                      <w14:lumMod w14:val="95000"/>
                      <w14:lumOff w14:val="5000"/>
                    </w14:schemeClr>
                  </w14:solidFill>
                </w14:textFill>
              </w:rPr>
              <w:t>昼间≤70dB（A）</w:t>
            </w:r>
          </w:p>
          <w:p>
            <w:pPr>
              <w:pStyle w:val="178"/>
              <w:keepNext w:val="0"/>
              <w:keepLines w:val="0"/>
              <w:suppressLineNumbers w:val="0"/>
              <w:spacing w:before="0" w:beforeAutospacing="0" w:after="0" w:afterAutospacing="0"/>
              <w:ind w:left="0" w:right="0"/>
              <w:rPr>
                <w:rFonts w:hint="default"/>
                <w:color w:val="0D0D0D" w:themeColor="text1" w:themeTint="F2"/>
                <w:sz w:val="21"/>
                <w:szCs w:val="21"/>
                <w14:textFill>
                  <w14:solidFill>
                    <w14:schemeClr w14:val="tx1">
                      <w14:lumMod w14:val="95000"/>
                      <w14:lumOff w14:val="5000"/>
                    </w14:schemeClr>
                  </w14:solidFill>
                </w14:textFill>
              </w:rPr>
            </w:pPr>
            <w:r>
              <w:rPr>
                <w:rFonts w:hint="default"/>
                <w:color w:val="0D0D0D" w:themeColor="text1" w:themeTint="F2"/>
                <w:sz w:val="21"/>
                <w:szCs w:val="21"/>
                <w14:textFill>
                  <w14:solidFill>
                    <w14:schemeClr w14:val="tx1">
                      <w14:lumMod w14:val="95000"/>
                      <w14:lumOff w14:val="5000"/>
                    </w14:schemeClr>
                  </w14:solidFill>
                </w14:textFill>
              </w:rPr>
              <w:t>夜间≤55dB（A）</w:t>
            </w:r>
          </w:p>
        </w:tc>
        <w:tc>
          <w:tcPr>
            <w:tcW w:w="2786" w:type="dxa"/>
            <w:vAlign w:val="center"/>
          </w:tcPr>
          <w:p>
            <w:pPr>
              <w:pStyle w:val="178"/>
              <w:keepNext w:val="0"/>
              <w:keepLines w:val="0"/>
              <w:suppressLineNumbers w:val="0"/>
              <w:spacing w:before="0" w:beforeAutospacing="0" w:after="0" w:afterAutospacing="0"/>
              <w:ind w:left="0" w:right="0"/>
              <w:rPr>
                <w:rFonts w:hint="default"/>
                <w:color w:val="0D0D0D" w:themeColor="text1" w:themeTint="F2"/>
                <w:sz w:val="21"/>
                <w:szCs w:val="21"/>
                <w14:textFill>
                  <w14:solidFill>
                    <w14:schemeClr w14:val="tx1">
                      <w14:lumMod w14:val="95000"/>
                      <w14:lumOff w14:val="5000"/>
                    </w14:schemeClr>
                  </w14:solidFill>
                </w14:textFill>
              </w:rPr>
            </w:pPr>
            <w:r>
              <w:rPr>
                <w:rFonts w:hint="default"/>
                <w:color w:val="0D0D0D" w:themeColor="text1" w:themeTint="F2"/>
                <w:sz w:val="21"/>
                <w:szCs w:val="21"/>
                <w14:textFill>
                  <w14:solidFill>
                    <w14:schemeClr w14:val="tx1">
                      <w14:lumMod w14:val="95000"/>
                      <w14:lumOff w14:val="5000"/>
                    </w14:schemeClr>
                  </w14:solidFill>
                </w14:textFill>
              </w:rPr>
              <w:t>《建筑施工场界环境噪声排放标准》（GB12523-2011）表1中噪声限值</w:t>
            </w:r>
          </w:p>
        </w:tc>
      </w:tr>
    </w:tbl>
    <w:p>
      <w:pPr>
        <w:pStyle w:val="141"/>
        <w:keepNext w:val="0"/>
        <w:keepLines w:val="0"/>
        <w:pageBreakBefore w:val="0"/>
        <w:widowControl w:val="0"/>
        <w:numPr>
          <w:ilvl w:val="0"/>
          <w:numId w:val="0"/>
        </w:numPr>
        <w:tabs>
          <w:tab w:val="clear" w:pos="420"/>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sz w:val="21"/>
        </w:rPr>
      </w:pPr>
      <w:r>
        <w:rPr>
          <w:rFonts w:hint="default" w:ascii="Times New Roman" w:hAnsi="Times New Roman" w:eastAsia="仿宋" w:cs="Times New Roman"/>
          <w:sz w:val="21"/>
        </w:rPr>
        <w:t>备注：PM</w:t>
      </w:r>
      <w:r>
        <w:rPr>
          <w:rFonts w:hint="default" w:ascii="Times New Roman" w:hAnsi="Times New Roman" w:eastAsia="仿宋" w:cs="Times New Roman"/>
          <w:sz w:val="21"/>
          <w:vertAlign w:val="subscript"/>
        </w:rPr>
        <w:t>10</w:t>
      </w:r>
      <w:r>
        <w:rPr>
          <w:rFonts w:hint="default" w:ascii="Times New Roman" w:hAnsi="Times New Roman" w:eastAsia="仿宋" w:cs="Times New Roman"/>
          <w:sz w:val="21"/>
        </w:rPr>
        <w:t>排放标准为监测点浓度限值，指监测点PM</w:t>
      </w:r>
      <w:r>
        <w:rPr>
          <w:rFonts w:hint="default" w:ascii="Times New Roman" w:hAnsi="Times New Roman" w:eastAsia="仿宋" w:cs="Times New Roman"/>
          <w:sz w:val="21"/>
          <w:vertAlign w:val="subscript"/>
        </w:rPr>
        <w:t>10</w:t>
      </w:r>
      <w:r>
        <w:rPr>
          <w:rFonts w:hint="default" w:ascii="Times New Roman" w:hAnsi="Times New Roman" w:eastAsia="仿宋" w:cs="Times New Roman"/>
          <w:sz w:val="21"/>
        </w:rPr>
        <w:t>小时平均浓度实测值与同时段所属县（市、区）PM</w:t>
      </w:r>
      <w:r>
        <w:rPr>
          <w:rFonts w:hint="default" w:ascii="Times New Roman" w:hAnsi="Times New Roman" w:eastAsia="仿宋" w:cs="Times New Roman"/>
          <w:sz w:val="21"/>
          <w:vertAlign w:val="subscript"/>
        </w:rPr>
        <w:t>10</w:t>
      </w:r>
      <w:r>
        <w:rPr>
          <w:rFonts w:hint="default" w:ascii="Times New Roman" w:hAnsi="Times New Roman" w:eastAsia="仿宋" w:cs="Times New Roman"/>
          <w:sz w:val="21"/>
        </w:rPr>
        <w:t>小时平均浓度的差值。当县（市、区）PM</w:t>
      </w:r>
      <w:r>
        <w:rPr>
          <w:rFonts w:hint="default" w:ascii="Times New Roman" w:hAnsi="Times New Roman" w:eastAsia="仿宋" w:cs="Times New Roman"/>
          <w:sz w:val="21"/>
          <w:vertAlign w:val="subscript"/>
        </w:rPr>
        <w:t>10</w:t>
      </w:r>
      <w:r>
        <w:rPr>
          <w:rFonts w:hint="default" w:ascii="Times New Roman" w:hAnsi="Times New Roman" w:eastAsia="仿宋" w:cs="Times New Roman"/>
          <w:sz w:val="21"/>
        </w:rPr>
        <w:t>小时平均浓度值大于150μg/m</w:t>
      </w:r>
      <w:r>
        <w:rPr>
          <w:rFonts w:hint="default" w:ascii="Times New Roman" w:hAnsi="Times New Roman" w:eastAsia="仿宋" w:cs="Times New Roman"/>
          <w:sz w:val="21"/>
          <w:vertAlign w:val="superscript"/>
        </w:rPr>
        <w:t>3</w:t>
      </w:r>
      <w:r>
        <w:rPr>
          <w:rFonts w:hint="default" w:ascii="Times New Roman" w:hAnsi="Times New Roman" w:eastAsia="仿宋" w:cs="Times New Roman"/>
          <w:sz w:val="21"/>
        </w:rPr>
        <w:t>时，以150μg/m</w:t>
      </w:r>
      <w:r>
        <w:rPr>
          <w:rFonts w:hint="default" w:ascii="Times New Roman" w:hAnsi="Times New Roman" w:eastAsia="仿宋" w:cs="Times New Roman"/>
          <w:sz w:val="21"/>
          <w:vertAlign w:val="superscript"/>
        </w:rPr>
        <w:t>3</w:t>
      </w:r>
      <w:r>
        <w:rPr>
          <w:rFonts w:hint="default" w:ascii="Times New Roman" w:hAnsi="Times New Roman" w:eastAsia="仿宋" w:cs="Times New Roman"/>
          <w:sz w:val="21"/>
        </w:rPr>
        <w:t>计。</w:t>
      </w:r>
    </w:p>
    <w:p>
      <w:pPr>
        <w:keepNext w:val="0"/>
        <w:keepLines w:val="0"/>
        <w:pageBreakBefore w:val="0"/>
        <w:widowControl w:val="0"/>
        <w:kinsoku/>
        <w:wordWrap/>
        <w:overflowPunct/>
        <w:topLinePunct w:val="0"/>
        <w:autoSpaceDE/>
        <w:autoSpaceDN/>
        <w:bidi w:val="0"/>
        <w:adjustRightInd w:val="0"/>
        <w:snapToGrid w:val="0"/>
        <w:spacing w:before="174" w:beforeLines="50"/>
        <w:textAlignment w:val="auto"/>
      </w:pPr>
      <w:r>
        <w:rPr>
          <w:rFonts w:hint="eastAsia"/>
        </w:rPr>
        <w:t>2、运行阶段污染物排放标准</w:t>
      </w:r>
    </w:p>
    <w:p>
      <w:pPr>
        <w:pStyle w:val="141"/>
        <w:numPr>
          <w:ilvl w:val="0"/>
          <w:numId w:val="0"/>
        </w:numPr>
        <w:tabs>
          <w:tab w:val="clear" w:pos="420"/>
        </w:tabs>
        <w:ind w:firstLine="480" w:firstLineChars="200"/>
      </w:pPr>
      <w:r>
        <w:rPr>
          <w:rFonts w:hint="eastAsia"/>
        </w:rPr>
        <w:t>项目运行阶段无废气、废水、噪声等污染物的排放。</w:t>
      </w:r>
    </w:p>
    <w:p>
      <w:pPr>
        <w:pStyle w:val="6"/>
        <w:bidi w:val="0"/>
        <w:rPr>
          <w:rFonts w:hint="eastAsia"/>
          <w:lang w:eastAsia="zh-CN"/>
        </w:rPr>
      </w:pPr>
      <w:bookmarkStart w:id="249" w:name="_Toc23860"/>
      <w:r>
        <w:rPr>
          <w:rFonts w:hint="eastAsia"/>
          <w:lang w:eastAsia="zh-CN"/>
        </w:rPr>
        <w:t>2.8.3 污染控制标准</w:t>
      </w:r>
      <w:bookmarkEnd w:id="249"/>
    </w:p>
    <w:p>
      <w:pPr>
        <w:bidi w:val="0"/>
        <w:rPr>
          <w:rFonts w:hint="eastAsia"/>
          <w:lang w:eastAsia="zh-CN"/>
        </w:rPr>
      </w:pPr>
      <w:r>
        <w:rPr>
          <w:rFonts w:hint="eastAsia"/>
          <w:lang w:eastAsia="zh-CN"/>
        </w:rPr>
        <w:t>固体废弃物处置执行《一般工业固体废物贮存、处置场污染控制标准》（GB18599-2020）中的相关控制要求。</w:t>
      </w:r>
    </w:p>
    <w:p>
      <w:pPr>
        <w:bidi w:val="0"/>
        <w:rPr>
          <w:rFonts w:hint="eastAsia"/>
          <w:lang w:eastAsia="zh-CN"/>
        </w:rPr>
      </w:pPr>
    </w:p>
    <w:p>
      <w:pPr>
        <w:bidi w:val="0"/>
        <w:rPr>
          <w:rFonts w:hint="eastAsia"/>
          <w:lang w:eastAsia="zh-CN"/>
        </w:rPr>
      </w:pPr>
    </w:p>
    <w:p>
      <w:pPr>
        <w:bidi w:val="0"/>
        <w:rPr>
          <w:rFonts w:hint="eastAsia"/>
          <w:lang w:eastAsia="zh-CN"/>
        </w:rPr>
      </w:pPr>
    </w:p>
    <w:p>
      <w:pPr>
        <w:bidi w:val="0"/>
        <w:ind w:left="0" w:leftChars="0" w:firstLine="0" w:firstLineChars="0"/>
        <w:rPr>
          <w:rFonts w:hint="eastAsia"/>
          <w:lang w:eastAsia="zh-CN"/>
        </w:rPr>
        <w:sectPr>
          <w:headerReference r:id="rId15" w:type="default"/>
          <w:footerReference r:id="rId16" w:type="default"/>
          <w:pgSz w:w="11907" w:h="16840"/>
          <w:pgMar w:top="1417" w:right="1304" w:bottom="1417" w:left="1304" w:header="850" w:footer="992" w:gutter="0"/>
          <w:cols w:space="0" w:num="1"/>
          <w:docGrid w:linePitch="346" w:charSpace="0"/>
        </w:sectPr>
      </w:pPr>
    </w:p>
    <w:p>
      <w:pPr>
        <w:pStyle w:val="3"/>
        <w:rPr>
          <w:rFonts w:ascii="Times New Roman" w:hAnsi="Times New Roman"/>
        </w:rPr>
      </w:pPr>
      <w:bookmarkStart w:id="250" w:name="_Toc470785845"/>
      <w:bookmarkStart w:id="251" w:name="_Toc21730"/>
      <w:bookmarkStart w:id="252" w:name="_Toc326754962"/>
      <w:bookmarkStart w:id="253" w:name="_Toc286934649"/>
      <w:bookmarkStart w:id="254" w:name="_Toc282959709"/>
      <w:bookmarkStart w:id="255" w:name="_Toc282946139"/>
      <w:bookmarkStart w:id="256" w:name="_Toc269200630"/>
      <w:bookmarkStart w:id="257" w:name="_Toc332632553"/>
      <w:bookmarkStart w:id="258" w:name="_Toc286835714"/>
      <w:bookmarkStart w:id="259" w:name="_Toc283110184"/>
      <w:bookmarkStart w:id="260" w:name="_Toc470785860"/>
      <w:bookmarkStart w:id="261" w:name="_Toc326754958"/>
      <w:bookmarkStart w:id="262" w:name="_Toc332632557"/>
      <w:r>
        <w:rPr>
          <w:rFonts w:ascii="Times New Roman" w:hAnsi="Times New Roman"/>
        </w:rPr>
        <w:t>第三章 建设项目工程分析</w:t>
      </w:r>
      <w:bookmarkEnd w:id="250"/>
      <w:bookmarkEnd w:id="251"/>
    </w:p>
    <w:p>
      <w:pPr>
        <w:pStyle w:val="5"/>
        <w:spacing w:before="120" w:beforeLines="50"/>
      </w:pPr>
      <w:bookmarkStart w:id="263" w:name="_Toc4408"/>
      <w:r>
        <w:rPr>
          <w:rFonts w:hint="eastAsia"/>
        </w:rPr>
        <w:t>3.1</w:t>
      </w:r>
      <w:bookmarkStart w:id="264" w:name="_Toc918"/>
      <w:bookmarkStart w:id="265" w:name="_Toc470785846"/>
      <w:bookmarkStart w:id="266" w:name="_Toc827"/>
      <w:r>
        <w:rPr>
          <w:rFonts w:hint="default" w:ascii="Times New Roman" w:hAnsi="Times New Roman" w:cs="Times New Roman"/>
          <w:highlight w:val="none"/>
        </w:rPr>
        <w:t xml:space="preserve"> </w:t>
      </w:r>
      <w:bookmarkEnd w:id="264"/>
      <w:bookmarkEnd w:id="265"/>
      <w:bookmarkEnd w:id="266"/>
      <w:r>
        <w:t>项目概况</w:t>
      </w:r>
      <w:bookmarkEnd w:id="263"/>
    </w:p>
    <w:p>
      <w:pPr>
        <w:pStyle w:val="6"/>
        <w:rPr>
          <w:rFonts w:hint="eastAsia" w:eastAsia="宋体"/>
          <w:lang w:eastAsia="zh-CN"/>
        </w:rPr>
      </w:pPr>
      <w:bookmarkStart w:id="267" w:name="_Toc17160"/>
      <w:r>
        <w:rPr>
          <w:rFonts w:hint="eastAsia"/>
        </w:rPr>
        <w:t>3.</w:t>
      </w:r>
      <w:r>
        <w:rPr>
          <w:rFonts w:hint="eastAsia"/>
          <w:lang w:val="en-US" w:eastAsia="zh-CN"/>
        </w:rPr>
        <w:t>1</w:t>
      </w:r>
      <w:r>
        <w:t>.1</w:t>
      </w:r>
      <w:r>
        <w:rPr>
          <w:rFonts w:hint="eastAsia"/>
        </w:rPr>
        <w:t>项目</w:t>
      </w:r>
      <w:r>
        <w:rPr>
          <w:rFonts w:hint="eastAsia"/>
          <w:lang w:eastAsia="zh-CN"/>
        </w:rPr>
        <w:t>概况</w:t>
      </w:r>
      <w:bookmarkEnd w:id="267"/>
    </w:p>
    <w:p>
      <w:pPr>
        <w:ind w:firstLine="480"/>
        <w:rPr>
          <w:rFonts w:hint="eastAsia" w:eastAsia="宋体"/>
          <w:lang w:eastAsia="zh-CN"/>
        </w:rPr>
      </w:pPr>
      <w:r>
        <w:rPr>
          <w:rFonts w:hint="eastAsia" w:cs="宋体"/>
        </w:rPr>
        <w:t>◆</w:t>
      </w:r>
      <w:r>
        <w:t>项目名称：</w:t>
      </w:r>
      <w:r>
        <w:rPr>
          <w:rFonts w:hint="eastAsia"/>
          <w:lang w:eastAsia="zh-CN"/>
        </w:rPr>
        <w:t>三块石国考断面周边环境综合整治工程</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lang w:eastAsia="zh-CN"/>
        </w:rPr>
      </w:pPr>
      <w:r>
        <w:rPr>
          <w:rFonts w:hint="eastAsia" w:cs="宋体"/>
        </w:rPr>
        <w:t>◆</w:t>
      </w:r>
      <w:r>
        <w:t>建设单位：</w:t>
      </w:r>
      <w:r>
        <w:rPr>
          <w:rFonts w:hint="eastAsia"/>
          <w:bCs/>
          <w:lang w:eastAsia="zh-CN"/>
        </w:rPr>
        <w:t>兴隆县李家营镇人民政府</w:t>
      </w:r>
    </w:p>
    <w:p>
      <w:pPr>
        <w:ind w:firstLine="480"/>
        <w:rPr>
          <w:rFonts w:hint="default" w:ascii="Times New Roman" w:hAnsi="Times New Roman" w:eastAsia="宋体" w:cs="宋体"/>
          <w:lang w:eastAsia="zh-CN"/>
        </w:rPr>
      </w:pPr>
      <w:r>
        <w:rPr>
          <w:rFonts w:hint="eastAsia" w:cs="宋体"/>
        </w:rPr>
        <w:t>◆</w:t>
      </w:r>
      <w:r>
        <w:rPr>
          <w:rFonts w:hint="default" w:ascii="Times New Roman" w:hAnsi="Times New Roman" w:eastAsia="宋体" w:cs="宋体"/>
          <w:lang w:eastAsia="zh-CN"/>
        </w:rPr>
        <w:t>法人代表：</w:t>
      </w:r>
      <w:r>
        <w:rPr>
          <w:rFonts w:hint="eastAsia" w:cs="宋体"/>
          <w:lang w:eastAsia="zh-CN"/>
        </w:rPr>
        <w:t>张海新</w:t>
      </w:r>
    </w:p>
    <w:p>
      <w:pPr>
        <w:ind w:firstLine="480"/>
        <w:rPr>
          <w:rFonts w:hint="default" w:ascii="Times New Roman" w:hAnsi="Times New Roman" w:eastAsia="宋体" w:cs="宋体"/>
          <w:lang w:eastAsia="zh-CN"/>
        </w:rPr>
      </w:pPr>
      <w:r>
        <w:rPr>
          <w:rFonts w:hint="eastAsia" w:cs="宋体"/>
        </w:rPr>
        <w:t>◆</w:t>
      </w:r>
      <w:r>
        <w:rPr>
          <w:rFonts w:hint="default" w:ascii="Times New Roman" w:hAnsi="Times New Roman" w:eastAsia="宋体" w:cs="宋体"/>
          <w:lang w:eastAsia="zh-CN"/>
        </w:rPr>
        <w:t>统一社会信用代码：11130822000967545C</w:t>
      </w:r>
    </w:p>
    <w:p>
      <w:pPr>
        <w:ind w:firstLine="480"/>
        <w:rPr>
          <w:rFonts w:hint="eastAsia" w:ascii="Times New Roman" w:hAnsi="Times New Roman" w:eastAsia="宋体" w:cs="宋体"/>
          <w:lang w:eastAsia="zh-CN"/>
        </w:rPr>
      </w:pPr>
      <w:r>
        <w:rPr>
          <w:rFonts w:hint="eastAsia" w:ascii="Times New Roman" w:hAnsi="Times New Roman" w:eastAsia="宋体" w:cs="宋体"/>
        </w:rPr>
        <w:t>◆建设性质：</w:t>
      </w:r>
      <w:r>
        <w:rPr>
          <w:rFonts w:hint="eastAsia" w:cs="宋体"/>
          <w:lang w:eastAsia="zh-CN"/>
        </w:rPr>
        <w:t>新建</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宋体" w:hAnsi="宋体" w:eastAsia="宋体" w:cs="宋体"/>
          <w:color w:val="000000"/>
          <w:szCs w:val="24"/>
          <w:lang w:eastAsia="zh-CN"/>
        </w:rPr>
      </w:pPr>
      <w:r>
        <w:rPr>
          <w:rFonts w:hint="eastAsia" w:cs="宋体"/>
        </w:rPr>
        <w:t>◆</w:t>
      </w:r>
      <w:r>
        <w:rPr>
          <w:rFonts w:hint="eastAsia"/>
          <w:szCs w:val="24"/>
        </w:rPr>
        <w:t>行业类别：</w:t>
      </w:r>
      <w:r>
        <w:rPr>
          <w:rFonts w:hint="eastAsia" w:ascii="TimesNewRomanPSMT" w:hAnsi="TimesNewRomanPSMT" w:eastAsia="TimesNewRomanPSMT" w:cs="TimesNewRomanPSMT"/>
          <w:color w:val="000000"/>
          <w:szCs w:val="24"/>
        </w:rPr>
        <w:t>E4822河湖治理及防洪设施工程建筑</w:t>
      </w:r>
      <w:r>
        <w:rPr>
          <w:rFonts w:hint="eastAsia" w:ascii="宋体" w:hAnsi="宋体" w:cs="宋体"/>
          <w:color w:val="000000"/>
          <w:szCs w:val="24"/>
          <w:lang w:eastAsia="zh-CN"/>
        </w:rPr>
        <w:t>；</w:t>
      </w:r>
    </w:p>
    <w:p>
      <w:pPr>
        <w:ind w:firstLine="480"/>
        <w:rPr>
          <w:highlight w:val="none"/>
        </w:rPr>
      </w:pPr>
      <w:r>
        <w:rPr>
          <w:rFonts w:hint="eastAsia" w:cs="宋体"/>
        </w:rPr>
        <w:t>◆</w:t>
      </w:r>
      <w:r>
        <w:rPr>
          <w:rFonts w:hint="eastAsia"/>
        </w:rPr>
        <w:t>建设地点：</w:t>
      </w:r>
      <w:r>
        <w:rPr>
          <w:rFonts w:hint="eastAsia" w:ascii="Times New Roman" w:cs="Times New Roman"/>
          <w:color w:val="auto"/>
        </w:rPr>
        <w:t>本项目位于</w:t>
      </w:r>
      <w:r>
        <w:rPr>
          <w:rFonts w:hint="eastAsia" w:cs="Times New Roman"/>
          <w:color w:val="auto"/>
          <w:lang w:eastAsia="zh-CN"/>
        </w:rPr>
        <w:t>兴隆县李家营镇下台子村</w:t>
      </w:r>
      <w:r>
        <w:rPr>
          <w:rFonts w:hint="eastAsia" w:ascii="Times New Roman" w:cs="Times New Roman"/>
          <w:color w:val="auto"/>
          <w:lang w:eastAsia="zh-CN"/>
        </w:rPr>
        <w:t>，工程起点坐标为东经</w:t>
      </w:r>
      <w:r>
        <w:rPr>
          <w:rFonts w:hint="default" w:ascii="Times New Roman" w:hAnsi="Times New Roman" w:cs="Times New Roman"/>
          <w:color w:val="auto"/>
          <w:lang w:eastAsia="zh-CN"/>
        </w:rPr>
        <w:t>117°45′41.40571″</w:t>
      </w:r>
      <w:r>
        <w:rPr>
          <w:rFonts w:hint="eastAsia" w:cs="Times New Roman"/>
          <w:color w:val="auto"/>
          <w:lang w:eastAsia="zh-CN"/>
        </w:rPr>
        <w:t>、</w:t>
      </w:r>
      <w:r>
        <w:rPr>
          <w:rFonts w:hint="default" w:ascii="Times New Roman" w:hAnsi="Times New Roman" w:cs="Times New Roman"/>
          <w:color w:val="auto"/>
          <w:lang w:eastAsia="zh-CN"/>
        </w:rPr>
        <w:t>北纬40°36′47.62683″</w:t>
      </w:r>
      <w:r>
        <w:rPr>
          <w:rFonts w:hint="eastAsia" w:ascii="Times New Roman" w:cs="Times New Roman"/>
          <w:color w:val="auto"/>
          <w:lang w:eastAsia="zh-CN"/>
        </w:rPr>
        <w:t>，终点坐标为东经</w:t>
      </w:r>
      <w:r>
        <w:rPr>
          <w:rFonts w:hint="default" w:ascii="Times New Roman" w:hAnsi="Times New Roman" w:cs="Times New Roman"/>
          <w:color w:val="auto"/>
          <w:lang w:eastAsia="zh-CN"/>
        </w:rPr>
        <w:t>117°46′2.95780″</w:t>
      </w:r>
      <w:r>
        <w:rPr>
          <w:rFonts w:hint="eastAsia" w:cs="Times New Roman"/>
          <w:color w:val="auto"/>
          <w:lang w:eastAsia="zh-CN"/>
        </w:rPr>
        <w:t>、</w:t>
      </w:r>
      <w:r>
        <w:rPr>
          <w:rFonts w:hint="default" w:ascii="Times New Roman" w:hAnsi="Times New Roman" w:cs="Times New Roman"/>
          <w:color w:val="auto"/>
          <w:lang w:eastAsia="zh-CN"/>
        </w:rPr>
        <w:t>北纬40°36′42.58643″</w:t>
      </w:r>
      <w:r>
        <w:rPr>
          <w:rFonts w:hint="eastAsia" w:ascii="Times New Roman" w:cs="Times New Roman"/>
          <w:color w:val="auto"/>
          <w:lang w:eastAsia="zh-CN"/>
        </w:rPr>
        <w:t>。</w:t>
      </w:r>
    </w:p>
    <w:p>
      <w:pPr>
        <w:ind w:firstLine="480" w:firstLineChars="200"/>
        <w:rPr>
          <w:rFonts w:hint="eastAsia"/>
          <w:color w:val="000000"/>
          <w:highlight w:val="none"/>
        </w:rPr>
      </w:pPr>
      <w:r>
        <w:rPr>
          <w:rFonts w:hint="eastAsia" w:cs="宋体"/>
          <w:highlight w:val="none"/>
        </w:rPr>
        <w:t>◆</w:t>
      </w:r>
      <w:r>
        <w:rPr>
          <w:highlight w:val="none"/>
        </w:rPr>
        <w:t>投资</w:t>
      </w:r>
      <w:r>
        <w:rPr>
          <w:rFonts w:hint="eastAsia"/>
          <w:highlight w:val="none"/>
        </w:rPr>
        <w:t>总额</w:t>
      </w:r>
      <w:r>
        <w:rPr>
          <w:highlight w:val="none"/>
        </w:rPr>
        <w:t>：</w:t>
      </w:r>
      <w:r>
        <w:rPr>
          <w:rFonts w:hint="eastAsia"/>
          <w:color w:val="000000"/>
          <w:highlight w:val="none"/>
        </w:rPr>
        <w:t>总投资168.35万元，其中环保投资129.21万元，占总投资的76.75%。</w:t>
      </w:r>
    </w:p>
    <w:p>
      <w:pPr>
        <w:ind w:firstLine="480" w:firstLineChars="200"/>
        <w:rPr>
          <w:rFonts w:hint="default"/>
          <w:color w:val="000000"/>
          <w:highlight w:val="none"/>
          <w:vertAlign w:val="baseline"/>
          <w:lang w:val="en-US" w:eastAsia="zh-CN"/>
        </w:rPr>
      </w:pPr>
      <w:r>
        <w:rPr>
          <w:rFonts w:hint="eastAsia" w:cs="宋体"/>
        </w:rPr>
        <w:t>◆</w:t>
      </w:r>
      <w:r>
        <w:rPr>
          <w:rFonts w:hint="eastAsia" w:cs="宋体"/>
          <w:lang w:eastAsia="zh-CN"/>
        </w:rPr>
        <w:t>项目实施计划：项目计划建设周期为</w:t>
      </w:r>
      <w:r>
        <w:rPr>
          <w:rFonts w:hint="eastAsia" w:cs="宋体"/>
          <w:lang w:val="en-US" w:eastAsia="zh-CN"/>
        </w:rPr>
        <w:t>8</w:t>
      </w:r>
      <w:r>
        <w:rPr>
          <w:rFonts w:hint="eastAsia" w:cs="宋体"/>
          <w:lang w:eastAsia="zh-CN"/>
        </w:rPr>
        <w:t>个月，自202</w:t>
      </w:r>
      <w:r>
        <w:rPr>
          <w:rFonts w:hint="eastAsia" w:cs="宋体"/>
          <w:lang w:val="en-US" w:eastAsia="zh-CN"/>
        </w:rPr>
        <w:t>3</w:t>
      </w:r>
      <w:r>
        <w:rPr>
          <w:rFonts w:hint="eastAsia" w:cs="宋体"/>
          <w:lang w:eastAsia="zh-CN"/>
        </w:rPr>
        <w:t>年</w:t>
      </w:r>
      <w:r>
        <w:rPr>
          <w:rFonts w:hint="eastAsia" w:cs="宋体"/>
          <w:lang w:val="en-US" w:eastAsia="zh-CN"/>
        </w:rPr>
        <w:t>4</w:t>
      </w:r>
      <w:r>
        <w:rPr>
          <w:rFonts w:hint="eastAsia" w:cs="宋体"/>
          <w:lang w:eastAsia="zh-CN"/>
        </w:rPr>
        <w:t>月至2023年</w:t>
      </w:r>
      <w:r>
        <w:rPr>
          <w:rFonts w:hint="eastAsia" w:cs="宋体"/>
          <w:lang w:val="en-US" w:eastAsia="zh-CN"/>
        </w:rPr>
        <w:t>12</w:t>
      </w:r>
      <w:r>
        <w:rPr>
          <w:rFonts w:hint="eastAsia" w:cs="宋体"/>
          <w:lang w:eastAsia="zh-CN"/>
        </w:rPr>
        <w:t>月</w:t>
      </w:r>
      <w:r>
        <w:rPr>
          <w:rFonts w:hint="default" w:ascii="Times New Roman" w:hAnsi="Times New Roman" w:cs="Times New Roman"/>
          <w:color w:val="auto"/>
          <w:sz w:val="24"/>
          <w:szCs w:val="24"/>
        </w:rPr>
        <w:t>。</w:t>
      </w:r>
    </w:p>
    <w:p>
      <w:pPr>
        <w:ind w:firstLine="480"/>
        <w:rPr>
          <w:rFonts w:hint="default" w:eastAsia="宋体"/>
          <w:lang w:val="en-US" w:eastAsia="zh-CN"/>
        </w:rPr>
      </w:pPr>
      <w:r>
        <w:rPr>
          <w:rFonts w:hint="eastAsia" w:cs="宋体"/>
        </w:rPr>
        <w:t>◆</w:t>
      </w:r>
      <w:r>
        <w:rPr>
          <w:rFonts w:hint="eastAsia"/>
          <w:lang w:eastAsia="zh-CN"/>
        </w:rPr>
        <w:t>周边</w:t>
      </w:r>
      <w:r>
        <w:t>关系：</w:t>
      </w:r>
      <w:r>
        <w:rPr>
          <w:rFonts w:hint="eastAsia"/>
        </w:rPr>
        <w:t>本项目</w:t>
      </w:r>
      <w:r>
        <w:rPr>
          <w:rFonts w:hint="eastAsia"/>
          <w:lang w:eastAsia="zh-CN"/>
        </w:rPr>
        <w:t>于柳河河道内进行施工</w:t>
      </w:r>
      <w:r>
        <w:rPr>
          <w:rFonts w:hint="eastAsia"/>
        </w:rPr>
        <w:t>，柳河为生态保护红线</w:t>
      </w:r>
      <w:r>
        <w:rPr>
          <w:rFonts w:hint="eastAsia"/>
          <w:lang w:eastAsia="zh-CN"/>
        </w:rPr>
        <w:t>区域</w:t>
      </w:r>
      <w:r>
        <w:rPr>
          <w:rFonts w:hint="eastAsia"/>
        </w:rPr>
        <w:t>。本次施工河道北侧</w:t>
      </w:r>
      <w:r>
        <w:rPr>
          <w:rFonts w:hint="eastAsia"/>
          <w:lang w:val="en-US" w:eastAsia="zh-CN"/>
        </w:rPr>
        <w:t>120m处为三块石村</w:t>
      </w:r>
      <w:r>
        <w:rPr>
          <w:rFonts w:hint="eastAsia"/>
        </w:rPr>
        <w:t>，南侧为</w:t>
      </w:r>
      <w:r>
        <w:rPr>
          <w:rFonts w:hint="eastAsia"/>
          <w:lang w:eastAsia="zh-CN"/>
        </w:rPr>
        <w:t>省道东北线，西侧</w:t>
      </w:r>
      <w:r>
        <w:rPr>
          <w:rFonts w:hint="eastAsia"/>
          <w:lang w:val="en-US" w:eastAsia="zh-CN"/>
        </w:rPr>
        <w:t>160m处为杨树底下村</w:t>
      </w:r>
      <w:r>
        <w:rPr>
          <w:rFonts w:hint="eastAsia"/>
        </w:rPr>
        <w:t>。</w:t>
      </w:r>
    </w:p>
    <w:p>
      <w:pPr>
        <w:pStyle w:val="6"/>
      </w:pPr>
      <w:bookmarkStart w:id="268" w:name="_Toc18001"/>
      <w:r>
        <w:rPr>
          <w:rFonts w:hint="eastAsia"/>
        </w:rPr>
        <w:t>3.</w:t>
      </w:r>
      <w:r>
        <w:rPr>
          <w:rFonts w:hint="eastAsia"/>
          <w:lang w:val="en-US" w:eastAsia="zh-CN"/>
        </w:rPr>
        <w:t>1</w:t>
      </w:r>
      <w:r>
        <w:rPr>
          <w:rFonts w:hint="eastAsia"/>
        </w:rPr>
        <w:t>.2</w:t>
      </w:r>
      <w:r>
        <w:t>项目工程组成</w:t>
      </w:r>
      <w:bookmarkEnd w:id="268"/>
    </w:p>
    <w:p>
      <w:pPr>
        <w:ind w:left="0" w:leftChars="0" w:firstLine="480" w:firstLineChars="200"/>
        <w:rPr>
          <w:rFonts w:hint="eastAsia" w:ascii="Times New Roman" w:hAnsi="Times New Roman" w:eastAsia="宋体" w:cs="Times New Roman"/>
          <w:lang w:eastAsia="zh-CN"/>
        </w:rPr>
      </w:pPr>
      <w:r>
        <w:rPr>
          <w:rFonts w:hint="default" w:ascii="Times New Roman" w:hAnsi="Times New Roman" w:cs="Times New Roman"/>
          <w:highlight w:val="none"/>
        </w:rPr>
        <w:t>本项目建设内容包括：</w:t>
      </w:r>
      <w:r>
        <w:rPr>
          <w:rFonts w:hint="eastAsia" w:cs="Times New Roman"/>
          <w:highlight w:val="none"/>
          <w:lang w:eastAsia="zh-CN"/>
        </w:rPr>
        <w:t>河道疏浚工程</w:t>
      </w:r>
      <w:r>
        <w:rPr>
          <w:rFonts w:hint="default" w:ascii="Times New Roman" w:hAnsi="Times New Roman" w:cs="Times New Roman"/>
          <w:highlight w:val="none"/>
        </w:rPr>
        <w:t>、河岸岸堤建设</w:t>
      </w:r>
      <w:r>
        <w:rPr>
          <w:rFonts w:hint="eastAsia" w:cs="Times New Roman"/>
          <w:highlight w:val="none"/>
          <w:lang w:eastAsia="zh-CN"/>
        </w:rPr>
        <w:t>、</w:t>
      </w:r>
      <w:r>
        <w:rPr>
          <w:rFonts w:hint="default" w:ascii="Times New Roman" w:hAnsi="Times New Roman" w:cs="Times New Roman"/>
          <w:highlight w:val="none"/>
        </w:rPr>
        <w:t>河岸缓冲带生态建设工程。</w:t>
      </w:r>
      <w:r>
        <w:rPr>
          <w:rFonts w:hint="default" w:ascii="Times New Roman" w:hAnsi="Times New Roman" w:cs="Times New Roman"/>
          <w:szCs w:val="24"/>
          <w:highlight w:val="none"/>
        </w:rPr>
        <w:t>本项目主要建设内容详见</w:t>
      </w:r>
      <w:r>
        <w:rPr>
          <w:rFonts w:hint="eastAsia" w:ascii="Times New Roman" w:hAnsi="Times New Roman" w:cs="Times New Roman"/>
          <w:szCs w:val="24"/>
          <w:highlight w:val="none"/>
          <w:lang w:eastAsia="zh-CN"/>
        </w:rPr>
        <w:t>下表</w:t>
      </w:r>
      <w:r>
        <w:rPr>
          <w:rFonts w:hint="eastAsia"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sz w:val="21"/>
          <w:szCs w:val="21"/>
        </w:rPr>
      </w:pPr>
      <w:r>
        <w:rPr>
          <w:b/>
          <w:color w:val="000000"/>
          <w:sz w:val="21"/>
          <w:szCs w:val="21"/>
        </w:rPr>
        <w:t>表</w:t>
      </w:r>
      <w:r>
        <w:rPr>
          <w:rFonts w:hint="eastAsia"/>
          <w:b/>
          <w:color w:val="000000"/>
          <w:sz w:val="21"/>
          <w:szCs w:val="21"/>
          <w:lang w:val="en-US" w:eastAsia="zh-CN"/>
        </w:rPr>
        <w:t>3.1</w:t>
      </w:r>
      <w:r>
        <w:rPr>
          <w:b/>
          <w:color w:val="000000"/>
          <w:sz w:val="21"/>
          <w:szCs w:val="21"/>
        </w:rPr>
        <w:t>-1  主要建设内</w:t>
      </w:r>
      <w:r>
        <w:rPr>
          <w:b/>
          <w:sz w:val="21"/>
          <w:szCs w:val="21"/>
        </w:rPr>
        <w:t>容一览表</w:t>
      </w:r>
    </w:p>
    <w:tbl>
      <w:tblPr>
        <w:tblStyle w:val="39"/>
        <w:tblW w:w="50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678"/>
        <w:gridCol w:w="5422"/>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color w:val="000000"/>
                <w:sz w:val="21"/>
                <w:szCs w:val="21"/>
              </w:rPr>
            </w:pPr>
            <w:r>
              <w:rPr>
                <w:rFonts w:hint="default"/>
                <w:b/>
                <w:color w:val="000000"/>
                <w:sz w:val="21"/>
                <w:szCs w:val="21"/>
              </w:rPr>
              <w:t>类别</w:t>
            </w:r>
          </w:p>
        </w:tc>
        <w:tc>
          <w:tcPr>
            <w:tcW w:w="9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color w:val="000000"/>
                <w:sz w:val="21"/>
                <w:szCs w:val="21"/>
              </w:rPr>
            </w:pPr>
            <w:r>
              <w:rPr>
                <w:rFonts w:hint="default"/>
                <w:b/>
                <w:color w:val="000000"/>
                <w:sz w:val="21"/>
                <w:szCs w:val="21"/>
              </w:rPr>
              <w:t>工程内容</w:t>
            </w:r>
          </w:p>
        </w:tc>
        <w:tc>
          <w:tcPr>
            <w:tcW w:w="30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color w:val="000000"/>
                <w:sz w:val="21"/>
                <w:szCs w:val="21"/>
              </w:rPr>
            </w:pPr>
            <w:r>
              <w:rPr>
                <w:rFonts w:hint="default"/>
                <w:b/>
                <w:color w:val="000000"/>
                <w:sz w:val="21"/>
                <w:szCs w:val="21"/>
              </w:rPr>
              <w:t>主要建设内容</w:t>
            </w:r>
          </w:p>
        </w:tc>
        <w:tc>
          <w:tcPr>
            <w:tcW w:w="52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color w:val="000000"/>
                <w:sz w:val="21"/>
                <w:szCs w:val="21"/>
              </w:rPr>
            </w:pPr>
            <w:r>
              <w:rPr>
                <w:rFonts w:hint="eastAsia"/>
                <w:b/>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color w:val="000000"/>
                <w:sz w:val="21"/>
                <w:szCs w:val="21"/>
              </w:rPr>
            </w:pPr>
            <w:r>
              <w:rPr>
                <w:rFonts w:hint="default"/>
                <w:b/>
                <w:color w:val="000000"/>
                <w:sz w:val="21"/>
                <w:szCs w:val="21"/>
              </w:rPr>
              <w:t>主体工程</w:t>
            </w:r>
          </w:p>
        </w:tc>
        <w:tc>
          <w:tcPr>
            <w:tcW w:w="9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kern w:val="44"/>
                <w:sz w:val="21"/>
                <w:szCs w:val="21"/>
                <w:lang w:eastAsia="zh-CN"/>
              </w:rPr>
            </w:pPr>
            <w:r>
              <w:rPr>
                <w:rFonts w:hint="eastAsia" w:ascii="宋体" w:hAnsi="宋体" w:eastAsia="宋体" w:cs="宋体"/>
                <w:color w:val="auto"/>
                <w:sz w:val="21"/>
                <w:szCs w:val="21"/>
              </w:rPr>
              <w:t>河岸岸堤建设</w:t>
            </w:r>
          </w:p>
        </w:tc>
        <w:tc>
          <w:tcPr>
            <w:tcW w:w="30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kern w:val="44"/>
                <w:sz w:val="21"/>
                <w:szCs w:val="20"/>
                <w:highlight w:val="none"/>
                <w:vertAlign w:val="baseline"/>
                <w:lang w:val="en-US" w:eastAsia="zh-CN"/>
              </w:rPr>
            </w:pPr>
            <w:r>
              <w:rPr>
                <w:rFonts w:hint="eastAsia"/>
                <w:color w:val="auto"/>
                <w:kern w:val="44"/>
                <w:sz w:val="21"/>
                <w:szCs w:val="20"/>
                <w:highlight w:val="none"/>
                <w:lang w:eastAsia="zh-CN"/>
              </w:rPr>
              <w:t>新建格宾石笼生态护岸240m。</w:t>
            </w:r>
          </w:p>
        </w:tc>
        <w:tc>
          <w:tcPr>
            <w:tcW w:w="52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000000"/>
                <w:kern w:val="44"/>
                <w:sz w:val="21"/>
                <w:szCs w:val="21"/>
                <w:lang w:eastAsia="zh-CN"/>
              </w:rPr>
            </w:pPr>
            <w:r>
              <w:rPr>
                <w:rFonts w:hint="eastAsia"/>
                <w:color w:val="000000"/>
                <w:kern w:val="44"/>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color w:val="000000"/>
                <w:sz w:val="21"/>
                <w:szCs w:val="21"/>
              </w:rPr>
            </w:pPr>
          </w:p>
        </w:tc>
        <w:tc>
          <w:tcPr>
            <w:tcW w:w="9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kern w:val="44"/>
                <w:sz w:val="21"/>
                <w:szCs w:val="21"/>
                <w:lang w:eastAsia="zh-CN"/>
              </w:rPr>
            </w:pPr>
            <w:r>
              <w:rPr>
                <w:rFonts w:hint="eastAsia"/>
                <w:color w:val="auto"/>
                <w:kern w:val="44"/>
                <w:sz w:val="21"/>
                <w:szCs w:val="21"/>
                <w:lang w:eastAsia="zh-CN"/>
              </w:rPr>
              <w:t>河道疏浚工程</w:t>
            </w:r>
          </w:p>
        </w:tc>
        <w:tc>
          <w:tcPr>
            <w:tcW w:w="30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清理河流冲击物7</w:t>
            </w:r>
            <w:r>
              <w:rPr>
                <w:rFonts w:hint="default" w:ascii="Times New Roman" w:hAnsi="Times New Roman" w:cs="Times New Roman"/>
                <w:color w:val="auto"/>
                <w:sz w:val="21"/>
                <w:szCs w:val="21"/>
                <w:highlight w:val="none"/>
              </w:rPr>
              <w:t>197</w:t>
            </w:r>
            <w:r>
              <w:rPr>
                <w:rFonts w:hint="eastAsia" w:ascii="Times New Roman" w:hAnsi="Times New Roman" w:cs="Times New Roman"/>
                <w:color w:val="auto"/>
                <w:sz w:val="21"/>
                <w:szCs w:val="21"/>
                <w:highlight w:val="none"/>
              </w:rPr>
              <w:t>m</w:t>
            </w:r>
            <w:r>
              <w:rPr>
                <w:rFonts w:hint="eastAsia" w:ascii="Times New Roman" w:hAnsi="Times New Roman" w:cs="Times New Roman"/>
                <w:color w:val="auto"/>
                <w:sz w:val="21"/>
                <w:szCs w:val="21"/>
                <w:highlight w:val="none"/>
                <w:vertAlign w:val="superscript"/>
              </w:rPr>
              <w:t>2</w:t>
            </w:r>
            <w:r>
              <w:rPr>
                <w:rFonts w:hint="eastAsia" w:ascii="Times New Roman" w:hAnsi="Times New Roman" w:cs="Times New Roman"/>
                <w:color w:val="auto"/>
                <w:sz w:val="21"/>
                <w:szCs w:val="21"/>
                <w:highlight w:val="none"/>
              </w:rPr>
              <w:t>，平均清理厚度0.5m，清理方量为</w:t>
            </w:r>
            <w:r>
              <w:rPr>
                <w:rFonts w:hint="default" w:ascii="Times New Roman" w:hAnsi="Times New Roman" w:cs="Times New Roman"/>
                <w:color w:val="auto"/>
                <w:sz w:val="21"/>
                <w:szCs w:val="21"/>
                <w:highlight w:val="none"/>
              </w:rPr>
              <w:t>3598.5</w:t>
            </w:r>
            <w:r>
              <w:rPr>
                <w:rFonts w:hint="eastAsia" w:ascii="Times New Roman" w:hAnsi="Times New Roman" w:cs="Times New Roman"/>
                <w:color w:val="auto"/>
                <w:sz w:val="21"/>
                <w:szCs w:val="21"/>
                <w:highlight w:val="none"/>
              </w:rPr>
              <w:t>m</w:t>
            </w:r>
            <w:r>
              <w:rPr>
                <w:rFonts w:hint="eastAsia"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rPr>
              <w:t>。清理河道淤泥，</w:t>
            </w:r>
            <w:r>
              <w:rPr>
                <w:rFonts w:hint="default" w:ascii="Times New Roman" w:hAnsi="Times New Roman" w:cs="Times New Roman"/>
                <w:color w:val="auto"/>
                <w:sz w:val="21"/>
                <w:szCs w:val="21"/>
                <w:highlight w:val="none"/>
              </w:rPr>
              <w:t>14090</w:t>
            </w:r>
            <w:r>
              <w:rPr>
                <w:rFonts w:hint="eastAsia" w:ascii="Times New Roman" w:hAnsi="Times New Roman" w:cs="Times New Roman"/>
                <w:color w:val="auto"/>
                <w:sz w:val="21"/>
                <w:szCs w:val="21"/>
                <w:highlight w:val="none"/>
              </w:rPr>
              <w:t>m</w:t>
            </w:r>
            <w:r>
              <w:rPr>
                <w:rFonts w:hint="eastAsia" w:ascii="Times New Roman" w:hAnsi="Times New Roman" w:cs="Times New Roman"/>
                <w:color w:val="auto"/>
                <w:sz w:val="21"/>
                <w:szCs w:val="21"/>
                <w:highlight w:val="none"/>
                <w:vertAlign w:val="superscript"/>
              </w:rPr>
              <w:t>2</w:t>
            </w:r>
            <w:r>
              <w:rPr>
                <w:rFonts w:hint="eastAsia" w:ascii="Times New Roman" w:hAnsi="Times New Roman" w:cs="Times New Roman"/>
                <w:color w:val="auto"/>
                <w:sz w:val="21"/>
                <w:szCs w:val="21"/>
                <w:highlight w:val="none"/>
              </w:rPr>
              <w:t>，平均清理厚度0.5m，清理方量为</w:t>
            </w:r>
            <w:r>
              <w:rPr>
                <w:rFonts w:hint="default" w:ascii="Times New Roman" w:hAnsi="Times New Roman" w:cs="Times New Roman"/>
                <w:color w:val="auto"/>
                <w:sz w:val="21"/>
                <w:szCs w:val="21"/>
                <w:highlight w:val="none"/>
              </w:rPr>
              <w:t>7045</w:t>
            </w:r>
            <w:r>
              <w:rPr>
                <w:rFonts w:hint="eastAsia" w:ascii="Times New Roman" w:hAnsi="Times New Roman" w:cs="Times New Roman"/>
                <w:color w:val="auto"/>
                <w:sz w:val="21"/>
                <w:szCs w:val="21"/>
                <w:highlight w:val="none"/>
              </w:rPr>
              <w:t>m</w:t>
            </w:r>
            <w:r>
              <w:rPr>
                <w:rFonts w:hint="eastAsia"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rPr>
              <w:t>。清理岸坡垃圾</w:t>
            </w:r>
            <w:r>
              <w:rPr>
                <w:rFonts w:hint="default" w:ascii="Times New Roman" w:hAnsi="Times New Roman" w:cs="Times New Roman"/>
                <w:color w:val="auto"/>
                <w:sz w:val="21"/>
                <w:szCs w:val="21"/>
                <w:highlight w:val="none"/>
              </w:rPr>
              <w:t>8123</w:t>
            </w:r>
            <w:r>
              <w:rPr>
                <w:rFonts w:hint="eastAsia" w:ascii="Times New Roman" w:hAnsi="Times New Roman" w:cs="Times New Roman"/>
                <w:color w:val="auto"/>
                <w:sz w:val="21"/>
                <w:szCs w:val="21"/>
                <w:highlight w:val="none"/>
              </w:rPr>
              <w:t xml:space="preserve"> m</w:t>
            </w:r>
            <w:r>
              <w:rPr>
                <w:rFonts w:hint="eastAsia" w:ascii="Times New Roman" w:hAnsi="Times New Roman" w:cs="Times New Roman"/>
                <w:color w:val="auto"/>
                <w:sz w:val="21"/>
                <w:szCs w:val="21"/>
                <w:highlight w:val="none"/>
                <w:vertAlign w:val="superscript"/>
              </w:rPr>
              <w:t>2</w:t>
            </w:r>
            <w:r>
              <w:rPr>
                <w:rFonts w:hint="eastAsia" w:ascii="Times New Roman" w:hAnsi="Times New Roman" w:cs="Times New Roman"/>
                <w:color w:val="auto"/>
                <w:sz w:val="21"/>
                <w:szCs w:val="21"/>
                <w:highlight w:val="none"/>
              </w:rPr>
              <w:t>，平均清理厚度0.2m，清理方量为</w:t>
            </w:r>
            <w:r>
              <w:rPr>
                <w:rFonts w:hint="default" w:ascii="Times New Roman" w:hAnsi="Times New Roman" w:cs="Times New Roman"/>
                <w:color w:val="auto"/>
                <w:sz w:val="21"/>
                <w:szCs w:val="21"/>
                <w:highlight w:val="none"/>
              </w:rPr>
              <w:t>1625</w:t>
            </w:r>
            <w:r>
              <w:rPr>
                <w:rFonts w:hint="eastAsia" w:ascii="Times New Roman" w:hAnsi="Times New Roman" w:cs="Times New Roman"/>
                <w:color w:val="auto"/>
                <w:sz w:val="21"/>
                <w:szCs w:val="21"/>
                <w:highlight w:val="none"/>
              </w:rPr>
              <w:t>m</w:t>
            </w:r>
            <w:r>
              <w:rPr>
                <w:rFonts w:hint="eastAsia"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rPr>
              <w:t>。</w:t>
            </w:r>
          </w:p>
        </w:tc>
        <w:tc>
          <w:tcPr>
            <w:tcW w:w="52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kern w:val="44"/>
                <w:sz w:val="21"/>
                <w:szCs w:val="21"/>
                <w:lang w:eastAsia="zh-CN"/>
              </w:rPr>
            </w:pPr>
            <w:r>
              <w:rPr>
                <w:rFonts w:hint="eastAsia"/>
                <w:color w:val="000000"/>
                <w:kern w:val="44"/>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color w:val="000000"/>
                <w:sz w:val="21"/>
                <w:szCs w:val="21"/>
              </w:rPr>
            </w:pPr>
          </w:p>
        </w:tc>
        <w:tc>
          <w:tcPr>
            <w:tcW w:w="9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kern w:val="44"/>
                <w:sz w:val="21"/>
                <w:szCs w:val="21"/>
                <w:lang w:eastAsia="zh-CN"/>
              </w:rPr>
            </w:pPr>
            <w:r>
              <w:rPr>
                <w:rFonts w:hint="eastAsia"/>
                <w:color w:val="auto"/>
                <w:kern w:val="44"/>
                <w:sz w:val="21"/>
                <w:szCs w:val="21"/>
                <w:lang w:eastAsia="zh-CN"/>
              </w:rPr>
              <w:t>河岸缓冲带生态建设</w:t>
            </w:r>
          </w:p>
        </w:tc>
        <w:tc>
          <w:tcPr>
            <w:tcW w:w="308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生态植物种植</w:t>
            </w:r>
            <w:r>
              <w:rPr>
                <w:rFonts w:hint="eastAsia" w:cs="Times New Roman"/>
                <w:color w:val="auto"/>
                <w:sz w:val="21"/>
                <w:szCs w:val="21"/>
                <w:highlight w:val="none"/>
                <w:lang w:eastAsia="zh-CN"/>
              </w:rPr>
              <w:t>工程总占地面积</w:t>
            </w:r>
            <w:r>
              <w:rPr>
                <w:rFonts w:hint="eastAsia" w:ascii="Times New Roman" w:hAnsi="Times New Roman" w:cs="Times New Roman"/>
                <w:color w:val="auto"/>
                <w:sz w:val="21"/>
                <w:szCs w:val="21"/>
                <w:highlight w:val="none"/>
                <w:lang w:eastAsia="zh-CN"/>
              </w:rPr>
              <w:t>5</w:t>
            </w:r>
            <w:r>
              <w:rPr>
                <w:rFonts w:hint="eastAsia" w:cs="Times New Roman"/>
                <w:color w:val="auto"/>
                <w:sz w:val="21"/>
                <w:szCs w:val="21"/>
                <w:highlight w:val="none"/>
                <w:lang w:val="en-US" w:eastAsia="zh-CN"/>
              </w:rPr>
              <w:t>904</w:t>
            </w:r>
            <w:r>
              <w:rPr>
                <w:rFonts w:hint="eastAsia" w:ascii="Times New Roman" w:hAnsi="Times New Roman" w:cs="Times New Roman"/>
                <w:color w:val="auto"/>
                <w:sz w:val="21"/>
                <w:szCs w:val="21"/>
                <w:highlight w:val="none"/>
                <w:lang w:eastAsia="zh-CN"/>
              </w:rPr>
              <w:t>m</w:t>
            </w:r>
            <w:r>
              <w:rPr>
                <w:rFonts w:hint="eastAsia" w:ascii="Times New Roman" w:hAnsi="Times New Roman" w:cs="Times New Roman"/>
                <w:color w:val="auto"/>
                <w:sz w:val="21"/>
                <w:szCs w:val="21"/>
                <w:highlight w:val="none"/>
                <w:vertAlign w:val="superscript"/>
                <w:lang w:eastAsia="zh-CN"/>
              </w:rPr>
              <w:t>2</w:t>
            </w:r>
            <w:r>
              <w:rPr>
                <w:rFonts w:hint="eastAsia" w:ascii="Times New Roman" w:hAnsi="Times New Roman" w:cs="Times New Roman"/>
                <w:color w:val="auto"/>
                <w:sz w:val="21"/>
                <w:szCs w:val="21"/>
                <w:highlight w:val="none"/>
                <w:vertAlign w:val="baseline"/>
                <w:lang w:eastAsia="zh-CN"/>
              </w:rPr>
              <w:t>，</w:t>
            </w:r>
            <w:r>
              <w:rPr>
                <w:rFonts w:hint="eastAsia" w:ascii="Times New Roman" w:hAnsi="Times New Roman" w:cs="Times New Roman"/>
                <w:color w:val="auto"/>
                <w:sz w:val="21"/>
                <w:szCs w:val="21"/>
                <w:highlight w:val="none"/>
                <w:lang w:eastAsia="zh-CN"/>
              </w:rPr>
              <w:t>对断面区域生态植物不完备的区域进行乔灌木、地被植物、草皮的种植和生态步道建设，恢复断面附近河道生态环境。新建生态步道共约</w:t>
            </w:r>
            <w:r>
              <w:rPr>
                <w:rFonts w:hint="eastAsia" w:cs="Times New Roman"/>
                <w:color w:val="auto"/>
                <w:sz w:val="21"/>
                <w:szCs w:val="21"/>
                <w:highlight w:val="none"/>
                <w:lang w:val="en-US" w:eastAsia="zh-CN"/>
              </w:rPr>
              <w:t>117</w:t>
            </w:r>
            <w:r>
              <w:rPr>
                <w:rFonts w:hint="eastAsia" w:ascii="Times New Roman" w:hAnsi="Times New Roman" w:cs="Times New Roman"/>
                <w:color w:val="auto"/>
                <w:sz w:val="21"/>
                <w:szCs w:val="21"/>
                <w:highlight w:val="none"/>
                <w:lang w:eastAsia="zh-CN"/>
              </w:rPr>
              <w:t>m</w:t>
            </w:r>
            <w:r>
              <w:rPr>
                <w:rFonts w:hint="eastAsia" w:ascii="Times New Roman" w:hAnsi="Times New Roman" w:cs="Times New Roman"/>
                <w:color w:val="auto"/>
                <w:sz w:val="21"/>
                <w:szCs w:val="21"/>
                <w:highlight w:val="none"/>
                <w:vertAlign w:val="superscript"/>
                <w:lang w:eastAsia="zh-CN"/>
              </w:rPr>
              <w:t>2</w:t>
            </w:r>
            <w:r>
              <w:rPr>
                <w:rFonts w:hint="eastAsia" w:cs="Times New Roman"/>
                <w:color w:val="auto"/>
                <w:sz w:val="21"/>
                <w:szCs w:val="21"/>
                <w:highlight w:val="none"/>
                <w:vertAlign w:val="baseline"/>
                <w:lang w:eastAsia="zh-CN"/>
              </w:rPr>
              <w:t>。</w:t>
            </w:r>
          </w:p>
        </w:tc>
        <w:tc>
          <w:tcPr>
            <w:tcW w:w="52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kern w:val="44"/>
                <w:sz w:val="21"/>
                <w:szCs w:val="21"/>
                <w:lang w:eastAsia="zh-CN"/>
              </w:rPr>
            </w:pPr>
            <w:r>
              <w:rPr>
                <w:rFonts w:hint="eastAsia"/>
                <w:color w:val="000000"/>
                <w:kern w:val="44"/>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43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sz w:val="21"/>
                <w:szCs w:val="21"/>
              </w:rPr>
            </w:pPr>
            <w:r>
              <w:rPr>
                <w:rFonts w:hint="eastAsia"/>
                <w:b/>
                <w:color w:val="000000"/>
                <w:sz w:val="21"/>
                <w:szCs w:val="21"/>
                <w:lang w:eastAsia="zh-CN"/>
              </w:rPr>
              <w:t>临时</w:t>
            </w:r>
            <w:r>
              <w:rPr>
                <w:rFonts w:hint="default"/>
                <w:b/>
                <w:color w:val="000000"/>
                <w:sz w:val="21"/>
                <w:szCs w:val="21"/>
              </w:rPr>
              <w:t>工程</w:t>
            </w:r>
          </w:p>
        </w:tc>
        <w:tc>
          <w:tcPr>
            <w:tcW w:w="955" w:type="pct"/>
            <w:noWrap w:val="0"/>
            <w:vAlign w:val="center"/>
          </w:tcPr>
          <w:p>
            <w:pPr>
              <w:pStyle w:val="65"/>
              <w:keepNext w:val="0"/>
              <w:keepLines w:val="0"/>
              <w:suppressLineNumbers w:val="0"/>
              <w:spacing w:before="0" w:beforeAutospacing="0" w:after="0" w:afterAutospacing="0" w:line="240" w:lineRule="auto"/>
              <w:ind w:left="0" w:right="0" w:firstLine="0" w:firstLineChars="0"/>
              <w:rPr>
                <w:rFonts w:hint="eastAsia" w:eastAsia="宋体"/>
                <w:color w:val="auto"/>
                <w:kern w:val="44"/>
                <w:sz w:val="21"/>
                <w:szCs w:val="21"/>
                <w:lang w:eastAsia="zh-CN"/>
              </w:rPr>
            </w:pPr>
            <w:r>
              <w:rPr>
                <w:rFonts w:hint="eastAsia"/>
              </w:rPr>
              <w:t>施工</w:t>
            </w:r>
            <w:r>
              <w:rPr>
                <w:rFonts w:hint="eastAsia"/>
                <w:lang w:eastAsia="zh-CN"/>
              </w:rPr>
              <w:t>导流</w:t>
            </w:r>
          </w:p>
        </w:tc>
        <w:tc>
          <w:tcPr>
            <w:tcW w:w="3085" w:type="pct"/>
            <w:noWrap w:val="0"/>
            <w:vAlign w:val="center"/>
          </w:tcPr>
          <w:p>
            <w:pPr>
              <w:pStyle w:val="65"/>
              <w:keepNext w:val="0"/>
              <w:keepLines w:val="0"/>
              <w:suppressLineNumbers w:val="0"/>
              <w:spacing w:before="0" w:beforeAutospacing="0" w:after="0" w:afterAutospacing="0" w:line="240" w:lineRule="auto"/>
              <w:ind w:left="0" w:right="0" w:firstLine="0" w:firstLineChars="0"/>
              <w:jc w:val="both"/>
              <w:rPr>
                <w:rFonts w:hint="default"/>
                <w:color w:val="auto"/>
                <w:kern w:val="44"/>
                <w:sz w:val="21"/>
                <w:szCs w:val="21"/>
              </w:rPr>
            </w:pPr>
            <w:r>
              <w:rPr>
                <w:rFonts w:hint="eastAsia"/>
                <w:color w:val="0D0D0D" w:themeColor="text1" w:themeTint="F2"/>
                <w:lang w:eastAsia="zh-CN"/>
                <w14:textFill>
                  <w14:solidFill>
                    <w14:schemeClr w14:val="tx1">
                      <w14:lumMod w14:val="95000"/>
                      <w14:lumOff w14:val="5000"/>
                    </w14:schemeClr>
                  </w14:solidFill>
                </w14:textFill>
              </w:rPr>
              <w:t>工程区域地表水导流</w:t>
            </w:r>
            <w:r>
              <w:rPr>
                <w:rFonts w:hint="eastAsia"/>
                <w:color w:val="0D0D0D" w:themeColor="text1" w:themeTint="F2"/>
                <w14:textFill>
                  <w14:solidFill>
                    <w14:schemeClr w14:val="tx1">
                      <w14:lumMod w14:val="95000"/>
                      <w14:lumOff w14:val="5000"/>
                    </w14:schemeClr>
                  </w14:solidFill>
                </w14:textFill>
              </w:rPr>
              <w:t>采用围堰加管道输水的导流方式</w:t>
            </w:r>
            <w:r>
              <w:rPr>
                <w:rFonts w:hint="eastAsia"/>
                <w:color w:val="0D0D0D" w:themeColor="text1" w:themeTint="F2"/>
                <w:lang w:eastAsia="zh-CN"/>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利用开挖的砂卵石方沿河堆置围堰，围堰顶宽2m，上下游侧均放坡，高度1.5m，坡比1：2。</w:t>
            </w:r>
          </w:p>
        </w:tc>
        <w:tc>
          <w:tcPr>
            <w:tcW w:w="523" w:type="pct"/>
            <w:noWrap w:val="0"/>
            <w:vAlign w:val="center"/>
          </w:tcPr>
          <w:p>
            <w:pPr>
              <w:pStyle w:val="15"/>
              <w:keepNext w:val="0"/>
              <w:keepLines w:val="0"/>
              <w:pageBreakBefore w:val="0"/>
              <w:widowControl w:val="0"/>
              <w:suppressLineNumbers w:val="0"/>
              <w:tabs>
                <w:tab w:val="left" w:pos="3750"/>
              </w:tabs>
              <w:kinsoku w:val="0"/>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rPr>
            </w:pPr>
            <w:r>
              <w:rPr>
                <w:rFonts w:hint="eastAsia" w:cs="Times New Roman"/>
                <w:bCs/>
                <w:spacing w:val="0"/>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color w:val="000000"/>
                <w:sz w:val="21"/>
                <w:szCs w:val="21"/>
              </w:rPr>
            </w:pPr>
          </w:p>
        </w:tc>
        <w:tc>
          <w:tcPr>
            <w:tcW w:w="955" w:type="pct"/>
            <w:noWrap w:val="0"/>
            <w:vAlign w:val="center"/>
          </w:tcPr>
          <w:p>
            <w:pPr>
              <w:pStyle w:val="65"/>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kern w:val="2"/>
                <w:sz w:val="21"/>
                <w:szCs w:val="21"/>
                <w:lang w:val="en-US" w:eastAsia="zh-CN" w:bidi="ar-SA"/>
              </w:rPr>
            </w:pPr>
            <w:r>
              <w:rPr>
                <w:rFonts w:hint="eastAsia"/>
              </w:rPr>
              <w:t>施工便道</w:t>
            </w:r>
          </w:p>
        </w:tc>
        <w:tc>
          <w:tcPr>
            <w:tcW w:w="3085" w:type="pct"/>
            <w:noWrap w:val="0"/>
            <w:vAlign w:val="center"/>
          </w:tcPr>
          <w:p>
            <w:pPr>
              <w:pStyle w:val="65"/>
              <w:keepNext w:val="0"/>
              <w:keepLines w:val="0"/>
              <w:suppressLineNumbers w:val="0"/>
              <w:spacing w:before="0" w:beforeAutospacing="0" w:after="0" w:afterAutospacing="0" w:line="240" w:lineRule="auto"/>
              <w:ind w:left="0" w:right="0"/>
              <w:jc w:val="both"/>
              <w:rPr>
                <w:rFonts w:hint="default"/>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根据施工需要，场内施工临时道路沿护岸外侧布置。</w:t>
            </w:r>
          </w:p>
          <w:p>
            <w:pPr>
              <w:pStyle w:val="65"/>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kern w:val="2"/>
                <w:sz w:val="21"/>
                <w:szCs w:val="21"/>
                <w:lang w:val="en-US" w:eastAsia="zh-CN" w:bidi="ar-SA"/>
              </w:rPr>
            </w:pPr>
            <w:r>
              <w:rPr>
                <w:rFonts w:hint="eastAsia"/>
                <w:color w:val="0D0D0D" w:themeColor="text1" w:themeTint="F2"/>
                <w14:textFill>
                  <w14:solidFill>
                    <w14:schemeClr w14:val="tx1">
                      <w14:lumMod w14:val="95000"/>
                      <w14:lumOff w14:val="5000"/>
                    </w14:schemeClr>
                  </w14:solidFill>
                </w14:textFill>
              </w:rPr>
              <w:t>施工结束后，对施工便道占地予以生态恢复。</w:t>
            </w:r>
          </w:p>
        </w:tc>
        <w:tc>
          <w:tcPr>
            <w:tcW w:w="52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kern w:val="2"/>
                <w:sz w:val="21"/>
                <w:szCs w:val="21"/>
                <w:highlight w:val="none"/>
                <w:lang w:val="en-US" w:eastAsia="zh-CN" w:bidi="ar-SA"/>
              </w:rPr>
            </w:pPr>
            <w:r>
              <w:rPr>
                <w:rFonts w:hint="eastAsia" w:cs="Times New Roman"/>
                <w:bCs/>
                <w:spacing w:val="0"/>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sz w:val="21"/>
                <w:szCs w:val="21"/>
              </w:rPr>
            </w:pPr>
          </w:p>
        </w:tc>
        <w:tc>
          <w:tcPr>
            <w:tcW w:w="955" w:type="pct"/>
            <w:noWrap w:val="0"/>
            <w:vAlign w:val="center"/>
          </w:tcPr>
          <w:p>
            <w:pPr>
              <w:pStyle w:val="65"/>
              <w:keepNext w:val="0"/>
              <w:keepLines w:val="0"/>
              <w:suppressLineNumbers w:val="0"/>
              <w:spacing w:before="0" w:beforeAutospacing="0" w:after="0" w:afterAutospacing="0" w:line="240" w:lineRule="auto"/>
              <w:ind w:left="0" w:right="0" w:firstLine="0" w:firstLineChars="0"/>
              <w:rPr>
                <w:rFonts w:hint="eastAsia" w:eastAsia="宋体"/>
                <w:color w:val="auto"/>
                <w:highlight w:val="none"/>
                <w:lang w:eastAsia="zh-CN"/>
              </w:rPr>
            </w:pPr>
            <w:r>
              <w:rPr>
                <w:rFonts w:hint="eastAsia"/>
                <w:color w:val="auto"/>
                <w:highlight w:val="none"/>
                <w:lang w:eastAsia="zh-CN"/>
              </w:rPr>
              <w:t>土石方回填区</w:t>
            </w:r>
          </w:p>
        </w:tc>
        <w:tc>
          <w:tcPr>
            <w:tcW w:w="3085" w:type="pct"/>
            <w:noWrap w:val="0"/>
            <w:vAlign w:val="center"/>
          </w:tcPr>
          <w:p>
            <w:pPr>
              <w:pStyle w:val="56"/>
              <w:keepNext w:val="0"/>
              <w:keepLines w:val="0"/>
              <w:suppressLineNumbers w:val="0"/>
              <w:spacing w:before="0" w:beforeAutospacing="0" w:after="0" w:afterAutospacing="0"/>
              <w:ind w:left="0" w:right="0"/>
              <w:jc w:val="center"/>
              <w:rPr>
                <w:rFonts w:hint="default" w:ascii="Times New Roman" w:eastAsia="宋体" w:cs="Times New Roman"/>
                <w:color w:val="auto"/>
                <w:sz w:val="21"/>
                <w:szCs w:val="21"/>
                <w:highlight w:val="none"/>
                <w:vertAlign w:val="baseline"/>
                <w:lang w:val="en-US" w:eastAsia="zh-CN"/>
              </w:rPr>
            </w:pPr>
            <w:r>
              <w:rPr>
                <w:rFonts w:hint="eastAsia" w:ascii="Times New Roman" w:cs="Times New Roman"/>
                <w:color w:val="auto"/>
                <w:sz w:val="21"/>
                <w:szCs w:val="21"/>
                <w:highlight w:val="none"/>
                <w:lang w:val="en-US" w:eastAsia="zh-CN"/>
              </w:rPr>
              <w:t>位于项目工程区域东北方向200m，为河流长期冲刷造成的岸坡低洼地带，总占地面积3349m</w:t>
            </w:r>
            <w:r>
              <w:rPr>
                <w:rFonts w:hint="eastAsia" w:ascii="Times New Roman" w:cs="Times New Roman"/>
                <w:color w:val="auto"/>
                <w:sz w:val="21"/>
                <w:szCs w:val="21"/>
                <w:highlight w:val="none"/>
                <w:vertAlign w:val="superscript"/>
                <w:lang w:val="en-US" w:eastAsia="zh-CN"/>
              </w:rPr>
              <w:t>2</w:t>
            </w:r>
            <w:r>
              <w:rPr>
                <w:rFonts w:hint="eastAsia" w:ascii="Times New Roman" w:cs="Times New Roman"/>
                <w:color w:val="auto"/>
                <w:sz w:val="21"/>
                <w:szCs w:val="21"/>
                <w:highlight w:val="none"/>
                <w:vertAlign w:val="baseline"/>
                <w:lang w:val="en-US" w:eastAsia="zh-CN"/>
              </w:rPr>
              <w:t>。</w:t>
            </w:r>
          </w:p>
        </w:tc>
        <w:tc>
          <w:tcPr>
            <w:tcW w:w="523" w:type="pct"/>
            <w:noWrap w:val="0"/>
            <w:vAlign w:val="center"/>
          </w:tcPr>
          <w:p>
            <w:pPr>
              <w:pStyle w:val="15"/>
              <w:keepNext w:val="0"/>
              <w:keepLines w:val="0"/>
              <w:suppressLineNumbers w:val="0"/>
              <w:tabs>
                <w:tab w:val="left" w:pos="3750"/>
              </w:tabs>
              <w:overflowPunct w:val="0"/>
              <w:spacing w:before="0" w:beforeAutospacing="0" w:after="0" w:afterAutospacing="0" w:line="240" w:lineRule="auto"/>
              <w:ind w:left="0" w:leftChars="0" w:right="0" w:rightChars="0" w:firstLine="0" w:firstLineChars="0"/>
              <w:jc w:val="center"/>
              <w:rPr>
                <w:rFonts w:hint="default"/>
                <w:bCs/>
                <w:color w:val="0000FF"/>
                <w:sz w:val="21"/>
                <w:szCs w:val="21"/>
                <w:highlight w:val="none"/>
                <w:lang w:val="en-US" w:eastAsia="zh-CN"/>
              </w:rPr>
            </w:pPr>
            <w:r>
              <w:rPr>
                <w:rFonts w:hint="eastAsia"/>
                <w:bCs/>
                <w:color w:val="0000FF"/>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sz w:val="21"/>
                <w:szCs w:val="21"/>
              </w:rPr>
            </w:pPr>
          </w:p>
        </w:tc>
        <w:tc>
          <w:tcPr>
            <w:tcW w:w="955" w:type="pct"/>
            <w:noWrap w:val="0"/>
            <w:vAlign w:val="center"/>
          </w:tcPr>
          <w:p>
            <w:pPr>
              <w:pStyle w:val="65"/>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kern w:val="44"/>
                <w:sz w:val="21"/>
                <w:szCs w:val="21"/>
                <w:lang w:val="en-US" w:eastAsia="zh-CN" w:bidi="ar-SA"/>
              </w:rPr>
            </w:pPr>
            <w:r>
              <w:rPr>
                <w:rFonts w:hint="eastAsia"/>
              </w:rPr>
              <w:t>临时堆土场</w:t>
            </w:r>
          </w:p>
        </w:tc>
        <w:tc>
          <w:tcPr>
            <w:tcW w:w="3085" w:type="pct"/>
            <w:noWrap w:val="0"/>
            <w:vAlign w:val="center"/>
          </w:tcPr>
          <w:p>
            <w:pPr>
              <w:pStyle w:val="56"/>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0"/>
                <w:lang w:val="en-US" w:eastAsia="zh-CN" w:bidi="ar-SA"/>
              </w:rPr>
            </w:pPr>
            <w:r>
              <w:rPr>
                <w:rFonts w:hint="eastAsia" w:ascii="Times New Roman" w:cs="Times New Roman"/>
                <w:sz w:val="21"/>
                <w:szCs w:val="21"/>
              </w:rPr>
              <w:t>项目临时堆土场分别布设在施工临时场地附近，便于作业，每个临时堆土场占地</w:t>
            </w:r>
            <w:r>
              <w:rPr>
                <w:rFonts w:hint="eastAsia" w:ascii="Times New Roman" w:cs="Times New Roman"/>
                <w:sz w:val="21"/>
                <w:szCs w:val="21"/>
                <w:lang w:val="en-US" w:eastAsia="zh-CN"/>
              </w:rPr>
              <w:t>2</w:t>
            </w:r>
            <w:r>
              <w:rPr>
                <w:rFonts w:hint="default" w:ascii="Times New Roman" w:cs="Times New Roman"/>
                <w:sz w:val="21"/>
                <w:szCs w:val="21"/>
              </w:rPr>
              <w:t>00</w:t>
            </w:r>
            <w:r>
              <w:rPr>
                <w:rFonts w:hint="eastAsia" w:ascii="Times New Roman" w:cs="Times New Roman"/>
                <w:sz w:val="21"/>
                <w:szCs w:val="21"/>
              </w:rPr>
              <w:t>m</w:t>
            </w:r>
            <w:r>
              <w:rPr>
                <w:rFonts w:hint="default" w:ascii="Times New Roman" w:cs="Times New Roman"/>
                <w:sz w:val="21"/>
                <w:szCs w:val="21"/>
                <w:vertAlign w:val="superscript"/>
              </w:rPr>
              <w:t>2</w:t>
            </w:r>
            <w:r>
              <w:rPr>
                <w:rFonts w:hint="eastAsia" w:ascii="Times New Roman" w:cs="Times New Roman"/>
                <w:sz w:val="21"/>
                <w:szCs w:val="21"/>
              </w:rPr>
              <w:t>，合计</w:t>
            </w:r>
            <w:r>
              <w:rPr>
                <w:rFonts w:hint="eastAsia" w:ascii="Times New Roman" w:cs="Times New Roman"/>
                <w:sz w:val="21"/>
                <w:szCs w:val="21"/>
                <w:lang w:val="en-US" w:eastAsia="zh-CN"/>
              </w:rPr>
              <w:t>4</w:t>
            </w:r>
            <w:r>
              <w:rPr>
                <w:rFonts w:hint="default" w:ascii="Times New Roman" w:cs="Times New Roman"/>
                <w:sz w:val="21"/>
                <w:szCs w:val="21"/>
              </w:rPr>
              <w:t>00</w:t>
            </w:r>
            <w:r>
              <w:rPr>
                <w:rFonts w:hint="eastAsia" w:ascii="Times New Roman" w:cs="Times New Roman"/>
                <w:sz w:val="21"/>
                <w:szCs w:val="21"/>
              </w:rPr>
              <w:t>m</w:t>
            </w:r>
            <w:r>
              <w:rPr>
                <w:rFonts w:hint="default" w:ascii="Times New Roman" w:cs="Times New Roman"/>
                <w:sz w:val="21"/>
                <w:szCs w:val="21"/>
                <w:vertAlign w:val="superscript"/>
              </w:rPr>
              <w:t>2</w:t>
            </w:r>
            <w:r>
              <w:rPr>
                <w:rFonts w:hint="eastAsia" w:ascii="Times New Roman" w:cs="Times New Roman"/>
                <w:sz w:val="21"/>
                <w:szCs w:val="21"/>
              </w:rPr>
              <w:t>。</w:t>
            </w:r>
            <w:r>
              <w:rPr>
                <w:rFonts w:hint="eastAsia"/>
                <w:color w:val="0D0D0D" w:themeColor="text1" w:themeTint="F2"/>
                <w:sz w:val="21"/>
                <w14:textFill>
                  <w14:solidFill>
                    <w14:schemeClr w14:val="tx1">
                      <w14:lumMod w14:val="95000"/>
                      <w14:lumOff w14:val="5000"/>
                    </w14:schemeClr>
                  </w14:solidFill>
                </w14:textFill>
              </w:rPr>
              <w:t>临时堆土场设置围挡措施，地面铺设高密度聚乙烯防渗膜，四周设导流槽，导流槽末端设尾水收集沉淀池，废水经收集沉淀后用于泼洒抑尘。施工结束后返还表土，生态恢复</w:t>
            </w:r>
            <w:r>
              <w:rPr>
                <w:rFonts w:hint="eastAsia"/>
                <w:color w:val="0D0D0D" w:themeColor="text1" w:themeTint="F2"/>
                <w:sz w:val="21"/>
                <w:lang w:val="en-US" w:eastAsia="zh-CN"/>
                <w14:textFill>
                  <w14:solidFill>
                    <w14:schemeClr w14:val="tx1">
                      <w14:lumMod w14:val="95000"/>
                      <w14:lumOff w14:val="5000"/>
                    </w14:schemeClr>
                  </w14:solidFill>
                </w14:textFill>
              </w:rPr>
              <w:t>.</w:t>
            </w:r>
          </w:p>
        </w:tc>
        <w:tc>
          <w:tcPr>
            <w:tcW w:w="523" w:type="pct"/>
            <w:noWrap w:val="0"/>
            <w:vAlign w:val="center"/>
          </w:tcPr>
          <w:p>
            <w:pPr>
              <w:pStyle w:val="15"/>
              <w:keepNext w:val="0"/>
              <w:keepLines w:val="0"/>
              <w:suppressLineNumbers w:val="0"/>
              <w:tabs>
                <w:tab w:val="left" w:pos="3750"/>
              </w:tabs>
              <w:overflowPunct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3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color w:val="000000"/>
                <w:sz w:val="21"/>
                <w:szCs w:val="21"/>
              </w:rPr>
            </w:pPr>
            <w:r>
              <w:rPr>
                <w:rFonts w:hint="default"/>
                <w:b/>
                <w:color w:val="000000"/>
                <w:sz w:val="21"/>
                <w:szCs w:val="21"/>
              </w:rPr>
              <w:t>公用工程</w:t>
            </w:r>
          </w:p>
        </w:tc>
        <w:tc>
          <w:tcPr>
            <w:tcW w:w="955" w:type="pct"/>
            <w:noWrap w:val="0"/>
            <w:vAlign w:val="center"/>
          </w:tcPr>
          <w:p>
            <w:pPr>
              <w:pStyle w:val="65"/>
              <w:keepNext w:val="0"/>
              <w:keepLines w:val="0"/>
              <w:suppressLineNumbers w:val="0"/>
              <w:spacing w:before="0" w:beforeAutospacing="0" w:after="0" w:afterAutospacing="0" w:line="240" w:lineRule="auto"/>
              <w:ind w:left="0" w:right="0" w:firstLine="0" w:firstLineChars="0"/>
              <w:rPr>
                <w:rFonts w:hint="default"/>
                <w:b/>
                <w:color w:val="auto"/>
                <w:sz w:val="21"/>
                <w:szCs w:val="21"/>
              </w:rPr>
            </w:pPr>
            <w:r>
              <w:rPr>
                <w:rFonts w:hint="default"/>
              </w:rPr>
              <w:t>给水</w:t>
            </w:r>
          </w:p>
        </w:tc>
        <w:tc>
          <w:tcPr>
            <w:tcW w:w="36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eastAsia="宋体"/>
                <w:b/>
                <w:color w:val="auto"/>
                <w:sz w:val="21"/>
                <w:szCs w:val="21"/>
                <w:lang w:eastAsia="zh-CN"/>
              </w:rPr>
            </w:pPr>
            <w:r>
              <w:rPr>
                <w:rFonts w:hint="eastAsia"/>
                <w:color w:val="auto"/>
                <w:sz w:val="21"/>
                <w:szCs w:val="21"/>
                <w:lang w:eastAsia="zh-CN"/>
              </w:rPr>
              <w:t>施工人员租用附近农户民房，生活用水依托自有水井。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sz w:val="21"/>
                <w:szCs w:val="21"/>
              </w:rPr>
            </w:pPr>
          </w:p>
        </w:tc>
        <w:tc>
          <w:tcPr>
            <w:tcW w:w="955" w:type="pct"/>
            <w:noWrap w:val="0"/>
            <w:vAlign w:val="center"/>
          </w:tcPr>
          <w:p>
            <w:pPr>
              <w:pStyle w:val="65"/>
              <w:keepNext w:val="0"/>
              <w:keepLines w:val="0"/>
              <w:suppressLineNumbers w:val="0"/>
              <w:spacing w:before="0" w:beforeAutospacing="0" w:after="0" w:afterAutospacing="0" w:line="240" w:lineRule="auto"/>
              <w:ind w:left="0" w:right="0" w:firstLine="0" w:firstLineChars="0"/>
              <w:rPr>
                <w:rFonts w:hint="default"/>
                <w:b/>
                <w:color w:val="auto"/>
                <w:sz w:val="21"/>
                <w:szCs w:val="21"/>
              </w:rPr>
            </w:pPr>
            <w:r>
              <w:rPr>
                <w:rFonts w:hint="default"/>
              </w:rPr>
              <w:t>排水</w:t>
            </w:r>
          </w:p>
        </w:tc>
        <w:tc>
          <w:tcPr>
            <w:tcW w:w="36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olor w:val="auto"/>
                <w:sz w:val="21"/>
                <w:szCs w:val="21"/>
                <w:lang w:eastAsia="zh-CN"/>
              </w:rPr>
            </w:pPr>
            <w:r>
              <w:rPr>
                <w:rFonts w:hint="eastAsia"/>
                <w:color w:val="auto"/>
                <w:sz w:val="21"/>
                <w:szCs w:val="21"/>
                <w:lang w:eastAsia="zh-CN"/>
              </w:rPr>
              <w:t>项目施工废水主要包括施工场地地表径流，施工场地地表径流通过临时集水沉淀池沉淀后用于洒水降尘及绿化。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olor w:val="auto"/>
                <w:sz w:val="21"/>
                <w:szCs w:val="21"/>
                <w:lang w:eastAsia="zh-CN"/>
              </w:rPr>
            </w:pPr>
            <w:r>
              <w:rPr>
                <w:rFonts w:hint="eastAsia"/>
                <w:color w:val="auto"/>
                <w:sz w:val="21"/>
                <w:szCs w:val="21"/>
                <w:lang w:eastAsia="zh-CN"/>
              </w:rPr>
              <w:t>基坑排水经在基坑底面合理布置的排水沟槽，用水泵将少量渗出的地下水及时排出，泵入河道外侧的临时集水沉淀池，沉淀后用于施工场地洒水降尘及绿化以及区域道路洒水降尘及绿化等使用，不再回流进入河道，不外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color w:val="auto"/>
                <w:sz w:val="21"/>
                <w:szCs w:val="21"/>
              </w:rPr>
            </w:pPr>
            <w:r>
              <w:rPr>
                <w:rFonts w:hint="eastAsia"/>
                <w:color w:val="auto"/>
                <w:sz w:val="21"/>
                <w:szCs w:val="21"/>
                <w:lang w:eastAsia="zh-CN"/>
              </w:rPr>
              <w:t>施工人员生活污水主要是工人的盥洗废水，水质较为清洁，用于施工场地降尘或绿化使用，不外排。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sz w:val="21"/>
                <w:szCs w:val="21"/>
              </w:rPr>
            </w:pPr>
          </w:p>
        </w:tc>
        <w:tc>
          <w:tcPr>
            <w:tcW w:w="955" w:type="pct"/>
            <w:noWrap w:val="0"/>
            <w:vAlign w:val="center"/>
          </w:tcPr>
          <w:p>
            <w:pPr>
              <w:pStyle w:val="65"/>
              <w:keepNext w:val="0"/>
              <w:keepLines w:val="0"/>
              <w:suppressLineNumbers w:val="0"/>
              <w:spacing w:before="0" w:beforeAutospacing="0" w:after="0" w:afterAutospacing="0" w:line="240" w:lineRule="auto"/>
              <w:ind w:left="0" w:right="0" w:firstLine="0" w:firstLineChars="0"/>
              <w:rPr>
                <w:rFonts w:hint="default"/>
                <w:b/>
                <w:color w:val="auto"/>
                <w:sz w:val="21"/>
                <w:szCs w:val="21"/>
              </w:rPr>
            </w:pPr>
            <w:r>
              <w:rPr>
                <w:rFonts w:hint="default"/>
              </w:rPr>
              <w:t>供电</w:t>
            </w:r>
          </w:p>
        </w:tc>
        <w:tc>
          <w:tcPr>
            <w:tcW w:w="36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eastAsia="宋体"/>
                <w:b/>
                <w:color w:val="auto"/>
                <w:sz w:val="21"/>
                <w:szCs w:val="21"/>
                <w:lang w:eastAsia="zh-CN"/>
              </w:rPr>
            </w:pPr>
            <w:r>
              <w:rPr>
                <w:rFonts w:hint="eastAsia"/>
                <w:snapToGrid w:val="0"/>
                <w:color w:val="auto"/>
                <w:kern w:val="0"/>
                <w:sz w:val="21"/>
                <w:szCs w:val="21"/>
                <w:lang w:eastAsia="zh-CN"/>
              </w:rPr>
              <w:t>施工用电采用网电，现场配备2台50kW柴油发电机作为备用施工电源。施工道路沿线架设照明线路。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3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color w:val="000000"/>
                <w:sz w:val="21"/>
                <w:szCs w:val="21"/>
              </w:rPr>
            </w:pPr>
            <w:r>
              <w:rPr>
                <w:rFonts w:hint="default"/>
                <w:b/>
                <w:color w:val="000000"/>
                <w:sz w:val="21"/>
                <w:szCs w:val="21"/>
              </w:rPr>
              <w:t>环保工程</w:t>
            </w:r>
          </w:p>
        </w:tc>
        <w:tc>
          <w:tcPr>
            <w:tcW w:w="95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21"/>
                <w:szCs w:val="21"/>
                <w:lang w:eastAsia="zh-CN"/>
              </w:rPr>
            </w:pPr>
            <w:r>
              <w:rPr>
                <w:rFonts w:hint="eastAsia"/>
                <w:color w:val="auto"/>
                <w:sz w:val="21"/>
                <w:szCs w:val="21"/>
                <w:lang w:eastAsia="zh-CN"/>
              </w:rPr>
              <w:t>废气</w:t>
            </w:r>
          </w:p>
        </w:tc>
        <w:tc>
          <w:tcPr>
            <w:tcW w:w="36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eastAsia="宋体"/>
                <w:b/>
                <w:color w:val="auto"/>
                <w:sz w:val="21"/>
                <w:szCs w:val="21"/>
                <w:lang w:eastAsia="zh-CN"/>
              </w:rPr>
            </w:pPr>
            <w:r>
              <w:rPr>
                <w:rFonts w:hint="eastAsia"/>
                <w:color w:val="auto"/>
                <w:sz w:val="21"/>
                <w:szCs w:val="21"/>
                <w:lang w:eastAsia="zh-CN"/>
              </w:rPr>
              <w:t>在施工现场出入口明显位置设置公示牌；对施工场内施工道路、材料加工集中堆放，并保持地面整洁；施工建设过程中采用洒水措施；施工时减少土地开挖面积，施工后及时回填；粉状、粒状建筑材料应采取密闭或者遮盖等防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szCs w:val="20"/>
              </w:rPr>
            </w:pPr>
          </w:p>
        </w:tc>
        <w:tc>
          <w:tcPr>
            <w:tcW w:w="95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szCs w:val="20"/>
              </w:rPr>
            </w:pPr>
          </w:p>
        </w:tc>
        <w:tc>
          <w:tcPr>
            <w:tcW w:w="36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建筑垃圾及时清运，在场地内堆存的，集中堆放并采取密闭、遮盖等防尘措施；建设施工加强监管；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olor w:val="auto"/>
                <w:sz w:val="21"/>
                <w:szCs w:val="21"/>
                <w:lang w:eastAsia="zh-CN"/>
              </w:rPr>
            </w:pPr>
          </w:p>
        </w:tc>
        <w:tc>
          <w:tcPr>
            <w:tcW w:w="95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olor w:val="auto"/>
                <w:sz w:val="21"/>
                <w:szCs w:val="21"/>
                <w:lang w:eastAsia="zh-CN"/>
              </w:rPr>
            </w:pPr>
          </w:p>
        </w:tc>
        <w:tc>
          <w:tcPr>
            <w:tcW w:w="36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运输车辆减速慢行，蓬布遮盖，对运输道路及时进行清扫；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olor w:val="auto"/>
                <w:sz w:val="21"/>
                <w:szCs w:val="21"/>
                <w:lang w:eastAsia="zh-CN"/>
              </w:rPr>
            </w:pPr>
          </w:p>
        </w:tc>
        <w:tc>
          <w:tcPr>
            <w:tcW w:w="95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olor w:val="auto"/>
                <w:sz w:val="21"/>
                <w:szCs w:val="21"/>
                <w:lang w:eastAsia="zh-CN"/>
              </w:rPr>
            </w:pPr>
          </w:p>
        </w:tc>
        <w:tc>
          <w:tcPr>
            <w:tcW w:w="36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项目作业区为线状，污染源分布分散，且污染物大多为露天排放，机械和汽车尾气排放量不大且间歇排放，加强防护措施并经大气扩散和稀释；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olor w:val="auto"/>
                <w:sz w:val="21"/>
                <w:szCs w:val="21"/>
                <w:lang w:eastAsia="zh-CN"/>
              </w:rPr>
            </w:pPr>
          </w:p>
        </w:tc>
        <w:tc>
          <w:tcPr>
            <w:tcW w:w="95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olor w:val="auto"/>
                <w:sz w:val="21"/>
                <w:szCs w:val="21"/>
                <w:lang w:eastAsia="zh-CN"/>
              </w:rPr>
            </w:pPr>
          </w:p>
        </w:tc>
        <w:tc>
          <w:tcPr>
            <w:tcW w:w="36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olor w:val="auto"/>
                <w:sz w:val="21"/>
                <w:szCs w:val="21"/>
                <w:lang w:eastAsia="zh-CN"/>
              </w:rPr>
            </w:pPr>
            <w:r>
              <w:rPr>
                <w:rFonts w:hint="eastAsia"/>
                <w:color w:val="auto"/>
                <w:sz w:val="21"/>
                <w:szCs w:val="21"/>
                <w:lang w:eastAsia="zh-CN"/>
              </w:rPr>
              <w:t>施工时间选择在枯水期，避免夏季施工；临时堆场设置围屏、干化的泥沙及时清理，不在施工场内长时间堆放。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sz w:val="21"/>
                <w:szCs w:val="21"/>
              </w:rPr>
            </w:pPr>
          </w:p>
        </w:tc>
        <w:tc>
          <w:tcPr>
            <w:tcW w:w="95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color w:val="auto"/>
                <w:sz w:val="21"/>
                <w:szCs w:val="21"/>
                <w:lang w:eastAsia="zh-CN"/>
              </w:rPr>
            </w:pPr>
            <w:r>
              <w:rPr>
                <w:rFonts w:hint="eastAsia"/>
                <w:color w:val="auto"/>
                <w:sz w:val="21"/>
                <w:szCs w:val="21"/>
                <w:lang w:eastAsia="zh-CN"/>
              </w:rPr>
              <w:t>废水</w:t>
            </w:r>
          </w:p>
        </w:tc>
        <w:tc>
          <w:tcPr>
            <w:tcW w:w="36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eastAsia="宋体"/>
                <w:b/>
                <w:color w:val="auto"/>
                <w:sz w:val="21"/>
                <w:szCs w:val="21"/>
                <w:lang w:eastAsia="zh-CN"/>
              </w:rPr>
            </w:pPr>
            <w:r>
              <w:rPr>
                <w:rFonts w:hint="eastAsia" w:cs="Times New Roman"/>
                <w:bCs/>
                <w:spacing w:val="0"/>
                <w:kern w:val="2"/>
                <w:sz w:val="21"/>
                <w:szCs w:val="21"/>
                <w:lang w:eastAsia="zh-CN"/>
              </w:rPr>
              <w:t>项目施工废水主要包括施工场地地表径流，施工场地地表径流通过临时集水沉淀池沉淀后用于洒水降尘及绿化。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szCs w:val="20"/>
              </w:rPr>
            </w:pPr>
          </w:p>
        </w:tc>
        <w:tc>
          <w:tcPr>
            <w:tcW w:w="95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szCs w:val="20"/>
              </w:rPr>
            </w:pPr>
          </w:p>
        </w:tc>
        <w:tc>
          <w:tcPr>
            <w:tcW w:w="36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s="Times New Roman"/>
                <w:bCs/>
                <w:spacing w:val="0"/>
                <w:kern w:val="2"/>
                <w:sz w:val="21"/>
                <w:szCs w:val="21"/>
                <w:lang w:eastAsia="zh-CN"/>
              </w:rPr>
            </w:pPr>
            <w:r>
              <w:rPr>
                <w:rFonts w:hint="eastAsia" w:cs="Times New Roman"/>
                <w:bCs/>
                <w:spacing w:val="0"/>
                <w:kern w:val="2"/>
                <w:sz w:val="21"/>
                <w:szCs w:val="21"/>
                <w:lang w:eastAsia="zh-CN"/>
              </w:rPr>
              <w:t>基坑排水经在基坑底面合理布置的排水沟槽，用水泵将少量渗出的地下水及时排出，泵入河道外侧的临时集水沉淀池，沉淀后用于施工场地洒水降尘及绿化以及区域道路洒水降尘及绿化等使用，不再回流进入河道，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Cs/>
                <w:spacing w:val="0"/>
                <w:kern w:val="2"/>
                <w:sz w:val="21"/>
                <w:szCs w:val="21"/>
                <w:lang w:eastAsia="zh-CN"/>
              </w:rPr>
            </w:pPr>
          </w:p>
        </w:tc>
        <w:tc>
          <w:tcPr>
            <w:tcW w:w="95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Cs/>
                <w:spacing w:val="0"/>
                <w:kern w:val="2"/>
                <w:sz w:val="21"/>
                <w:szCs w:val="21"/>
                <w:lang w:eastAsia="zh-CN"/>
              </w:rPr>
            </w:pPr>
          </w:p>
        </w:tc>
        <w:tc>
          <w:tcPr>
            <w:tcW w:w="36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cs="Times New Roman"/>
                <w:bCs/>
                <w:spacing w:val="0"/>
                <w:kern w:val="2"/>
                <w:sz w:val="21"/>
                <w:szCs w:val="21"/>
                <w:lang w:eastAsia="zh-CN"/>
              </w:rPr>
            </w:pPr>
            <w:r>
              <w:rPr>
                <w:rFonts w:hint="eastAsia" w:cs="Times New Roman"/>
                <w:bCs/>
                <w:spacing w:val="0"/>
                <w:kern w:val="2"/>
                <w:sz w:val="21"/>
                <w:szCs w:val="21"/>
                <w:lang w:eastAsia="zh-CN"/>
              </w:rPr>
              <w:t>施工人员生活污水主要是工人的盥洗废水，水质较为清洁，用于施工场地降尘或绿化使用，不外排。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sz w:val="21"/>
                <w:szCs w:val="21"/>
              </w:rPr>
            </w:pPr>
          </w:p>
        </w:tc>
        <w:tc>
          <w:tcPr>
            <w:tcW w:w="9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21"/>
                <w:szCs w:val="21"/>
                <w:lang w:eastAsia="zh-CN"/>
              </w:rPr>
            </w:pPr>
            <w:r>
              <w:rPr>
                <w:rFonts w:hint="eastAsia"/>
                <w:color w:val="auto"/>
                <w:sz w:val="21"/>
                <w:szCs w:val="21"/>
                <w:lang w:eastAsia="zh-CN"/>
              </w:rPr>
              <w:t>噪声</w:t>
            </w:r>
          </w:p>
        </w:tc>
        <w:tc>
          <w:tcPr>
            <w:tcW w:w="3608"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b/>
                <w:color w:val="auto"/>
                <w:sz w:val="21"/>
                <w:szCs w:val="21"/>
              </w:rPr>
            </w:pPr>
            <w:r>
              <w:rPr>
                <w:rFonts w:hint="eastAsia"/>
                <w:color w:val="auto"/>
                <w:sz w:val="21"/>
                <w:szCs w:val="21"/>
                <w:lang w:eastAsia="zh-CN"/>
              </w:rPr>
              <w:t>选用低噪声设备和先进的工艺，规范设备操作，加强设备养护，夜间（22：00-次日6：00）禁止施工，合理安排施工进度，加强建设阶段环境管理；车辆减速慢行，不鸣笛等。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sz w:val="21"/>
                <w:szCs w:val="21"/>
              </w:rPr>
            </w:pPr>
          </w:p>
        </w:tc>
        <w:tc>
          <w:tcPr>
            <w:tcW w:w="95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固体废物</w:t>
            </w:r>
          </w:p>
        </w:tc>
        <w:tc>
          <w:tcPr>
            <w:tcW w:w="3608" w:type="pct"/>
            <w:gridSpan w:val="2"/>
            <w:noWrap w:val="0"/>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smallCaps/>
                <w:sz w:val="21"/>
                <w:szCs w:val="21"/>
                <w:highlight w:val="none"/>
              </w:rPr>
              <w:t>项目表土集中收集，单独贮存，表土贮存顶部采用编织布覆盖，四周设简易排水沟，防治水土流失；表土用于土方回填使用。施工结束后对表土场生态恢复；河道清理产生的河道淤泥用于河滩地低洼地区回填，河流冲积物用于附近村镇乡路垫道，岸坡垃圾集中收集运至生活垃圾填埋场填埋处置；生态护岸工程不产生弃方；生态步道工程不产生弃方，项目不产生弃土，因此不设弃土场；项目于河道管理线外设置临时沉淀池，底泥定期清运至土方回填区</w:t>
            </w:r>
            <w:r>
              <w:rPr>
                <w:rFonts w:hint="eastAsia"/>
                <w:smallCaps/>
                <w:sz w:val="21"/>
                <w:szCs w:val="21"/>
                <w:highlight w:val="none"/>
                <w:lang w:eastAsia="zh-CN"/>
              </w:rPr>
              <w:t>；</w:t>
            </w:r>
            <w:r>
              <w:rPr>
                <w:rFonts w:hint="eastAsia"/>
                <w:smallCaps/>
                <w:sz w:val="21"/>
                <w:szCs w:val="21"/>
                <w:highlight w:val="none"/>
              </w:rPr>
              <w:t>施工人员生活垃圾分类收集，送至区域指定生活垃圾集中堆存点，由区域环卫部门统一负责处置。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sz w:val="21"/>
                <w:szCs w:val="21"/>
              </w:rPr>
            </w:pPr>
          </w:p>
        </w:tc>
        <w:tc>
          <w:tcPr>
            <w:tcW w:w="95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sz w:val="21"/>
                <w:szCs w:val="21"/>
              </w:rPr>
              <w:t>生态保护工程</w:t>
            </w:r>
          </w:p>
        </w:tc>
        <w:tc>
          <w:tcPr>
            <w:tcW w:w="3608" w:type="pct"/>
            <w:gridSpan w:val="2"/>
            <w:noWrap w:val="0"/>
            <w:vAlign w:val="center"/>
          </w:tcPr>
          <w:p>
            <w:pPr>
              <w:pStyle w:val="65"/>
              <w:keepNext w:val="0"/>
              <w:keepLines w:val="0"/>
              <w:suppressLineNumbers w:val="0"/>
              <w:spacing w:before="0" w:beforeAutospacing="0" w:after="0" w:afterAutospacing="0" w:line="240" w:lineRule="auto"/>
              <w:ind w:left="0" w:right="0"/>
              <w:jc w:val="both"/>
              <w:rPr>
                <w:rFonts w:hint="default"/>
                <w:sz w:val="21"/>
                <w:szCs w:val="21"/>
              </w:rPr>
            </w:pPr>
            <w:r>
              <w:rPr>
                <w:rFonts w:hint="default"/>
                <w:sz w:val="21"/>
                <w:szCs w:val="21"/>
              </w:rPr>
              <w:t>项目</w:t>
            </w:r>
            <w:r>
              <w:rPr>
                <w:rFonts w:hint="eastAsia"/>
                <w:sz w:val="21"/>
                <w:szCs w:val="21"/>
              </w:rPr>
              <w:t>建设阶段</w:t>
            </w:r>
            <w:r>
              <w:rPr>
                <w:rFonts w:hint="default"/>
                <w:sz w:val="21"/>
                <w:szCs w:val="21"/>
              </w:rPr>
              <w:t>短暂，受影响的区域范围较小，</w:t>
            </w:r>
            <w:r>
              <w:rPr>
                <w:rFonts w:hint="eastAsia"/>
                <w:sz w:val="21"/>
                <w:szCs w:val="21"/>
              </w:rPr>
              <w:t>建设阶段</w:t>
            </w:r>
            <w:r>
              <w:rPr>
                <w:rFonts w:hint="default"/>
                <w:sz w:val="21"/>
                <w:szCs w:val="21"/>
              </w:rPr>
              <w:t>对上游浮游植物不产生影响，在</w:t>
            </w:r>
            <w:r>
              <w:rPr>
                <w:rFonts w:hint="eastAsia"/>
                <w:sz w:val="21"/>
                <w:szCs w:val="21"/>
              </w:rPr>
              <w:t>建设期</w:t>
            </w:r>
            <w:r>
              <w:rPr>
                <w:rFonts w:hint="default"/>
                <w:sz w:val="21"/>
                <w:szCs w:val="21"/>
              </w:rPr>
              <w:t>结束后，河流迅速澄清，浮游植物的生境通过上游补充等途径可得到较快恢复。</w:t>
            </w:r>
          </w:p>
          <w:p>
            <w:pPr>
              <w:pStyle w:val="65"/>
              <w:keepNext w:val="0"/>
              <w:keepLines w:val="0"/>
              <w:suppressLineNumbers w:val="0"/>
              <w:spacing w:before="0" w:beforeAutospacing="0" w:after="0" w:afterAutospacing="0" w:line="240" w:lineRule="auto"/>
              <w:ind w:left="0" w:right="0"/>
              <w:jc w:val="both"/>
              <w:rPr>
                <w:rFonts w:hint="default"/>
                <w:sz w:val="21"/>
                <w:szCs w:val="21"/>
              </w:rPr>
            </w:pPr>
            <w:r>
              <w:rPr>
                <w:rFonts w:hint="eastAsia"/>
                <w:sz w:val="21"/>
                <w:szCs w:val="21"/>
              </w:rPr>
              <w:t>项目建设阶段造成</w:t>
            </w:r>
            <w:r>
              <w:rPr>
                <w:rFonts w:hint="eastAsia"/>
                <w:sz w:val="21"/>
                <w:szCs w:val="21"/>
                <w:lang w:eastAsia="zh-CN"/>
              </w:rPr>
              <w:t>柳河</w:t>
            </w:r>
            <w:r>
              <w:rPr>
                <w:rFonts w:hint="eastAsia"/>
                <w:sz w:val="21"/>
                <w:szCs w:val="21"/>
              </w:rPr>
              <w:t>局部悬浮物含量增高，对滤食性浮游动物产生一定影响。一般在水下构筑物周围50m范围内的水体中悬浮物有较为显著的增加，约2000mg/L左右，随着距离的增加、影响逐步减小并恢复到河流的本底状况。但随着施工的结束，影响很快消失</w:t>
            </w:r>
          </w:p>
          <w:p>
            <w:pPr>
              <w:pStyle w:val="65"/>
              <w:keepNext w:val="0"/>
              <w:keepLines w:val="0"/>
              <w:suppressLineNumbers w:val="0"/>
              <w:spacing w:before="0" w:beforeAutospacing="0" w:after="0" w:afterAutospacing="0" w:line="240" w:lineRule="auto"/>
              <w:ind w:left="0" w:right="0"/>
              <w:jc w:val="both"/>
              <w:rPr>
                <w:rFonts w:hint="default"/>
                <w:sz w:val="21"/>
                <w:szCs w:val="21"/>
              </w:rPr>
            </w:pPr>
            <w:r>
              <w:rPr>
                <w:rFonts w:hint="default"/>
                <w:sz w:val="21"/>
                <w:szCs w:val="21"/>
              </w:rPr>
              <w:t>项目</w:t>
            </w:r>
            <w:r>
              <w:rPr>
                <w:rFonts w:hint="eastAsia"/>
                <w:sz w:val="21"/>
                <w:szCs w:val="21"/>
                <w:lang w:eastAsia="zh-CN"/>
              </w:rPr>
              <w:t>河道清淤</w:t>
            </w:r>
            <w:r>
              <w:rPr>
                <w:rFonts w:hint="eastAsia"/>
                <w:sz w:val="21"/>
                <w:szCs w:val="21"/>
              </w:rPr>
              <w:t>工程</w:t>
            </w:r>
            <w:r>
              <w:rPr>
                <w:rFonts w:hint="default"/>
                <w:sz w:val="21"/>
                <w:szCs w:val="21"/>
              </w:rPr>
              <w:t>的建设会扰动河道底质，对在施工河段内栖息的底栖动物影响显著，但对蜉蝣目等游动类底栖动物影响较小</w:t>
            </w:r>
            <w:r>
              <w:rPr>
                <w:rFonts w:hint="eastAsia"/>
                <w:sz w:val="21"/>
                <w:szCs w:val="21"/>
              </w:rPr>
              <w:t>。</w:t>
            </w:r>
          </w:p>
          <w:p>
            <w:pPr>
              <w:pStyle w:val="65"/>
              <w:keepNext w:val="0"/>
              <w:keepLines w:val="0"/>
              <w:suppressLineNumbers w:val="0"/>
              <w:spacing w:before="0" w:beforeAutospacing="0" w:after="0" w:afterAutospacing="0" w:line="240" w:lineRule="auto"/>
              <w:ind w:left="0" w:right="0" w:firstLine="0" w:firstLineChars="0"/>
              <w:jc w:val="both"/>
              <w:rPr>
                <w:rFonts w:hint="eastAsia" w:ascii="Times New Roman" w:hAnsi="Times New Roman" w:eastAsia="宋体" w:cs="Times New Roman"/>
                <w:color w:val="FF0000"/>
                <w:kern w:val="2"/>
                <w:sz w:val="21"/>
                <w:szCs w:val="21"/>
                <w:lang w:val="en-US" w:eastAsia="zh-CN" w:bidi="ar-SA"/>
              </w:rPr>
            </w:pPr>
            <w:r>
              <w:rPr>
                <w:rFonts w:hint="eastAsia"/>
                <w:sz w:val="21"/>
                <w:szCs w:val="21"/>
              </w:rPr>
              <w:t>项目</w:t>
            </w:r>
            <w:r>
              <w:rPr>
                <w:rFonts w:hint="default"/>
                <w:sz w:val="21"/>
                <w:szCs w:val="21"/>
              </w:rPr>
              <w:t>在水域作业时，搅动水体和河床底泥，局部范围内破坏鱼类的栖息地，对鱼类造成一定</w:t>
            </w:r>
            <w:r>
              <w:rPr>
                <w:rFonts w:hint="eastAsia"/>
                <w:sz w:val="21"/>
                <w:szCs w:val="21"/>
              </w:rPr>
              <w:t>不利影响。</w:t>
            </w:r>
            <w:r>
              <w:rPr>
                <w:rFonts w:hint="default"/>
                <w:sz w:val="21"/>
                <w:szCs w:val="21"/>
              </w:rPr>
              <w:t>但由于影响区域较小、影响时间较短，该影响较轻。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sz w:val="21"/>
                <w:szCs w:val="21"/>
              </w:rPr>
            </w:pPr>
          </w:p>
        </w:tc>
        <w:tc>
          <w:tcPr>
            <w:tcW w:w="955" w:type="pct"/>
            <w:vMerge w:val="continue"/>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p>
        </w:tc>
        <w:tc>
          <w:tcPr>
            <w:tcW w:w="0" w:type="auto"/>
            <w:gridSpan w:val="2"/>
            <w:vAlign w:val="center"/>
          </w:tcPr>
          <w:p>
            <w:pPr>
              <w:pStyle w:val="65"/>
              <w:keepNext w:val="0"/>
              <w:keepLines w:val="0"/>
              <w:suppressLineNumbers w:val="0"/>
              <w:spacing w:before="0" w:beforeAutospacing="0" w:after="0" w:afterAutospacing="0" w:line="240" w:lineRule="auto"/>
              <w:ind w:left="0" w:right="0" w:firstLine="0" w:firstLineChars="0"/>
              <w:jc w:val="both"/>
              <w:rPr>
                <w:rFonts w:hint="eastAsia" w:ascii="Times New Roman" w:hAnsi="Times New Roman" w:eastAsia="宋体" w:cs="Times New Roman"/>
                <w:color w:val="FF0000"/>
                <w:kern w:val="2"/>
                <w:sz w:val="21"/>
                <w:szCs w:val="21"/>
                <w:lang w:val="en-US" w:eastAsia="zh-CN" w:bidi="ar-SA"/>
              </w:rPr>
            </w:pPr>
            <w:r>
              <w:rPr>
                <w:rFonts w:hint="default"/>
                <w:sz w:val="21"/>
                <w:szCs w:val="21"/>
              </w:rPr>
              <w:t>工程结束后，临时用地进行植被恢复；项目分段建设施工，施工段总长度较短，随着建设阶段结束，项目河道内施工对水生生态环境的影响也随着结束，项目施工结束后对临时占地和施工临时道路进行植被恢复，对破坏的植被进行重建。</w:t>
            </w:r>
            <w:r>
              <w:rPr>
                <w:rFonts w:hint="eastAsia"/>
                <w:sz w:val="21"/>
                <w:szCs w:val="21"/>
              </w:rPr>
              <w:t>在此基础上，水土流失可得到有效控制。</w:t>
            </w:r>
          </w:p>
        </w:tc>
      </w:tr>
    </w:tbl>
    <w:p>
      <w:pPr>
        <w:pStyle w:val="6"/>
        <w:spacing w:before="156"/>
        <w:rPr>
          <w:b/>
        </w:rPr>
      </w:pPr>
      <w:bookmarkStart w:id="269" w:name="_Toc19125"/>
      <w:r>
        <w:rPr>
          <w:rFonts w:hint="eastAsia"/>
          <w:b/>
          <w:lang w:val="en-US" w:eastAsia="zh-CN"/>
        </w:rPr>
        <w:t>3.1.3</w:t>
      </w:r>
      <w:r>
        <w:rPr>
          <w:rFonts w:hint="eastAsia"/>
          <w:b/>
        </w:rPr>
        <w:t>项目建设内容</w:t>
      </w:r>
      <w:bookmarkEnd w:id="269"/>
    </w:p>
    <w:p>
      <w:pPr>
        <w:pStyle w:val="7"/>
        <w:bidi w:val="0"/>
        <w:rPr>
          <w:rFonts w:hint="eastAsia" w:eastAsia="宋体"/>
          <w:lang w:eastAsia="zh-CN"/>
        </w:rPr>
      </w:pPr>
      <w:r>
        <w:rPr>
          <w:rFonts w:hint="eastAsia"/>
          <w:lang w:val="en-US" w:eastAsia="zh-CN"/>
        </w:rPr>
        <w:t>3.1.3.1</w:t>
      </w:r>
      <w:r>
        <w:rPr>
          <w:rFonts w:hint="eastAsia"/>
          <w:lang w:eastAsia="zh-CN"/>
        </w:rPr>
        <w:t>河道疏浚工程</w:t>
      </w:r>
    </w:p>
    <w:p>
      <w:pPr>
        <w:ind w:left="0" w:leftChars="0" w:firstLine="480" w:firstLineChars="200"/>
        <w:rPr>
          <w:rFonts w:hint="eastAsia" w:cs="Times New Roman"/>
          <w:highlight w:val="none"/>
          <w:lang w:val="en-US" w:eastAsia="zh-CN"/>
        </w:rPr>
      </w:pPr>
      <w:r>
        <w:rPr>
          <w:rFonts w:hint="eastAsia" w:cs="Times New Roman"/>
          <w:highlight w:val="none"/>
          <w:lang w:val="en-US" w:eastAsia="zh-CN"/>
        </w:rPr>
        <w:t>（1）河道疏浚工程</w:t>
      </w:r>
    </w:p>
    <w:p>
      <w:pPr>
        <w:ind w:left="0" w:leftChars="0" w:firstLine="480" w:firstLineChars="200"/>
        <w:rPr>
          <w:rFonts w:hint="eastAsia" w:ascii="Times New Roman" w:hAnsi="Times New Roman" w:cs="Times New Roman"/>
          <w:highlight w:val="none"/>
          <w:lang w:val="en-US" w:eastAsia="zh-CN"/>
        </w:rPr>
      </w:pPr>
      <w:r>
        <w:rPr>
          <w:rFonts w:hint="eastAsia" w:cs="Times New Roman"/>
          <w:highlight w:val="none"/>
          <w:lang w:val="en-US" w:eastAsia="zh-CN"/>
        </w:rPr>
        <w:t>冲积物、淤泥、垃圾</w:t>
      </w:r>
      <w:r>
        <w:rPr>
          <w:rFonts w:hint="eastAsia" w:ascii="Times New Roman" w:hAnsi="Times New Roman" w:cs="Times New Roman"/>
          <w:highlight w:val="none"/>
          <w:lang w:val="en-US" w:eastAsia="zh-CN"/>
        </w:rPr>
        <w:t>清理</w:t>
      </w:r>
      <w:r>
        <w:rPr>
          <w:rFonts w:hint="eastAsia" w:cs="Times New Roman"/>
          <w:highlight w:val="none"/>
          <w:lang w:val="en-US" w:eastAsia="zh-CN"/>
        </w:rPr>
        <w:t>工程</w:t>
      </w:r>
      <w:r>
        <w:rPr>
          <w:rFonts w:hint="eastAsia" w:ascii="Times New Roman" w:hAnsi="Times New Roman" w:cs="Times New Roman"/>
          <w:highlight w:val="none"/>
          <w:lang w:val="en-US" w:eastAsia="zh-CN"/>
        </w:rPr>
        <w:t>根据现场地形条件、河道现状河势及两岸保护对象情况，综合考虑现状河底纵断</w:t>
      </w:r>
      <w:r>
        <w:rPr>
          <w:rFonts w:hint="eastAsia" w:cs="Times New Roman"/>
          <w:highlight w:val="none"/>
          <w:lang w:val="en-US" w:eastAsia="zh-CN"/>
        </w:rPr>
        <w:t>、</w:t>
      </w:r>
      <w:r>
        <w:rPr>
          <w:rFonts w:hint="eastAsia" w:ascii="Times New Roman" w:hAnsi="Times New Roman" w:cs="Times New Roman"/>
          <w:highlight w:val="none"/>
          <w:lang w:val="en-US" w:eastAsia="zh-CN"/>
        </w:rPr>
        <w:t>河道整治后河底高程与上下游平顺衔接</w:t>
      </w:r>
      <w:r>
        <w:rPr>
          <w:rFonts w:hint="eastAsia" w:cs="Times New Roman"/>
          <w:highlight w:val="none"/>
          <w:lang w:val="en-US" w:eastAsia="zh-CN"/>
        </w:rPr>
        <w:t>进行施工</w:t>
      </w:r>
      <w:r>
        <w:rPr>
          <w:rFonts w:hint="eastAsia" w:ascii="Times New Roman" w:hAnsi="Times New Roman" w:cs="Times New Roman"/>
          <w:highlight w:val="none"/>
          <w:lang w:val="en-US" w:eastAsia="zh-CN"/>
        </w:rPr>
        <w:t>，并与已有防护完好段控制断面以及其他涉河构筑物高程相协调，按维持现状河床天然河底纵坡总体趋势不变的原则进行清理。</w:t>
      </w:r>
    </w:p>
    <w:p>
      <w:pPr>
        <w:ind w:left="0" w:leftChars="0" w:firstLine="480" w:firstLineChars="200"/>
        <w:rPr>
          <w:rFonts w:hint="eastAsia" w:ascii="Times New Roman" w:hAnsi="Times New Roman" w:cs="Times New Roman"/>
          <w:highlight w:val="none"/>
          <w:lang w:val="en-US" w:eastAsia="zh-CN"/>
        </w:rPr>
      </w:pPr>
      <w:r>
        <w:rPr>
          <w:rFonts w:hint="eastAsia" w:cs="Times New Roman"/>
          <w:highlight w:val="none"/>
          <w:lang w:val="en-US" w:eastAsia="zh-CN"/>
        </w:rPr>
        <w:t>①</w:t>
      </w:r>
      <w:r>
        <w:rPr>
          <w:rFonts w:hint="eastAsia" w:ascii="Times New Roman" w:hAnsi="Times New Roman" w:cs="Times New Roman"/>
          <w:highlight w:val="none"/>
          <w:lang w:val="en-US" w:eastAsia="zh-CN"/>
        </w:rPr>
        <w:t>清理河流冲击物</w:t>
      </w:r>
      <w:r>
        <w:rPr>
          <w:rFonts w:hint="eastAsia" w:cs="Times New Roman"/>
          <w:highlight w:val="none"/>
          <w:lang w:val="en-US" w:eastAsia="zh-CN"/>
        </w:rPr>
        <w:t>7197</w:t>
      </w:r>
      <w:r>
        <w:rPr>
          <w:rFonts w:hint="eastAsia" w:ascii="Times New Roman" w:hAnsi="Times New Roman" w:cs="Times New Roman"/>
          <w:highlight w:val="none"/>
          <w:lang w:val="en-US" w:eastAsia="zh-CN"/>
        </w:rPr>
        <w:t>m</w:t>
      </w:r>
      <w:r>
        <w:rPr>
          <w:rFonts w:hint="eastAsia" w:ascii="Times New Roman" w:hAnsi="Times New Roman" w:cs="Times New Roman"/>
          <w:highlight w:val="none"/>
          <w:vertAlign w:val="superscript"/>
          <w:lang w:val="en-US" w:eastAsia="zh-CN"/>
        </w:rPr>
        <w:t>2</w:t>
      </w:r>
      <w:r>
        <w:rPr>
          <w:rFonts w:hint="eastAsia" w:ascii="Times New Roman" w:hAnsi="Times New Roman" w:cs="Times New Roman"/>
          <w:highlight w:val="none"/>
          <w:lang w:val="en-US" w:eastAsia="zh-CN"/>
        </w:rPr>
        <w:t>，平均清理厚度0.5m，清理方量为3</w:t>
      </w:r>
      <w:r>
        <w:rPr>
          <w:rFonts w:hint="eastAsia" w:cs="Times New Roman"/>
          <w:highlight w:val="none"/>
          <w:lang w:val="en-US" w:eastAsia="zh-CN"/>
        </w:rPr>
        <w:t>598.5</w:t>
      </w:r>
      <w:r>
        <w:rPr>
          <w:rFonts w:hint="eastAsia" w:ascii="Times New Roman" w:hAnsi="Times New Roman" w:cs="Times New Roman"/>
          <w:highlight w:val="none"/>
          <w:lang w:val="en-US" w:eastAsia="zh-CN"/>
        </w:rPr>
        <w:t>m</w:t>
      </w:r>
      <w:r>
        <w:rPr>
          <w:rFonts w:hint="eastAsia" w:ascii="Times New Roman" w:hAnsi="Times New Roman" w:cs="Times New Roman"/>
          <w:highlight w:val="none"/>
          <w:vertAlign w:val="superscript"/>
          <w:lang w:val="en-US" w:eastAsia="zh-CN"/>
        </w:rPr>
        <w:t>3</w:t>
      </w:r>
      <w:r>
        <w:rPr>
          <w:rFonts w:hint="eastAsia" w:ascii="Times New Roman" w:hAnsi="Times New Roman" w:cs="Times New Roman"/>
          <w:highlight w:val="none"/>
          <w:lang w:val="en-US" w:eastAsia="zh-CN"/>
        </w:rPr>
        <w:t>。</w:t>
      </w:r>
    </w:p>
    <w:p>
      <w:pPr>
        <w:ind w:left="0" w:leftChars="0" w:firstLine="480" w:firstLineChars="200"/>
        <w:rPr>
          <w:rFonts w:hint="eastAsia" w:ascii="Times New Roman" w:hAnsi="Times New Roman" w:cs="Times New Roman"/>
          <w:highlight w:val="none"/>
          <w:lang w:val="en-US" w:eastAsia="zh-CN"/>
        </w:rPr>
      </w:pPr>
      <w:r>
        <w:rPr>
          <w:rFonts w:hint="eastAsia" w:cs="Times New Roman"/>
          <w:highlight w:val="none"/>
          <w:lang w:val="en-US" w:eastAsia="zh-CN"/>
        </w:rPr>
        <w:t>②</w:t>
      </w:r>
      <w:r>
        <w:rPr>
          <w:rFonts w:hint="eastAsia" w:ascii="Times New Roman" w:hAnsi="Times New Roman" w:cs="Times New Roman"/>
          <w:highlight w:val="none"/>
          <w:lang w:val="en-US" w:eastAsia="zh-CN"/>
        </w:rPr>
        <w:t>清理河道淤泥，1</w:t>
      </w:r>
      <w:r>
        <w:rPr>
          <w:rFonts w:hint="eastAsia" w:cs="Times New Roman"/>
          <w:highlight w:val="none"/>
          <w:lang w:val="en-US" w:eastAsia="zh-CN"/>
        </w:rPr>
        <w:t>4090</w:t>
      </w:r>
      <w:r>
        <w:rPr>
          <w:rFonts w:hint="eastAsia" w:ascii="Times New Roman" w:hAnsi="Times New Roman" w:cs="Times New Roman"/>
          <w:highlight w:val="none"/>
          <w:lang w:val="en-US" w:eastAsia="zh-CN"/>
        </w:rPr>
        <w:t>m</w:t>
      </w:r>
      <w:r>
        <w:rPr>
          <w:rFonts w:hint="eastAsia" w:ascii="Times New Roman" w:hAnsi="Times New Roman" w:cs="Times New Roman"/>
          <w:highlight w:val="none"/>
          <w:vertAlign w:val="superscript"/>
          <w:lang w:val="en-US" w:eastAsia="zh-CN"/>
        </w:rPr>
        <w:t>2</w:t>
      </w:r>
      <w:r>
        <w:rPr>
          <w:rFonts w:hint="eastAsia" w:ascii="Times New Roman" w:hAnsi="Times New Roman" w:cs="Times New Roman"/>
          <w:highlight w:val="none"/>
          <w:lang w:val="en-US" w:eastAsia="zh-CN"/>
        </w:rPr>
        <w:t>，平均清理厚度0.5m，清理方量为</w:t>
      </w:r>
      <w:r>
        <w:rPr>
          <w:rFonts w:hint="eastAsia" w:cs="Times New Roman"/>
          <w:highlight w:val="none"/>
          <w:lang w:val="en-US" w:eastAsia="zh-CN"/>
        </w:rPr>
        <w:t>7045</w:t>
      </w:r>
      <w:r>
        <w:rPr>
          <w:rFonts w:hint="eastAsia" w:ascii="Times New Roman" w:hAnsi="Times New Roman" w:cs="Times New Roman"/>
          <w:highlight w:val="none"/>
          <w:lang w:val="en-US" w:eastAsia="zh-CN"/>
        </w:rPr>
        <w:t>m</w:t>
      </w:r>
      <w:r>
        <w:rPr>
          <w:rFonts w:hint="eastAsia" w:ascii="Times New Roman" w:hAnsi="Times New Roman" w:cs="Times New Roman"/>
          <w:highlight w:val="none"/>
          <w:vertAlign w:val="superscript"/>
          <w:lang w:val="en-US" w:eastAsia="zh-CN"/>
        </w:rPr>
        <w:t>3</w:t>
      </w:r>
      <w:r>
        <w:rPr>
          <w:rFonts w:hint="eastAsia" w:ascii="Times New Roman" w:hAnsi="Times New Roman" w:cs="Times New Roman"/>
          <w:highlight w:val="none"/>
          <w:lang w:val="en-US" w:eastAsia="zh-CN"/>
        </w:rPr>
        <w:t>。</w:t>
      </w:r>
    </w:p>
    <w:p>
      <w:pPr>
        <w:ind w:left="0" w:leftChars="0" w:firstLine="480" w:firstLineChars="200"/>
        <w:rPr>
          <w:rFonts w:hint="eastAsia" w:ascii="Times New Roman" w:hAnsi="Times New Roman" w:cs="Times New Roman"/>
          <w:highlight w:val="none"/>
          <w:lang w:val="en-US" w:eastAsia="zh-CN"/>
        </w:rPr>
      </w:pPr>
      <w:r>
        <w:rPr>
          <w:rFonts w:hint="eastAsia" w:cs="Times New Roman"/>
          <w:highlight w:val="none"/>
          <w:lang w:val="en-US" w:eastAsia="zh-CN"/>
        </w:rPr>
        <w:t>③</w:t>
      </w:r>
      <w:r>
        <w:rPr>
          <w:rFonts w:hint="eastAsia" w:ascii="Times New Roman" w:hAnsi="Times New Roman" w:cs="Times New Roman"/>
          <w:highlight w:val="none"/>
          <w:lang w:val="en-US" w:eastAsia="zh-CN"/>
        </w:rPr>
        <w:t>清理岸坡垃圾</w:t>
      </w:r>
      <w:r>
        <w:rPr>
          <w:rFonts w:hint="eastAsia" w:cs="Times New Roman"/>
          <w:highlight w:val="none"/>
          <w:lang w:val="en-US" w:eastAsia="zh-CN"/>
        </w:rPr>
        <w:t>8123</w:t>
      </w:r>
      <w:r>
        <w:rPr>
          <w:rFonts w:hint="eastAsia" w:ascii="Times New Roman" w:hAnsi="Times New Roman" w:cs="Times New Roman"/>
          <w:highlight w:val="none"/>
          <w:lang w:val="en-US" w:eastAsia="zh-CN"/>
        </w:rPr>
        <w:t xml:space="preserve"> m</w:t>
      </w:r>
      <w:r>
        <w:rPr>
          <w:rFonts w:hint="eastAsia" w:ascii="Times New Roman" w:hAnsi="Times New Roman" w:cs="Times New Roman"/>
          <w:highlight w:val="none"/>
          <w:vertAlign w:val="superscript"/>
          <w:lang w:val="en-US" w:eastAsia="zh-CN"/>
        </w:rPr>
        <w:t>2</w:t>
      </w:r>
      <w:r>
        <w:rPr>
          <w:rFonts w:hint="eastAsia" w:ascii="Times New Roman" w:hAnsi="Times New Roman" w:cs="Times New Roman"/>
          <w:highlight w:val="none"/>
          <w:lang w:val="en-US" w:eastAsia="zh-CN"/>
        </w:rPr>
        <w:t>，平均清理厚度0.2m，清理方量为</w:t>
      </w:r>
      <w:r>
        <w:rPr>
          <w:rFonts w:hint="eastAsia" w:cs="Times New Roman"/>
          <w:highlight w:val="none"/>
          <w:lang w:val="en-US" w:eastAsia="zh-CN"/>
        </w:rPr>
        <w:t>1625</w:t>
      </w:r>
      <w:r>
        <w:rPr>
          <w:rFonts w:hint="eastAsia" w:ascii="Times New Roman" w:hAnsi="Times New Roman" w:cs="Times New Roman"/>
          <w:highlight w:val="none"/>
          <w:lang w:val="en-US" w:eastAsia="zh-CN"/>
        </w:rPr>
        <w:t>m</w:t>
      </w:r>
      <w:r>
        <w:rPr>
          <w:rFonts w:hint="eastAsia" w:ascii="Times New Roman" w:hAnsi="Times New Roman" w:cs="Times New Roman"/>
          <w:highlight w:val="none"/>
          <w:vertAlign w:val="superscript"/>
          <w:lang w:val="en-US" w:eastAsia="zh-CN"/>
        </w:rPr>
        <w:t>3</w:t>
      </w:r>
      <w:r>
        <w:rPr>
          <w:rFonts w:hint="eastAsia" w:ascii="Times New Roman" w:hAnsi="Times New Roman" w:cs="Times New Roman"/>
          <w:highlight w:val="none"/>
          <w:lang w:val="en-US" w:eastAsia="zh-CN"/>
        </w:rPr>
        <w:t>。</w:t>
      </w:r>
    </w:p>
    <w:p>
      <w:pPr>
        <w:ind w:left="0" w:leftChars="0" w:firstLine="480" w:firstLineChars="200"/>
        <w:rPr>
          <w:rFonts w:hint="eastAsia" w:ascii="Times New Roman" w:hAnsi="Times New Roman" w:cs="Times New Roman"/>
          <w:highlight w:val="none"/>
          <w:lang w:val="en-US" w:eastAsia="zh-CN"/>
        </w:rPr>
        <w:sectPr>
          <w:headerReference r:id="rId17" w:type="default"/>
          <w:footerReference r:id="rId18" w:type="default"/>
          <w:pgSz w:w="11906" w:h="16838"/>
          <w:pgMar w:top="1701" w:right="1701" w:bottom="1701" w:left="1701" w:header="1020" w:footer="992" w:gutter="0"/>
          <w:pgBorders>
            <w:top w:val="none" w:sz="0" w:space="0"/>
            <w:left w:val="none" w:sz="0" w:space="0"/>
            <w:bottom w:val="none" w:sz="0" w:space="0"/>
            <w:right w:val="none" w:sz="0" w:space="0"/>
          </w:pgBorders>
          <w:cols w:space="425" w:num="1"/>
          <w:docGrid w:linePitch="326" w:charSpace="0"/>
        </w:sectPr>
      </w:pPr>
      <w:r>
        <w:rPr>
          <w:rFonts w:hint="eastAsia" w:ascii="Times New Roman" w:hAnsi="Times New Roman" w:cs="Times New Roman"/>
          <w:highlight w:val="none"/>
          <w:lang w:val="en-US" w:eastAsia="zh-CN"/>
        </w:rPr>
        <w:t>河道清理横断面结合河道现状断面，横断面型式为梯形。结合河道现状及地</w:t>
      </w:r>
    </w:p>
    <w:p>
      <w:pPr>
        <w:ind w:left="0" w:leftChars="0" w:firstLine="480" w:firstLineChars="20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质条件，确定横断面边坡比为1:3。</w:t>
      </w:r>
    </w:p>
    <w:p>
      <w:pPr>
        <w:ind w:left="0" w:leftChars="0" w:firstLine="480" w:firstLineChars="200"/>
        <w:jc w:val="center"/>
        <w:rPr>
          <w:rFonts w:hint="eastAsia" w:eastAsia="宋体"/>
          <w:lang w:eastAsia="zh-CN"/>
        </w:rPr>
      </w:pPr>
      <w:r>
        <w:rPr>
          <w:rFonts w:hint="eastAsia" w:eastAsia="宋体"/>
          <w:lang w:eastAsia="zh-CN"/>
        </w:rPr>
        <w:drawing>
          <wp:inline distT="0" distB="0" distL="114300" distR="114300">
            <wp:extent cx="6727190" cy="4787900"/>
            <wp:effectExtent l="0" t="0" r="16510" b="12700"/>
            <wp:docPr id="4" name="图片 4" descr="附图 工程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 工程平面布置图"/>
                    <pic:cNvPicPr>
                      <a:picLocks noChangeAspect="1"/>
                    </pic:cNvPicPr>
                  </pic:nvPicPr>
                  <pic:blipFill>
                    <a:blip r:embed="rId26"/>
                    <a:srcRect l="4897" t="3340" r="1630" b="2575"/>
                    <a:stretch>
                      <a:fillRect/>
                    </a:stretch>
                  </pic:blipFill>
                  <pic:spPr>
                    <a:xfrm>
                      <a:off x="0" y="0"/>
                      <a:ext cx="6727190" cy="4787900"/>
                    </a:xfrm>
                    <a:prstGeom prst="rect">
                      <a:avLst/>
                    </a:prstGeom>
                  </pic:spPr>
                </pic:pic>
              </a:graphicData>
            </a:graphic>
          </wp:inline>
        </w:drawing>
      </w:r>
    </w:p>
    <w:p>
      <w:pPr>
        <w:pStyle w:val="9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center"/>
      </w:pPr>
      <w:r>
        <w:rPr>
          <w:b/>
          <w:bCs/>
        </w:rPr>
        <w:t>图</w:t>
      </w:r>
      <w:r>
        <w:rPr>
          <w:rFonts w:hint="eastAsia"/>
          <w:b/>
          <w:bCs/>
          <w:lang w:val="en-US" w:eastAsia="zh-CN"/>
        </w:rPr>
        <w:t>3.1</w:t>
      </w:r>
      <w:r>
        <w:rPr>
          <w:b/>
          <w:bCs/>
        </w:rPr>
        <w:t>-</w:t>
      </w:r>
      <w:r>
        <w:rPr>
          <w:rFonts w:hint="eastAsia"/>
          <w:b/>
          <w:bCs/>
          <w:lang w:val="en-US" w:eastAsia="zh-CN"/>
        </w:rPr>
        <w:t>1</w:t>
      </w:r>
      <w:r>
        <w:t xml:space="preserve">  </w:t>
      </w:r>
      <w:r>
        <w:rPr>
          <w:rFonts w:hint="eastAsia"/>
          <w:b/>
          <w:bCs/>
          <w:lang w:eastAsia="zh-CN"/>
        </w:rPr>
        <w:t>河道疏浚工程</w:t>
      </w:r>
      <w:r>
        <w:rPr>
          <w:rFonts w:hint="eastAsia"/>
          <w:b/>
          <w:bCs/>
        </w:rPr>
        <w:t>布置图</w:t>
      </w:r>
    </w:p>
    <w:p>
      <w:pPr>
        <w:pStyle w:val="12"/>
        <w:rPr>
          <w:rFonts w:hint="eastAsia"/>
          <w:lang w:val="en-US" w:eastAsia="zh-CN"/>
        </w:rPr>
        <w:sectPr>
          <w:pgSz w:w="16838" w:h="11906" w:orient="landscape"/>
          <w:pgMar w:top="1701" w:right="1701" w:bottom="1701" w:left="1701" w:header="1020" w:footer="992" w:gutter="0"/>
          <w:pgBorders>
            <w:top w:val="none" w:sz="0" w:space="0"/>
            <w:left w:val="none" w:sz="0" w:space="0"/>
            <w:bottom w:val="none" w:sz="0" w:space="0"/>
            <w:right w:val="none" w:sz="0" w:space="0"/>
          </w:pgBorders>
          <w:cols w:space="425" w:num="1"/>
          <w:docGrid w:linePitch="326" w:charSpace="0"/>
        </w:sectPr>
      </w:pPr>
    </w:p>
    <w:p>
      <w:pPr>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lang w:val="en-US" w:eastAsia="zh-CN"/>
        </w:rPr>
      </w:pPr>
      <w:r>
        <w:rPr>
          <w:rFonts w:hint="eastAsia" w:cs="Times New Roman"/>
          <w:lang w:val="en-US" w:eastAsia="zh-CN"/>
        </w:rPr>
        <w:t>（2）河岸岸堤建设</w:t>
      </w:r>
    </w:p>
    <w:p>
      <w:pPr>
        <w:bidi w:val="0"/>
        <w:rPr>
          <w:rFonts w:hint="eastAsia"/>
          <w:lang w:val="en-US" w:eastAsia="zh-CN"/>
        </w:rPr>
      </w:pPr>
      <w:r>
        <w:rPr>
          <w:rFonts w:hint="eastAsia"/>
          <w:lang w:val="en-US" w:eastAsia="zh-CN"/>
        </w:rPr>
        <w:t>在三块石断面区域新建河流生态护岸240m。建设格宾石笼生态型护岸，石笼生态型护岸把自然生态与人工构筑物相结合用于抵御水流波浪冲刷，具有良好的防护性能，而且为植物生长提供一个良好地基础护岸，不仅具有很好的渗透性，而且可以适应阶梯式、斜坡式等不同的型式要求，又可多种型式组合使用，达到更好地效果。</w:t>
      </w:r>
    </w:p>
    <w:p>
      <w:pPr>
        <w:bidi w:val="0"/>
        <w:rPr>
          <w:rFonts w:hint="eastAsia"/>
          <w:lang w:val="en-US" w:eastAsia="zh-CN"/>
        </w:rPr>
      </w:pPr>
      <w:r>
        <w:rPr>
          <w:rFonts w:hint="eastAsia"/>
          <w:lang w:val="en-US" w:eastAsia="zh-CN"/>
        </w:rPr>
        <w:t>本项目拟建设方案为：</w:t>
      </w:r>
    </w:p>
    <w:p>
      <w:pPr>
        <w:bidi w:val="0"/>
        <w:rPr>
          <w:rFonts w:hint="eastAsia"/>
          <w:lang w:val="en-US" w:eastAsia="zh-CN"/>
        </w:rPr>
      </w:pPr>
      <w:r>
        <w:rPr>
          <w:rFonts w:hint="eastAsia"/>
          <w:lang w:val="en-US" w:eastAsia="zh-CN"/>
        </w:rPr>
        <w:t>①岸坡裸露处</w:t>
      </w:r>
    </w:p>
    <w:p>
      <w:pPr>
        <w:bidi w:val="0"/>
      </w:pPr>
      <w:r>
        <w:rPr>
          <w:rFonts w:hint="eastAsia"/>
          <w:lang w:val="en-US" w:eastAsia="zh-CN"/>
        </w:rPr>
        <w:t>安排裸露</w:t>
      </w:r>
      <w:r>
        <w:t>河段根据现在边坡陡缓及河口外土地性质，采用以下两种形式：</w:t>
      </w:r>
    </w:p>
    <w:p>
      <w:pPr>
        <w:bidi w:val="0"/>
      </w:pPr>
      <w:r>
        <w:t>A、现状边坡岸坡裸露且坡度较缓</w:t>
      </w:r>
    </w:p>
    <w:p>
      <w:pPr>
        <w:bidi w:val="0"/>
      </w:pPr>
      <w:r>
        <w:t>下部采用格宾石笼挡墙护脚；以上部分采用50cm厚格宾石笼护坡与坡顶相接，水流顶冲凹岸增设格宾石笼水平防冲。表层利用清表土方进行覆土，覆土平均厚度30cm，满足植被修复要求。</w:t>
      </w:r>
    </w:p>
    <w:p>
      <w:pPr>
        <w:bidi w:val="0"/>
      </w:pPr>
      <w:r>
        <w:t>B、现状边坡岸坡裸露且坡度较陡</w:t>
      </w:r>
    </w:p>
    <w:p>
      <w:pPr>
        <w:bidi w:val="0"/>
      </w:pPr>
      <w:r>
        <w:t>沿现状陡坡采用格宾石笼防护，水流顶冲凹岸增设格宾石笼水平防冲。</w:t>
      </w:r>
    </w:p>
    <w:p>
      <w:pPr>
        <w:bidi w:val="0"/>
      </w:pPr>
      <w:r>
        <w:rPr>
          <w:rFonts w:hint="eastAsia"/>
        </w:rPr>
        <w:t>②</w:t>
      </w:r>
      <w:r>
        <w:t>植被不完善处</w:t>
      </w:r>
    </w:p>
    <w:p>
      <w:pPr>
        <w:bidi w:val="0"/>
        <w:rPr>
          <w:rFonts w:hint="eastAsia"/>
        </w:rPr>
      </w:pPr>
      <w:r>
        <w:t>植被不完善处下部采用格宾石笼挡墙护脚，上部分采用格宾石笼护坡对岸坡裸露部分进行防护，高0.4～0.8m，其上保留现状绿化坡面；水流顶冲凹岸增设格宾石笼水平防冲。</w:t>
      </w:r>
    </w:p>
    <w:p>
      <w:pPr>
        <w:pStyle w:val="7"/>
        <w:bidi w:val="0"/>
      </w:pPr>
      <w:r>
        <w:rPr>
          <w:rFonts w:hint="eastAsia"/>
          <w:lang w:val="en-US" w:eastAsia="zh-CN"/>
        </w:rPr>
        <w:t>3.1.3.2</w:t>
      </w:r>
      <w:r>
        <w:rPr>
          <w:rFonts w:hint="eastAsia"/>
        </w:rPr>
        <w:t>生态植物种植工程</w:t>
      </w:r>
    </w:p>
    <w:p>
      <w:pPr>
        <w:bidi w:val="0"/>
        <w:rPr>
          <w:rFonts w:hint="default"/>
          <w:lang w:val="en-US" w:eastAsia="zh-CN"/>
        </w:rPr>
      </w:pPr>
      <w:r>
        <w:rPr>
          <w:rFonts w:hint="eastAsia"/>
          <w:lang w:val="en-US" w:eastAsia="zh-CN"/>
        </w:rPr>
        <w:t>（1）河岸缓冲带生态建设</w:t>
      </w: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lang w:val="en-US" w:eastAsia="zh-CN"/>
        </w:rPr>
        <w:t>对断面区域生态植物不完备的区域进行乔灌木、地被植物、草皮种植和生态步道建设，恢复断面附近河道生态环境。生态植物种植区域现状不同程度分布有生</w:t>
      </w:r>
      <w:r>
        <w:rPr>
          <w:rFonts w:hint="eastAsia"/>
          <w:color w:val="auto"/>
          <w:lang w:val="en-US" w:eastAsia="zh-CN"/>
        </w:rPr>
        <w:t>活垃圾、建筑垃圾、树根等，主要通过人工清理方式进行清除。</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生态植物种植面积共计5904m</w:t>
      </w:r>
      <w:r>
        <w:rPr>
          <w:rFonts w:hint="eastAsia"/>
          <w:color w:val="auto"/>
          <w:highlight w:val="none"/>
          <w:vertAlign w:val="superscript"/>
          <w:lang w:val="en-US" w:eastAsia="zh-CN"/>
        </w:rPr>
        <w:t>2</w:t>
      </w:r>
      <w:r>
        <w:rPr>
          <w:rFonts w:hint="eastAsia"/>
          <w:color w:val="auto"/>
          <w:highlight w:val="none"/>
          <w:lang w:val="en-US" w:eastAsia="zh-CN"/>
        </w:rPr>
        <w:t>，主要为国槐、红花碧桃、海棠、金叶榆、暴马丁香等乔木，忍冬、紫丁香、红瑞木等灌木，沙地柏、水蜡篱、朝鲜黄杨篱等地被植物，以及冷季草坪等。本项目主要生态植物种植种类均为本地物种，且在大部分北方城市均有分布，工程建设后不会造成外来物种入侵。</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color w:val="auto"/>
          <w:sz w:val="21"/>
          <w:szCs w:val="21"/>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color w:val="auto"/>
          <w:sz w:val="21"/>
          <w:szCs w:val="21"/>
        </w:rPr>
      </w:pPr>
      <w:r>
        <w:rPr>
          <w:b/>
          <w:color w:val="auto"/>
          <w:sz w:val="21"/>
          <w:szCs w:val="21"/>
        </w:rPr>
        <w:t>表</w:t>
      </w:r>
      <w:r>
        <w:rPr>
          <w:rFonts w:hint="eastAsia"/>
          <w:b/>
          <w:color w:val="auto"/>
          <w:sz w:val="21"/>
          <w:szCs w:val="21"/>
          <w:lang w:val="en-US" w:eastAsia="zh-CN"/>
        </w:rPr>
        <w:t>3.1</w:t>
      </w:r>
      <w:r>
        <w:rPr>
          <w:b/>
          <w:color w:val="auto"/>
          <w:sz w:val="21"/>
          <w:szCs w:val="21"/>
        </w:rPr>
        <w:t>-</w:t>
      </w:r>
      <w:r>
        <w:rPr>
          <w:rFonts w:hint="eastAsia"/>
          <w:b/>
          <w:color w:val="auto"/>
          <w:sz w:val="21"/>
          <w:szCs w:val="21"/>
          <w:lang w:val="en-US" w:eastAsia="zh-CN"/>
        </w:rPr>
        <w:t>2</w:t>
      </w:r>
      <w:r>
        <w:rPr>
          <w:b/>
          <w:color w:val="auto"/>
          <w:sz w:val="21"/>
          <w:szCs w:val="21"/>
        </w:rPr>
        <w:t xml:space="preserve">  </w:t>
      </w:r>
      <w:r>
        <w:rPr>
          <w:rFonts w:hint="eastAsia"/>
          <w:b/>
          <w:color w:val="auto"/>
          <w:sz w:val="21"/>
          <w:szCs w:val="21"/>
        </w:rPr>
        <w:t>主要生态植物种植要求</w:t>
      </w:r>
    </w:p>
    <w:tbl>
      <w:tblPr>
        <w:tblStyle w:val="39"/>
        <w:tblW w:w="50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9"/>
        <w:gridCol w:w="3224"/>
        <w:gridCol w:w="3819"/>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名称</w:t>
            </w:r>
          </w:p>
        </w:tc>
        <w:tc>
          <w:tcPr>
            <w:tcW w:w="1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示意图</w:t>
            </w:r>
          </w:p>
        </w:tc>
        <w:tc>
          <w:tcPr>
            <w:tcW w:w="22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特征</w:t>
            </w:r>
          </w:p>
        </w:tc>
        <w:tc>
          <w:tcPr>
            <w:tcW w:w="60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21"/>
                <w:szCs w:val="21"/>
                <w:highlight w:val="none"/>
                <w:lang w:val="en-US" w:eastAsia="zh-CN" w:bidi="ar"/>
              </w:rPr>
            </w:pPr>
            <w:r>
              <w:rPr>
                <w:rFonts w:hint="eastAsia" w:cs="Times New Roman"/>
                <w:b/>
                <w:bCs/>
                <w:color w:val="auto"/>
                <w:sz w:val="21"/>
                <w:szCs w:val="21"/>
                <w:highlight w:val="none"/>
                <w:lang w:val="en-US" w:eastAsia="zh-CN" w:bidi="ar"/>
              </w:rPr>
              <w:t>种植面积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2" w:hRule="atLeast"/>
          <w:jc w:val="center"/>
        </w:trPr>
        <w:tc>
          <w:tcPr>
            <w:tcW w:w="3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暴马丁香</w:t>
            </w:r>
          </w:p>
        </w:tc>
        <w:tc>
          <w:tcPr>
            <w:tcW w:w="1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bidi="ar"/>
              </w:rPr>
            </w:pPr>
            <w:r>
              <w:rPr>
                <w:rFonts w:hint="default" w:ascii="宋体" w:hAnsi="宋体" w:eastAsia="宋体" w:cs="宋体"/>
                <w:color w:val="auto"/>
                <w:sz w:val="21"/>
                <w:szCs w:val="21"/>
              </w:rPr>
              <w:drawing>
                <wp:inline distT="0" distB="0" distL="114300" distR="114300">
                  <wp:extent cx="1831340" cy="1871980"/>
                  <wp:effectExtent l="0" t="0" r="16510" b="1397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27"/>
                          <a:srcRect l="6449" r="20131"/>
                          <a:stretch>
                            <a:fillRect/>
                          </a:stretch>
                        </pic:blipFill>
                        <pic:spPr>
                          <a:xfrm>
                            <a:off x="0" y="0"/>
                            <a:ext cx="1831340" cy="1871980"/>
                          </a:xfrm>
                          <a:prstGeom prst="rect">
                            <a:avLst/>
                          </a:prstGeom>
                          <a:noFill/>
                          <a:ln w="9525">
                            <a:noFill/>
                          </a:ln>
                        </pic:spPr>
                      </pic:pic>
                    </a:graphicData>
                  </a:graphic>
                </wp:inline>
              </w:drawing>
            </w:r>
          </w:p>
        </w:tc>
        <w:tc>
          <w:tcPr>
            <w:tcW w:w="22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sz w:val="21"/>
                <w:szCs w:val="21"/>
                <w:highlight w:val="none"/>
                <w:lang w:eastAsia="zh-CN" w:bidi="ar"/>
              </w:rPr>
            </w:pPr>
            <w:r>
              <w:rPr>
                <w:rFonts w:hint="default" w:ascii="Times New Roman" w:hAnsi="Times New Roman" w:cs="Times New Roman"/>
                <w:color w:val="auto"/>
                <w:sz w:val="21"/>
                <w:szCs w:val="21"/>
                <w:highlight w:val="none"/>
                <w:lang w:bidi="ar"/>
              </w:rPr>
              <w:t>暴马丁香种粒细小，忌旱怕涝，应选择地势平坦，排灌方便，肥沃、疏松的沙质壤土为圃地。 播种期以土温在12度以上为宜，多在3月下旬至4月上旬</w:t>
            </w:r>
            <w:r>
              <w:rPr>
                <w:rFonts w:hint="eastAsia" w:cs="Times New Roman"/>
                <w:color w:val="auto"/>
                <w:sz w:val="21"/>
                <w:szCs w:val="21"/>
                <w:highlight w:val="none"/>
                <w:lang w:eastAsia="zh-CN" w:bidi="ar"/>
              </w:rPr>
              <w:t>。生山坡灌丛或林边、草地、沟边，或针、阔叶混交林中，海拔10-1200米。该种喜光，也能耐阴，耐寒、耐旱、耐瘠薄。主要产于中国东北、西北、华北等地。</w:t>
            </w:r>
          </w:p>
        </w:tc>
        <w:tc>
          <w:tcPr>
            <w:tcW w:w="60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3" w:hRule="atLeast"/>
          <w:jc w:val="center"/>
        </w:trPr>
        <w:tc>
          <w:tcPr>
            <w:tcW w:w="3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金叶榆</w:t>
            </w:r>
          </w:p>
        </w:tc>
        <w:tc>
          <w:tcPr>
            <w:tcW w:w="1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1743075" cy="2193925"/>
                  <wp:effectExtent l="0" t="0" r="9525" b="15875"/>
                  <wp:docPr id="45" name="图片 8" descr="金叶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金叶榆"/>
                          <pic:cNvPicPr>
                            <a:picLocks noChangeAspect="1"/>
                          </pic:cNvPicPr>
                        </pic:nvPicPr>
                        <pic:blipFill>
                          <a:blip r:embed="rId28"/>
                          <a:srcRect b="16526"/>
                          <a:stretch>
                            <a:fillRect/>
                          </a:stretch>
                        </pic:blipFill>
                        <pic:spPr>
                          <a:xfrm>
                            <a:off x="0" y="0"/>
                            <a:ext cx="1743075" cy="2193925"/>
                          </a:xfrm>
                          <a:prstGeom prst="rect">
                            <a:avLst/>
                          </a:prstGeom>
                          <a:noFill/>
                          <a:ln>
                            <a:noFill/>
                          </a:ln>
                        </pic:spPr>
                      </pic:pic>
                    </a:graphicData>
                  </a:graphic>
                </wp:inline>
              </w:drawing>
            </w:r>
          </w:p>
        </w:tc>
        <w:tc>
          <w:tcPr>
            <w:tcW w:w="22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金叶榆对于土壤的要求并不是很高，能够在大多数土壤中生长，但最好种植在肥沃、湿润的土壤之中。金叶榆的枝条萌生力很强，一般当枝条上长出大约十几个叶片时，腋芽便萌发长出新枝，因此金叶榆的枝条比普通白榆更密集，树冠更丰满，造型更丰富。产于我国东北、华北、西北、华东等地。</w:t>
            </w:r>
          </w:p>
        </w:tc>
        <w:tc>
          <w:tcPr>
            <w:tcW w:w="60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红花碧桃</w:t>
            </w:r>
          </w:p>
        </w:tc>
        <w:tc>
          <w:tcPr>
            <w:tcW w:w="1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drawing>
                <wp:inline distT="0" distB="0" distL="114300" distR="114300">
                  <wp:extent cx="1862455" cy="1403985"/>
                  <wp:effectExtent l="0" t="0" r="4445" b="5715"/>
                  <wp:docPr id="47" name="图片 9" descr="1b4c510fd9f9d72a95137d31d62a2834349bb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descr="1b4c510fd9f9d72a95137d31d62a2834349bbba3"/>
                          <pic:cNvPicPr>
                            <a:picLocks noChangeAspect="1"/>
                          </pic:cNvPicPr>
                        </pic:nvPicPr>
                        <pic:blipFill>
                          <a:blip r:embed="rId29"/>
                          <a:stretch>
                            <a:fillRect/>
                          </a:stretch>
                        </pic:blipFill>
                        <pic:spPr>
                          <a:xfrm>
                            <a:off x="0" y="0"/>
                            <a:ext cx="1862455" cy="1403985"/>
                          </a:xfrm>
                          <a:prstGeom prst="rect">
                            <a:avLst/>
                          </a:prstGeom>
                          <a:noFill/>
                          <a:ln>
                            <a:noFill/>
                          </a:ln>
                        </pic:spPr>
                      </pic:pic>
                    </a:graphicData>
                  </a:graphic>
                </wp:inline>
              </w:drawing>
            </w:r>
          </w:p>
        </w:tc>
        <w:tc>
          <w:tcPr>
            <w:tcW w:w="22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红花碧桃宜栽植于沙壤土或砾壤土的地块。沙壤土或砾壤土通透性好</w:t>
            </w:r>
            <w:r>
              <w:rPr>
                <w:rFonts w:hint="eastAsia" w:ascii="Times New Roman" w:hAnsi="Times New Roman" w:cs="Times New Roman"/>
                <w:color w:val="auto"/>
                <w:sz w:val="21"/>
                <w:szCs w:val="21"/>
                <w:highlight w:val="none"/>
                <w:lang w:eastAsia="zh-CN" w:bidi="ar"/>
              </w:rPr>
              <w:t>，</w:t>
            </w:r>
            <w:r>
              <w:rPr>
                <w:rFonts w:hint="default" w:ascii="Times New Roman" w:hAnsi="Times New Roman" w:cs="Times New Roman"/>
                <w:color w:val="auto"/>
                <w:sz w:val="21"/>
                <w:szCs w:val="21"/>
                <w:highlight w:val="none"/>
                <w:lang w:bidi="ar"/>
              </w:rPr>
              <w:t>可保证红花碧桃根系正常的生理活动。另外为创造根系健康生长的环境条件，要避免在低洼排水不良的地方栽植，栽植时切忌过密过深。浇水在干旱季节里较为适宜，每周浇一次透水为宜。见干浇水，避免过干过湿的现象。落叶小乔木。为蔷薇科桃属植物的一个品种。因其适应性强，在中国北方地区的公园、庭院、绿地等景点广为种植。</w:t>
            </w:r>
          </w:p>
        </w:tc>
        <w:tc>
          <w:tcPr>
            <w:tcW w:w="60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红瑞木</w:t>
            </w:r>
          </w:p>
        </w:tc>
        <w:tc>
          <w:tcPr>
            <w:tcW w:w="1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\d "https://p1.ssl.qhimg.com/dr/270_500_/t0126696d5a55d05187.jpg?size=510x680"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853565" cy="1979930"/>
                  <wp:effectExtent l="0" t="0" r="13335" b="1270"/>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30" r:link="rId31"/>
                          <a:stretch>
                            <a:fillRect/>
                          </a:stretch>
                        </pic:blipFill>
                        <pic:spPr>
                          <a:xfrm>
                            <a:off x="0" y="0"/>
                            <a:ext cx="1853565" cy="197993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tc>
        <w:tc>
          <w:tcPr>
            <w:tcW w:w="22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sz w:val="21"/>
                <w:szCs w:val="21"/>
                <w:highlight w:val="none"/>
                <w:lang w:eastAsia="zh-CN" w:bidi="ar"/>
              </w:rPr>
            </w:pPr>
            <w:r>
              <w:rPr>
                <w:rFonts w:hint="default" w:ascii="Times New Roman" w:hAnsi="Times New Roman" w:cs="Times New Roman"/>
                <w:color w:val="auto"/>
                <w:sz w:val="21"/>
                <w:szCs w:val="21"/>
                <w:highlight w:val="none"/>
                <w:lang w:bidi="ar"/>
              </w:rPr>
              <w:t>红瑞木栽植时株距为4cm，每行插入30个条，行距为10cm，每米床面上插入10行。插入斜度为75°，梢头朝北，上芽朝南，插入深度达到中间芽与床面齐为宜。红瑞木是扦插生根比较慢的树种，一般需要60—90d时间，个别的达到100d以上。产于中国东北、华北、西北、华东等地</w:t>
            </w:r>
            <w:r>
              <w:rPr>
                <w:rFonts w:hint="eastAsia" w:cs="Times New Roman"/>
                <w:color w:val="auto"/>
                <w:sz w:val="21"/>
                <w:szCs w:val="21"/>
                <w:highlight w:val="none"/>
                <w:lang w:eastAsia="zh-CN" w:bidi="ar"/>
              </w:rPr>
              <w:t>。</w:t>
            </w:r>
          </w:p>
        </w:tc>
        <w:tc>
          <w:tcPr>
            <w:tcW w:w="60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紫丁香</w:t>
            </w:r>
          </w:p>
        </w:tc>
        <w:tc>
          <w:tcPr>
            <w:tcW w:w="1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\d "https://img.cnhnb.com/group1/M00/9C/58/5F41CEWE1AChRkRlrJycOAOW9pAAKs63OKCls202.jpg"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775460" cy="1188085"/>
                  <wp:effectExtent l="0" t="0" r="15240" b="12065"/>
                  <wp:docPr id="5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descr="IMG_256"/>
                          <pic:cNvPicPr>
                            <a:picLocks noChangeAspect="1"/>
                          </pic:cNvPicPr>
                        </pic:nvPicPr>
                        <pic:blipFill>
                          <a:blip r:embed="rId32" r:link="rId33"/>
                          <a:stretch>
                            <a:fillRect/>
                          </a:stretch>
                        </pic:blipFill>
                        <pic:spPr>
                          <a:xfrm>
                            <a:off x="0" y="0"/>
                            <a:ext cx="1775460" cy="118808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tc>
        <w:tc>
          <w:tcPr>
            <w:tcW w:w="22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sz w:val="21"/>
                <w:szCs w:val="21"/>
                <w:highlight w:val="none"/>
                <w:lang w:eastAsia="zh-CN" w:bidi="ar"/>
              </w:rPr>
            </w:pPr>
            <w:r>
              <w:rPr>
                <w:rFonts w:hint="default" w:ascii="Times New Roman" w:hAnsi="Times New Roman" w:cs="Times New Roman"/>
                <w:color w:val="auto"/>
                <w:sz w:val="21"/>
                <w:szCs w:val="21"/>
                <w:highlight w:val="none"/>
                <w:lang w:bidi="ar"/>
              </w:rPr>
              <w:t>初夏选用当年生半木质化的粗壮枝条作插穗。嫁接繁殖多用小叶女贞或本属强健种类作砧木，芽接或枝接均可。栽培地宜向阳、土层深厚。早春萌动前行裸根移栽。栽后注意灌水，施肥不宜过多。一般在秋后或早春进行修剪，以保持株形美观。紫丁香原产中国华北地区，在中国已有1000多年的栽培历史</w:t>
            </w:r>
            <w:r>
              <w:rPr>
                <w:rFonts w:hint="eastAsia" w:cs="Times New Roman"/>
                <w:color w:val="auto"/>
                <w:sz w:val="21"/>
                <w:szCs w:val="21"/>
                <w:highlight w:val="none"/>
                <w:lang w:eastAsia="zh-CN" w:bidi="ar"/>
              </w:rPr>
              <w:t>。</w:t>
            </w:r>
          </w:p>
        </w:tc>
        <w:tc>
          <w:tcPr>
            <w:tcW w:w="60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朝鲜黄杨</w:t>
            </w:r>
          </w:p>
        </w:tc>
        <w:tc>
          <w:tcPr>
            <w:tcW w:w="1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1764030" cy="1764030"/>
                  <wp:effectExtent l="0" t="0" r="7620" b="7620"/>
                  <wp:docPr id="53" name="图片 12" descr="朝鲜黄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descr="朝鲜黄杨"/>
                          <pic:cNvPicPr>
                            <a:picLocks noChangeAspect="1"/>
                          </pic:cNvPicPr>
                        </pic:nvPicPr>
                        <pic:blipFill>
                          <a:blip r:embed="rId34"/>
                          <a:stretch>
                            <a:fillRect/>
                          </a:stretch>
                        </pic:blipFill>
                        <pic:spPr>
                          <a:xfrm>
                            <a:off x="0" y="0"/>
                            <a:ext cx="1764030" cy="1764030"/>
                          </a:xfrm>
                          <a:prstGeom prst="rect">
                            <a:avLst/>
                          </a:prstGeom>
                          <a:noFill/>
                          <a:ln>
                            <a:noFill/>
                          </a:ln>
                        </pic:spPr>
                      </pic:pic>
                    </a:graphicData>
                  </a:graphic>
                </wp:inline>
              </w:drawing>
            </w:r>
          </w:p>
        </w:tc>
        <w:tc>
          <w:tcPr>
            <w:tcW w:w="220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朝鮮黄杨对土壤要求不严，但在疏松肥沃、土层深厚、通透性良好的沙质土壤中生长最好。朝鲜黄杨枝条柔韧，叶厚，光亮，翠绿，植株生长缓慢，萌芽力强，耐修剪，耐寒，耐碱，抗烟尘，且对氯气等有害气体有较强抗性，是中国北方园林绿化珍贵的常绿阔叶树种之一。</w:t>
            </w:r>
          </w:p>
        </w:tc>
        <w:tc>
          <w:tcPr>
            <w:tcW w:w="60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3000</w:t>
            </w:r>
          </w:p>
        </w:tc>
      </w:tr>
    </w:tbl>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32"/>
          <w:szCs w:val="32"/>
        </w:rPr>
      </w:pPr>
      <w:r>
        <w:drawing>
          <wp:inline distT="0" distB="0" distL="114300" distR="114300">
            <wp:extent cx="4962525" cy="2844165"/>
            <wp:effectExtent l="0" t="0" r="9525" b="1333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5"/>
                    <a:srcRect l="2568" t="7921" r="27707" b="14378"/>
                    <a:stretch>
                      <a:fillRect/>
                    </a:stretch>
                  </pic:blipFill>
                  <pic:spPr>
                    <a:xfrm>
                      <a:off x="0" y="0"/>
                      <a:ext cx="4962525" cy="2844165"/>
                    </a:xfrm>
                    <a:prstGeom prst="rect">
                      <a:avLst/>
                    </a:prstGeom>
                    <a:noFill/>
                    <a:ln>
                      <a:noFill/>
                    </a:ln>
                  </pic:spPr>
                </pic:pic>
              </a:graphicData>
            </a:graphic>
          </wp:inline>
        </w:drawing>
      </w:r>
    </w:p>
    <w:p>
      <w:pPr>
        <w:pStyle w:val="9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center"/>
      </w:pPr>
      <w:r>
        <w:rPr>
          <w:b/>
          <w:bCs/>
        </w:rPr>
        <w:t>图</w:t>
      </w:r>
      <w:r>
        <w:rPr>
          <w:rFonts w:hint="eastAsia"/>
          <w:b/>
          <w:bCs/>
          <w:lang w:val="en-US" w:eastAsia="zh-CN"/>
        </w:rPr>
        <w:t>3.1</w:t>
      </w:r>
      <w:r>
        <w:rPr>
          <w:b/>
          <w:bCs/>
        </w:rPr>
        <w:t>-</w:t>
      </w:r>
      <w:r>
        <w:rPr>
          <w:rFonts w:hint="eastAsia"/>
          <w:b/>
          <w:bCs/>
          <w:lang w:val="en-US" w:eastAsia="zh-CN"/>
        </w:rPr>
        <w:t>2</w:t>
      </w:r>
      <w:r>
        <w:t xml:space="preserve">  </w:t>
      </w:r>
      <w:r>
        <w:rPr>
          <w:b/>
          <w:bCs/>
        </w:rPr>
        <w:t>生态植物重点栽植区平面布置图</w:t>
      </w:r>
    </w:p>
    <w:p>
      <w:pPr>
        <w:bidi w:val="0"/>
        <w:rPr>
          <w:rFonts w:hint="eastAsia"/>
          <w:lang w:val="en-US" w:eastAsia="zh-CN"/>
        </w:rPr>
      </w:pPr>
      <w:r>
        <w:rPr>
          <w:rFonts w:hint="eastAsia"/>
          <w:lang w:val="en-US" w:eastAsia="zh-CN"/>
        </w:rPr>
        <w:t>（2）生态步道建设</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三块石国考断面处临公路岸坡处现有一处缓坡，拟利用此地块的缓坡和开阔优势，进行生态植物的重点布置和栽植并修建生态步道一处，步道采用分段阶梯延伸至岸边，步道下方混播草坪不露土</w:t>
      </w:r>
      <w:r>
        <w:rPr>
          <w:rFonts w:hint="eastAsia" w:cs="Times New Roman"/>
          <w:lang w:val="en-US" w:eastAsia="zh-CN"/>
        </w:rPr>
        <w:t>，</w:t>
      </w:r>
      <w:r>
        <w:rPr>
          <w:rFonts w:hint="eastAsia" w:ascii="Times New Roman" w:hAnsi="Times New Roman" w:eastAsia="宋体" w:cs="Times New Roman"/>
          <w:lang w:val="en-US" w:eastAsia="zh-CN"/>
        </w:rPr>
        <w:t>新建生态步道共约</w:t>
      </w:r>
      <w:r>
        <w:rPr>
          <w:rFonts w:hint="eastAsia" w:cs="Times New Roman"/>
          <w:lang w:val="en-US" w:eastAsia="zh-CN"/>
        </w:rPr>
        <w:t>117</w:t>
      </w: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2</w:t>
      </w:r>
      <w:r>
        <w:rPr>
          <w:rFonts w:hint="eastAsia" w:cs="Times New Roman"/>
          <w:lang w:val="en-US" w:eastAsia="zh-CN"/>
        </w:rPr>
        <w:t>。生态步道建设既能保证断面监测数据不会因坡面泥土流入而失去准确性，又能提升流域内整体的生态景观效果。</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lang w:val="en-US" w:eastAsia="zh-CN"/>
        </w:rPr>
      </w:pPr>
      <w:r>
        <w:drawing>
          <wp:inline distT="0" distB="0" distL="114300" distR="114300">
            <wp:extent cx="4865370" cy="3131820"/>
            <wp:effectExtent l="0" t="0" r="11430" b="1143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6"/>
                    <a:srcRect b="13021"/>
                    <a:stretch>
                      <a:fillRect/>
                    </a:stretch>
                  </pic:blipFill>
                  <pic:spPr>
                    <a:xfrm>
                      <a:off x="0" y="0"/>
                      <a:ext cx="4865370" cy="3131820"/>
                    </a:xfrm>
                    <a:prstGeom prst="rect">
                      <a:avLst/>
                    </a:prstGeom>
                    <a:noFill/>
                    <a:ln>
                      <a:noFill/>
                    </a:ln>
                  </pic:spPr>
                </pic:pic>
              </a:graphicData>
            </a:graphic>
          </wp:inline>
        </w:drawing>
      </w:r>
    </w:p>
    <w:p>
      <w:pPr>
        <w:pStyle w:val="9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center"/>
      </w:pPr>
      <w:r>
        <w:rPr>
          <w:b/>
          <w:bCs/>
        </w:rPr>
        <w:t>图</w:t>
      </w:r>
      <w:r>
        <w:rPr>
          <w:rFonts w:hint="eastAsia"/>
          <w:b/>
          <w:bCs/>
          <w:lang w:val="en-US" w:eastAsia="zh-CN"/>
        </w:rPr>
        <w:t>3.1</w:t>
      </w:r>
      <w:r>
        <w:rPr>
          <w:b/>
          <w:bCs/>
        </w:rPr>
        <w:t>-</w:t>
      </w:r>
      <w:r>
        <w:rPr>
          <w:rFonts w:hint="eastAsia"/>
          <w:b/>
          <w:bCs/>
          <w:lang w:val="en-US" w:eastAsia="zh-CN"/>
        </w:rPr>
        <w:t>3</w:t>
      </w:r>
      <w:r>
        <w:t xml:space="preserve">  </w:t>
      </w:r>
      <w:r>
        <w:rPr>
          <w:b/>
          <w:bCs/>
        </w:rPr>
        <w:t>生态步道平面布置图</w:t>
      </w:r>
    </w:p>
    <w:p>
      <w:pPr>
        <w:pStyle w:val="6"/>
        <w:bidi w:val="0"/>
        <w:rPr>
          <w:rFonts w:hint="default" w:eastAsia="宋体"/>
          <w:highlight w:val="none"/>
          <w:lang w:val="en-US" w:eastAsia="zh-CN"/>
        </w:rPr>
      </w:pPr>
      <w:bookmarkStart w:id="270" w:name="_Toc18816"/>
      <w:r>
        <w:rPr>
          <w:rFonts w:hint="default"/>
          <w:highlight w:val="none"/>
          <w:lang w:eastAsia="zh-CN"/>
        </w:rPr>
        <w:t>3.</w:t>
      </w:r>
      <w:r>
        <w:rPr>
          <w:rFonts w:hint="eastAsia"/>
          <w:highlight w:val="none"/>
          <w:lang w:val="en-US" w:eastAsia="zh-CN"/>
        </w:rPr>
        <w:t>1</w:t>
      </w:r>
      <w:r>
        <w:rPr>
          <w:rFonts w:hint="default"/>
          <w:highlight w:val="none"/>
        </w:rPr>
        <w:t>.</w:t>
      </w:r>
      <w:r>
        <w:rPr>
          <w:rFonts w:hint="eastAsia"/>
          <w:highlight w:val="none"/>
          <w:lang w:val="en-US" w:eastAsia="zh-CN"/>
        </w:rPr>
        <w:t>4</w:t>
      </w:r>
      <w:r>
        <w:rPr>
          <w:rFonts w:hint="default"/>
          <w:highlight w:val="none"/>
        </w:rPr>
        <w:t xml:space="preserve"> </w:t>
      </w:r>
      <w:r>
        <w:rPr>
          <w:rFonts w:hint="eastAsia"/>
          <w:highlight w:val="none"/>
          <w:lang w:eastAsia="zh-CN"/>
        </w:rPr>
        <w:t>项目占地</w:t>
      </w:r>
      <w:bookmarkEnd w:id="270"/>
      <w:r>
        <w:rPr>
          <w:rFonts w:hint="eastAsia"/>
          <w:highlight w:val="none"/>
          <w:lang w:val="en-US" w:eastAsia="zh-CN"/>
        </w:rPr>
        <w:t xml:space="preserve">  </w:t>
      </w:r>
    </w:p>
    <w:p>
      <w:pPr>
        <w:rPr>
          <w:color w:val="0D0D0D" w:themeColor="text1" w:themeTint="F2"/>
          <w14:textFill>
            <w14:solidFill>
              <w14:schemeClr w14:val="tx1">
                <w14:lumMod w14:val="95000"/>
                <w14:lumOff w14:val="5000"/>
              </w14:schemeClr>
            </w14:solidFill>
          </w14:textFill>
        </w:rPr>
      </w:pPr>
      <w:r>
        <w:rPr>
          <w:rFonts w:hint="eastAsia"/>
        </w:rPr>
        <w:t>项目主要占地情况列表如下：</w:t>
      </w:r>
    </w:p>
    <w:p>
      <w:pPr>
        <w:pStyle w:val="131"/>
        <w:numPr>
          <w:ilvl w:val="0"/>
          <w:numId w:val="0"/>
        </w:numPr>
        <w:spacing w:line="360" w:lineRule="auto"/>
        <w:ind w:leftChars="0"/>
        <w:rPr>
          <w:rFonts w:eastAsia="宋体"/>
          <w:b/>
          <w:color w:val="000000" w:themeColor="text1"/>
          <w14:textFill>
            <w14:solidFill>
              <w14:schemeClr w14:val="tx1"/>
            </w14:solidFill>
          </w14:textFill>
        </w:rPr>
      </w:pPr>
      <w:r>
        <w:rPr>
          <w:rFonts w:hint="eastAsia" w:eastAsia="宋体"/>
          <w:b/>
          <w:color w:val="000000" w:themeColor="text1"/>
          <w:lang w:eastAsia="zh-CN"/>
          <w14:textFill>
            <w14:solidFill>
              <w14:schemeClr w14:val="tx1"/>
            </w14:solidFill>
          </w14:textFill>
        </w:rPr>
        <w:t>表</w:t>
      </w:r>
      <w:r>
        <w:rPr>
          <w:rFonts w:hint="eastAsia" w:eastAsia="宋体"/>
          <w:b/>
          <w:color w:val="000000" w:themeColor="text1"/>
          <w:lang w:val="en-US" w:eastAsia="zh-CN"/>
          <w14:textFill>
            <w14:solidFill>
              <w14:schemeClr w14:val="tx1"/>
            </w14:solidFill>
          </w14:textFill>
        </w:rPr>
        <w:t xml:space="preserve">3.1-3  </w:t>
      </w:r>
      <w:r>
        <w:rPr>
          <w:rFonts w:eastAsia="宋体"/>
          <w:b/>
          <w:color w:val="000000" w:themeColor="text1"/>
          <w14:textFill>
            <w14:solidFill>
              <w14:schemeClr w14:val="tx1"/>
            </w14:solidFill>
          </w14:textFill>
        </w:rPr>
        <w:t>项目</w:t>
      </w:r>
      <w:r>
        <w:rPr>
          <w:rFonts w:hint="eastAsia" w:eastAsia="宋体"/>
          <w:b/>
          <w:color w:val="000000" w:themeColor="text1"/>
          <w14:textFill>
            <w14:solidFill>
              <w14:schemeClr w14:val="tx1"/>
            </w14:solidFill>
          </w14:textFill>
        </w:rPr>
        <w:t>占地情况</w:t>
      </w:r>
      <w:r>
        <w:rPr>
          <w:rFonts w:eastAsia="宋体"/>
          <w:b/>
          <w:color w:val="000000" w:themeColor="text1"/>
          <w14:textFill>
            <w14:solidFill>
              <w14:schemeClr w14:val="tx1"/>
            </w14:solidFill>
          </w14:textFill>
        </w:rPr>
        <w:t>一览表</w:t>
      </w:r>
    </w:p>
    <w:tbl>
      <w:tblPr>
        <w:tblStyle w:val="39"/>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436"/>
        <w:gridCol w:w="1917"/>
        <w:gridCol w:w="1341"/>
        <w:gridCol w:w="794"/>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eastAsia"/>
                <w:b/>
                <w:color w:val="000000"/>
                <w:kern w:val="0"/>
                <w:sz w:val="21"/>
                <w:szCs w:val="21"/>
              </w:rPr>
              <w:t>序号</w:t>
            </w:r>
          </w:p>
        </w:tc>
        <w:tc>
          <w:tcPr>
            <w:tcW w:w="1436"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eastAsia"/>
                <w:b/>
                <w:color w:val="000000"/>
                <w:kern w:val="0"/>
                <w:sz w:val="21"/>
                <w:szCs w:val="21"/>
              </w:rPr>
              <w:t>工程类型</w:t>
            </w:r>
          </w:p>
        </w:tc>
        <w:tc>
          <w:tcPr>
            <w:tcW w:w="1917"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eastAsia"/>
                <w:b/>
                <w:color w:val="000000"/>
                <w:kern w:val="0"/>
                <w:sz w:val="21"/>
                <w:szCs w:val="21"/>
              </w:rPr>
              <w:t>工程内容</w:t>
            </w:r>
          </w:p>
        </w:tc>
        <w:tc>
          <w:tcPr>
            <w:tcW w:w="1341"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auto"/>
                <w:kern w:val="0"/>
                <w:sz w:val="21"/>
                <w:szCs w:val="21"/>
                <w:highlight w:val="none"/>
              </w:rPr>
            </w:pPr>
            <w:r>
              <w:rPr>
                <w:rFonts w:hint="eastAsia"/>
                <w:b/>
                <w:color w:val="auto"/>
                <w:kern w:val="0"/>
                <w:sz w:val="21"/>
                <w:szCs w:val="21"/>
                <w:highlight w:val="none"/>
              </w:rPr>
              <w:t>占地面积</w:t>
            </w:r>
          </w:p>
        </w:tc>
        <w:tc>
          <w:tcPr>
            <w:tcW w:w="79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auto"/>
                <w:kern w:val="0"/>
                <w:sz w:val="21"/>
                <w:szCs w:val="21"/>
                <w:highlight w:val="none"/>
              </w:rPr>
            </w:pPr>
            <w:r>
              <w:rPr>
                <w:rFonts w:hint="eastAsia"/>
                <w:b/>
                <w:color w:val="auto"/>
                <w:kern w:val="0"/>
                <w:sz w:val="21"/>
                <w:szCs w:val="21"/>
                <w:highlight w:val="none"/>
              </w:rPr>
              <w:t>单位</w:t>
            </w:r>
          </w:p>
        </w:tc>
        <w:tc>
          <w:tcPr>
            <w:tcW w:w="2290"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eastAsia"/>
                <w:b/>
                <w:color w:val="000000"/>
                <w:kern w:val="0"/>
                <w:sz w:val="21"/>
                <w:szCs w:val="21"/>
              </w:rPr>
              <w:t>占地类型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1</w:t>
            </w:r>
          </w:p>
        </w:tc>
        <w:tc>
          <w:tcPr>
            <w:tcW w:w="1436" w:type="dxa"/>
            <w:vMerge w:val="restart"/>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主体工程</w:t>
            </w:r>
          </w:p>
        </w:tc>
        <w:tc>
          <w:tcPr>
            <w:tcW w:w="1917"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000000"/>
                <w:kern w:val="0"/>
                <w:sz w:val="21"/>
                <w:szCs w:val="21"/>
                <w:lang w:val="en-US" w:eastAsia="zh-CN"/>
              </w:rPr>
            </w:pPr>
            <w:r>
              <w:rPr>
                <w:rFonts w:hint="eastAsia"/>
                <w:color w:val="000000"/>
                <w:kern w:val="0"/>
                <w:sz w:val="21"/>
                <w:szCs w:val="21"/>
              </w:rPr>
              <w:t>河道疏浚工程</w:t>
            </w:r>
          </w:p>
        </w:tc>
        <w:tc>
          <w:tcPr>
            <w:tcW w:w="1341"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28853</w:t>
            </w:r>
          </w:p>
        </w:tc>
        <w:tc>
          <w:tcPr>
            <w:tcW w:w="79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kern w:val="0"/>
                <w:sz w:val="21"/>
                <w:szCs w:val="21"/>
                <w:highlight w:val="none"/>
              </w:rPr>
            </w:pPr>
            <w:r>
              <w:rPr>
                <w:rFonts w:hint="default"/>
                <w:color w:val="auto"/>
                <w:kern w:val="0"/>
                <w:sz w:val="21"/>
                <w:szCs w:val="21"/>
                <w:highlight w:val="none"/>
              </w:rPr>
              <w:t>m</w:t>
            </w:r>
            <w:r>
              <w:rPr>
                <w:rFonts w:hint="default"/>
                <w:color w:val="auto"/>
                <w:kern w:val="0"/>
                <w:sz w:val="21"/>
                <w:szCs w:val="21"/>
                <w:highlight w:val="none"/>
                <w:vertAlign w:val="superscript"/>
              </w:rPr>
              <w:t>2</w:t>
            </w:r>
          </w:p>
        </w:tc>
        <w:tc>
          <w:tcPr>
            <w:tcW w:w="2290"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内陆滩涂</w:t>
            </w:r>
            <w:r>
              <w:rPr>
                <w:rFonts w:hint="eastAsia"/>
                <w:color w:val="000000"/>
                <w:kern w:val="0"/>
                <w:sz w:val="21"/>
                <w:szCs w:val="21"/>
                <w:lang w:eastAsia="zh-CN"/>
              </w:rPr>
              <w:t>、</w:t>
            </w:r>
            <w:r>
              <w:rPr>
                <w:rFonts w:hint="eastAsia"/>
                <w:color w:val="000000"/>
                <w:kern w:val="0"/>
                <w:sz w:val="21"/>
                <w:szCs w:val="21"/>
              </w:rPr>
              <w:t>河流水面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2</w:t>
            </w:r>
          </w:p>
        </w:tc>
        <w:tc>
          <w:tcPr>
            <w:tcW w:w="1436" w:type="dxa"/>
            <w:vMerge w:val="continue"/>
            <w:shd w:val="clear" w:color="auto" w:fill="auto"/>
            <w:noWrap/>
            <w:vAlign w:val="center"/>
          </w:tcPr>
          <w:p>
            <w:pPr>
              <w:pStyle w:val="65"/>
              <w:keepNext w:val="0"/>
              <w:keepLines w:val="0"/>
              <w:suppressLineNumbers w:val="0"/>
              <w:spacing w:before="0" w:beforeAutospacing="0" w:after="0" w:afterAutospacing="0" w:line="240" w:lineRule="auto"/>
              <w:ind w:left="0" w:right="0"/>
              <w:rPr>
                <w:rFonts w:hint="default"/>
                <w:color w:val="000000" w:themeColor="text1"/>
                <w14:textFill>
                  <w14:solidFill>
                    <w14:schemeClr w14:val="tx1"/>
                  </w14:solidFill>
                </w14:textFill>
              </w:rPr>
            </w:pPr>
          </w:p>
        </w:tc>
        <w:tc>
          <w:tcPr>
            <w:tcW w:w="1917"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kern w:val="0"/>
                <w:sz w:val="21"/>
                <w:szCs w:val="21"/>
              </w:rPr>
              <w:t>河岸岸堤建设</w:t>
            </w:r>
          </w:p>
        </w:tc>
        <w:tc>
          <w:tcPr>
            <w:tcW w:w="1341"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541.5</w:t>
            </w:r>
          </w:p>
        </w:tc>
        <w:tc>
          <w:tcPr>
            <w:tcW w:w="79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auto"/>
                <w:kern w:val="0"/>
                <w:sz w:val="21"/>
                <w:szCs w:val="21"/>
                <w:highlight w:val="none"/>
              </w:rPr>
            </w:pPr>
            <w:r>
              <w:rPr>
                <w:rFonts w:hint="default"/>
                <w:color w:val="auto"/>
                <w:kern w:val="0"/>
                <w:sz w:val="21"/>
                <w:szCs w:val="21"/>
                <w:highlight w:val="none"/>
              </w:rPr>
              <w:t>m</w:t>
            </w:r>
            <w:r>
              <w:rPr>
                <w:rFonts w:hint="default"/>
                <w:color w:val="auto"/>
                <w:kern w:val="0"/>
                <w:sz w:val="21"/>
                <w:szCs w:val="21"/>
                <w:highlight w:val="none"/>
                <w:vertAlign w:val="superscript"/>
              </w:rPr>
              <w:t>2</w:t>
            </w:r>
          </w:p>
        </w:tc>
        <w:tc>
          <w:tcPr>
            <w:tcW w:w="2290"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内陆滩涂、空闲地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3</w:t>
            </w:r>
          </w:p>
        </w:tc>
        <w:tc>
          <w:tcPr>
            <w:tcW w:w="1436" w:type="dxa"/>
            <w:vMerge w:val="continue"/>
            <w:shd w:val="clear" w:color="auto" w:fill="auto"/>
            <w:noWrap/>
            <w:vAlign w:val="center"/>
          </w:tcPr>
          <w:p>
            <w:pPr>
              <w:pStyle w:val="65"/>
              <w:keepNext w:val="0"/>
              <w:keepLines w:val="0"/>
              <w:suppressLineNumbers w:val="0"/>
              <w:spacing w:before="0" w:beforeAutospacing="0" w:after="0" w:afterAutospacing="0" w:line="240" w:lineRule="auto"/>
              <w:ind w:left="0" w:right="0"/>
              <w:rPr>
                <w:rFonts w:hint="default"/>
              </w:rPr>
            </w:pPr>
          </w:p>
        </w:tc>
        <w:tc>
          <w:tcPr>
            <w:tcW w:w="1917"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olor w:val="000000"/>
                <w:kern w:val="0"/>
                <w:sz w:val="21"/>
                <w:szCs w:val="21"/>
                <w:lang w:eastAsia="zh-CN"/>
              </w:rPr>
            </w:pPr>
            <w:r>
              <w:rPr>
                <w:rFonts w:hint="eastAsia"/>
                <w:color w:val="000000"/>
                <w:kern w:val="0"/>
                <w:sz w:val="21"/>
                <w:szCs w:val="21"/>
                <w:lang w:eastAsia="zh-CN"/>
              </w:rPr>
              <w:t>河岸缓冲带生态建设</w:t>
            </w:r>
            <w:r>
              <w:rPr>
                <w:rFonts w:hint="eastAsia"/>
                <w:color w:val="000000"/>
                <w:kern w:val="0"/>
                <w:sz w:val="21"/>
                <w:szCs w:val="21"/>
                <w:lang w:val="en-US" w:eastAsia="zh-CN"/>
              </w:rPr>
              <w:t>-</w:t>
            </w:r>
            <w:r>
              <w:rPr>
                <w:rFonts w:hint="eastAsia"/>
                <w:color w:val="000000"/>
                <w:kern w:val="0"/>
                <w:sz w:val="21"/>
                <w:szCs w:val="21"/>
                <w:lang w:eastAsia="zh-CN"/>
              </w:rPr>
              <w:t>生态植物种植</w:t>
            </w:r>
          </w:p>
        </w:tc>
        <w:tc>
          <w:tcPr>
            <w:tcW w:w="1341"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5904</w:t>
            </w:r>
          </w:p>
        </w:tc>
        <w:tc>
          <w:tcPr>
            <w:tcW w:w="79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auto"/>
                <w:kern w:val="0"/>
                <w:sz w:val="21"/>
                <w:szCs w:val="21"/>
                <w:highlight w:val="none"/>
              </w:rPr>
            </w:pPr>
            <w:r>
              <w:rPr>
                <w:rFonts w:hint="default"/>
                <w:color w:val="auto"/>
                <w:kern w:val="0"/>
                <w:sz w:val="21"/>
                <w:szCs w:val="21"/>
                <w:highlight w:val="none"/>
              </w:rPr>
              <w:t>m</w:t>
            </w:r>
            <w:r>
              <w:rPr>
                <w:rFonts w:hint="default"/>
                <w:color w:val="auto"/>
                <w:kern w:val="0"/>
                <w:sz w:val="21"/>
                <w:szCs w:val="21"/>
                <w:highlight w:val="none"/>
                <w:vertAlign w:val="superscript"/>
              </w:rPr>
              <w:t>2</w:t>
            </w:r>
          </w:p>
        </w:tc>
        <w:tc>
          <w:tcPr>
            <w:tcW w:w="2290" w:type="dxa"/>
            <w:shd w:val="clear" w:color="auto" w:fill="auto"/>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themeColor="text1"/>
                <w:kern w:val="0"/>
                <w:sz w:val="21"/>
                <w:szCs w:val="21"/>
                <w14:textFill>
                  <w14:solidFill>
                    <w14:schemeClr w14:val="tx1"/>
                  </w14:solidFill>
                </w14:textFill>
              </w:rPr>
              <w:t>内陆滩涂、空闲地、林地等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4</w:t>
            </w:r>
          </w:p>
        </w:tc>
        <w:tc>
          <w:tcPr>
            <w:tcW w:w="1436" w:type="dxa"/>
            <w:vMerge w:val="continue"/>
            <w:shd w:val="clear" w:color="auto" w:fill="auto"/>
            <w:noWrap/>
            <w:vAlign w:val="center"/>
          </w:tcPr>
          <w:p>
            <w:pPr>
              <w:pStyle w:val="65"/>
              <w:keepNext w:val="0"/>
              <w:keepLines w:val="0"/>
              <w:suppressLineNumbers w:val="0"/>
              <w:spacing w:before="0" w:beforeAutospacing="0" w:after="0" w:afterAutospacing="0" w:line="240" w:lineRule="auto"/>
              <w:ind w:left="0" w:right="0"/>
              <w:rPr>
                <w:rFonts w:hint="default"/>
              </w:rPr>
            </w:pPr>
          </w:p>
        </w:tc>
        <w:tc>
          <w:tcPr>
            <w:tcW w:w="1917"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olor w:val="000000"/>
                <w:kern w:val="0"/>
                <w:sz w:val="21"/>
                <w:szCs w:val="21"/>
                <w:lang w:eastAsia="zh-CN"/>
              </w:rPr>
            </w:pPr>
            <w:r>
              <w:rPr>
                <w:rFonts w:hint="eastAsia"/>
                <w:color w:val="000000"/>
                <w:kern w:val="0"/>
                <w:sz w:val="21"/>
                <w:szCs w:val="21"/>
                <w:lang w:eastAsia="zh-CN"/>
              </w:rPr>
              <w:t>河岸缓冲带生态建设</w:t>
            </w:r>
            <w:r>
              <w:rPr>
                <w:rFonts w:hint="eastAsia"/>
                <w:color w:val="000000"/>
                <w:kern w:val="0"/>
                <w:sz w:val="21"/>
                <w:szCs w:val="21"/>
                <w:lang w:val="en-US" w:eastAsia="zh-CN"/>
              </w:rPr>
              <w:t>-</w:t>
            </w:r>
            <w:r>
              <w:rPr>
                <w:rFonts w:hint="eastAsia"/>
                <w:color w:val="000000" w:themeColor="text1"/>
                <w:kern w:val="0"/>
                <w:sz w:val="21"/>
                <w:szCs w:val="21"/>
                <w:lang w:eastAsia="zh-CN"/>
                <w14:textFill>
                  <w14:solidFill>
                    <w14:schemeClr w14:val="tx1"/>
                  </w14:solidFill>
                </w14:textFill>
              </w:rPr>
              <w:t>生态步道建设</w:t>
            </w:r>
          </w:p>
        </w:tc>
        <w:tc>
          <w:tcPr>
            <w:tcW w:w="1341"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117</w:t>
            </w:r>
          </w:p>
        </w:tc>
        <w:tc>
          <w:tcPr>
            <w:tcW w:w="79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auto"/>
                <w:kern w:val="0"/>
                <w:sz w:val="21"/>
                <w:szCs w:val="21"/>
                <w:highlight w:val="none"/>
              </w:rPr>
            </w:pPr>
            <w:r>
              <w:rPr>
                <w:rFonts w:hint="default"/>
                <w:color w:val="auto"/>
                <w:kern w:val="0"/>
                <w:sz w:val="21"/>
                <w:szCs w:val="21"/>
                <w:highlight w:val="none"/>
              </w:rPr>
              <w:t>m</w:t>
            </w:r>
            <w:r>
              <w:rPr>
                <w:rFonts w:hint="default"/>
                <w:color w:val="auto"/>
                <w:kern w:val="0"/>
                <w:sz w:val="21"/>
                <w:szCs w:val="21"/>
                <w:highlight w:val="none"/>
                <w:vertAlign w:val="superscript"/>
              </w:rPr>
              <w:t>2</w:t>
            </w:r>
          </w:p>
        </w:tc>
        <w:tc>
          <w:tcPr>
            <w:tcW w:w="2290" w:type="dxa"/>
            <w:shd w:val="clear" w:color="auto" w:fill="auto"/>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themeColor="text1"/>
                <w:kern w:val="0"/>
                <w:sz w:val="21"/>
                <w:szCs w:val="21"/>
                <w14:textFill>
                  <w14:solidFill>
                    <w14:schemeClr w14:val="tx1"/>
                  </w14:solidFill>
                </w14:textFill>
              </w:rPr>
              <w:t>内陆滩涂、空闲地、林地等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olor w:val="000000"/>
                <w:kern w:val="0"/>
                <w:sz w:val="21"/>
                <w:szCs w:val="21"/>
                <w:lang w:eastAsia="zh-CN"/>
              </w:rPr>
            </w:pPr>
            <w:r>
              <w:rPr>
                <w:rFonts w:hint="eastAsia"/>
                <w:color w:val="000000"/>
                <w:kern w:val="0"/>
                <w:sz w:val="21"/>
                <w:szCs w:val="21"/>
                <w:lang w:val="en-US" w:eastAsia="zh-CN"/>
              </w:rPr>
              <w:t>5</w:t>
            </w:r>
          </w:p>
        </w:tc>
        <w:tc>
          <w:tcPr>
            <w:tcW w:w="1436" w:type="dxa"/>
            <w:vMerge w:val="restart"/>
            <w:shd w:val="clear" w:color="auto" w:fill="auto"/>
            <w:noWrap/>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施工临时场地</w:t>
            </w:r>
          </w:p>
        </w:tc>
        <w:tc>
          <w:tcPr>
            <w:tcW w:w="1917"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kern w:val="0"/>
                <w:sz w:val="21"/>
                <w:szCs w:val="21"/>
              </w:rPr>
              <w:t>现场生产用房、施工仓库</w:t>
            </w:r>
          </w:p>
        </w:tc>
        <w:tc>
          <w:tcPr>
            <w:tcW w:w="1341"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1</w:t>
            </w:r>
            <w:r>
              <w:rPr>
                <w:rFonts w:hint="default"/>
                <w:color w:val="auto"/>
                <w:kern w:val="0"/>
                <w:sz w:val="21"/>
                <w:szCs w:val="21"/>
                <w:highlight w:val="none"/>
              </w:rPr>
              <w:t>000</w:t>
            </w:r>
          </w:p>
        </w:tc>
        <w:tc>
          <w:tcPr>
            <w:tcW w:w="79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olor w:val="auto"/>
                <w:kern w:val="0"/>
                <w:sz w:val="21"/>
                <w:szCs w:val="21"/>
                <w:highlight w:val="none"/>
              </w:rPr>
              <w:t>m</w:t>
            </w:r>
            <w:r>
              <w:rPr>
                <w:rFonts w:hint="default"/>
                <w:color w:val="auto"/>
                <w:kern w:val="0"/>
                <w:sz w:val="21"/>
                <w:szCs w:val="21"/>
                <w:highlight w:val="none"/>
                <w:vertAlign w:val="superscript"/>
              </w:rPr>
              <w:t>2</w:t>
            </w:r>
          </w:p>
        </w:tc>
        <w:tc>
          <w:tcPr>
            <w:tcW w:w="2290" w:type="dxa"/>
            <w:shd w:val="clear" w:color="auto" w:fill="auto"/>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内陆滩涂、空闲地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olor w:val="000000"/>
                <w:kern w:val="0"/>
                <w:sz w:val="21"/>
                <w:szCs w:val="21"/>
                <w:lang w:val="en-US" w:eastAsia="zh-CN"/>
              </w:rPr>
            </w:pPr>
            <w:r>
              <w:rPr>
                <w:rFonts w:hint="eastAsia"/>
                <w:color w:val="000000"/>
                <w:kern w:val="0"/>
                <w:sz w:val="21"/>
                <w:szCs w:val="21"/>
                <w:lang w:val="en-US" w:eastAsia="zh-CN"/>
              </w:rPr>
              <w:t>6</w:t>
            </w:r>
          </w:p>
        </w:tc>
        <w:tc>
          <w:tcPr>
            <w:tcW w:w="1436" w:type="dxa"/>
            <w:vMerge w:val="continue"/>
            <w:shd w:val="clear" w:color="auto" w:fill="auto"/>
            <w:noWrap/>
            <w:vAlign w:val="center"/>
          </w:tcPr>
          <w:p>
            <w:pPr>
              <w:pStyle w:val="65"/>
              <w:keepNext w:val="0"/>
              <w:keepLines w:val="0"/>
              <w:suppressLineNumbers w:val="0"/>
              <w:spacing w:before="0" w:beforeAutospacing="0" w:after="0" w:afterAutospacing="0" w:line="240" w:lineRule="auto"/>
              <w:ind w:left="0" w:right="0"/>
              <w:rPr>
                <w:rFonts w:hint="default"/>
              </w:rPr>
            </w:pPr>
          </w:p>
        </w:tc>
        <w:tc>
          <w:tcPr>
            <w:tcW w:w="1917"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kern w:val="0"/>
                <w:sz w:val="21"/>
                <w:szCs w:val="21"/>
              </w:rPr>
              <w:t>机械停放场</w:t>
            </w:r>
          </w:p>
        </w:tc>
        <w:tc>
          <w:tcPr>
            <w:tcW w:w="1341"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750</w:t>
            </w:r>
          </w:p>
        </w:tc>
        <w:tc>
          <w:tcPr>
            <w:tcW w:w="79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color w:val="auto"/>
                <w:kern w:val="0"/>
                <w:sz w:val="21"/>
                <w:szCs w:val="21"/>
                <w:highlight w:val="none"/>
              </w:rPr>
              <w:t>m</w:t>
            </w:r>
            <w:r>
              <w:rPr>
                <w:rFonts w:hint="default"/>
                <w:color w:val="auto"/>
                <w:kern w:val="0"/>
                <w:sz w:val="21"/>
                <w:szCs w:val="21"/>
                <w:highlight w:val="none"/>
                <w:vertAlign w:val="superscript"/>
              </w:rPr>
              <w:t>2</w:t>
            </w:r>
          </w:p>
        </w:tc>
        <w:tc>
          <w:tcPr>
            <w:tcW w:w="2290" w:type="dxa"/>
            <w:shd w:val="clear" w:color="auto" w:fill="auto"/>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内陆滩涂、空闲地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color w:val="000000"/>
                <w:kern w:val="0"/>
                <w:sz w:val="21"/>
                <w:szCs w:val="21"/>
                <w:lang w:val="en-US" w:eastAsia="zh-CN"/>
              </w:rPr>
              <w:t>7</w:t>
            </w:r>
          </w:p>
        </w:tc>
        <w:tc>
          <w:tcPr>
            <w:tcW w:w="1436" w:type="dxa"/>
            <w:shd w:val="clear" w:color="auto" w:fill="auto"/>
            <w:noWrap/>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施工便道</w:t>
            </w:r>
          </w:p>
        </w:tc>
        <w:tc>
          <w:tcPr>
            <w:tcW w:w="1917"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kern w:val="0"/>
                <w:sz w:val="21"/>
                <w:szCs w:val="21"/>
              </w:rPr>
            </w:pPr>
            <w:r>
              <w:rPr>
                <w:rFonts w:hint="eastAsia"/>
                <w:kern w:val="0"/>
                <w:sz w:val="21"/>
                <w:szCs w:val="21"/>
              </w:rPr>
              <w:t>施工便道</w:t>
            </w:r>
          </w:p>
        </w:tc>
        <w:tc>
          <w:tcPr>
            <w:tcW w:w="1341"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auto"/>
                <w:kern w:val="0"/>
                <w:sz w:val="21"/>
                <w:szCs w:val="21"/>
                <w:highlight w:val="none"/>
              </w:rPr>
            </w:pPr>
            <w:r>
              <w:rPr>
                <w:rFonts w:hint="eastAsia"/>
                <w:color w:val="auto"/>
                <w:kern w:val="0"/>
                <w:sz w:val="21"/>
                <w:szCs w:val="21"/>
                <w:highlight w:val="none"/>
                <w:lang w:val="en-US" w:eastAsia="zh-CN"/>
              </w:rPr>
              <w:t>2</w:t>
            </w:r>
            <w:r>
              <w:rPr>
                <w:rFonts w:hint="default"/>
                <w:color w:val="auto"/>
                <w:kern w:val="0"/>
                <w:sz w:val="21"/>
                <w:szCs w:val="21"/>
                <w:highlight w:val="none"/>
              </w:rPr>
              <w:t>000</w:t>
            </w:r>
          </w:p>
        </w:tc>
        <w:tc>
          <w:tcPr>
            <w:tcW w:w="79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auto"/>
                <w:kern w:val="0"/>
                <w:sz w:val="21"/>
                <w:szCs w:val="21"/>
                <w:highlight w:val="none"/>
              </w:rPr>
            </w:pPr>
            <w:r>
              <w:rPr>
                <w:rFonts w:hint="default"/>
                <w:color w:val="auto"/>
                <w:kern w:val="0"/>
                <w:sz w:val="21"/>
                <w:szCs w:val="21"/>
                <w:highlight w:val="none"/>
              </w:rPr>
              <w:t>m</w:t>
            </w:r>
            <w:r>
              <w:rPr>
                <w:rFonts w:hint="default"/>
                <w:color w:val="auto"/>
                <w:kern w:val="0"/>
                <w:sz w:val="21"/>
                <w:szCs w:val="21"/>
                <w:highlight w:val="none"/>
                <w:vertAlign w:val="superscript"/>
              </w:rPr>
              <w:t>2</w:t>
            </w:r>
          </w:p>
        </w:tc>
        <w:tc>
          <w:tcPr>
            <w:tcW w:w="2290" w:type="dxa"/>
            <w:shd w:val="clear" w:color="auto" w:fill="auto"/>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themeColor="text1"/>
                <w:kern w:val="0"/>
                <w:sz w:val="21"/>
                <w:szCs w:val="21"/>
                <w14:textFill>
                  <w14:solidFill>
                    <w14:schemeClr w14:val="tx1"/>
                  </w14:solidFill>
                </w14:textFill>
              </w:rPr>
            </w:pPr>
            <w:r>
              <w:rPr>
                <w:rFonts w:hint="eastAsia"/>
                <w:color w:val="000000"/>
                <w:kern w:val="0"/>
                <w:sz w:val="21"/>
                <w:szCs w:val="21"/>
              </w:rPr>
              <w:t>内陆滩涂、空闲地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kern w:val="0"/>
                <w:sz w:val="21"/>
                <w:szCs w:val="21"/>
                <w:lang w:val="en-US" w:eastAsia="zh-CN" w:bidi="ar-SA"/>
              </w:rPr>
            </w:pPr>
            <w:r>
              <w:rPr>
                <w:rFonts w:hint="eastAsia"/>
                <w:color w:val="000000"/>
                <w:kern w:val="0"/>
                <w:sz w:val="21"/>
                <w:szCs w:val="21"/>
                <w:lang w:val="en-US" w:eastAsia="zh-CN"/>
              </w:rPr>
              <w:t>8</w:t>
            </w:r>
          </w:p>
        </w:tc>
        <w:tc>
          <w:tcPr>
            <w:tcW w:w="1436" w:type="dxa"/>
            <w:shd w:val="clear" w:color="auto" w:fill="auto"/>
            <w:noWrap/>
            <w:vAlign w:val="center"/>
          </w:tcPr>
          <w:p>
            <w:pPr>
              <w:pStyle w:val="65"/>
              <w:keepNext w:val="0"/>
              <w:keepLines w:val="0"/>
              <w:suppressLineNumbers w:val="0"/>
              <w:spacing w:before="0" w:beforeAutospacing="0" w:after="0" w:afterAutospacing="0" w:line="240" w:lineRule="auto"/>
              <w:ind w:left="0" w:right="0"/>
              <w:rPr>
                <w:rFonts w:hint="eastAsia" w:eastAsia="宋体"/>
                <w:sz w:val="21"/>
                <w:szCs w:val="21"/>
                <w:highlight w:val="none"/>
                <w:lang w:eastAsia="zh-CN"/>
              </w:rPr>
            </w:pPr>
            <w:r>
              <w:rPr>
                <w:rFonts w:hint="eastAsia"/>
                <w:sz w:val="21"/>
                <w:szCs w:val="21"/>
                <w:highlight w:val="none"/>
                <w:lang w:eastAsia="zh-CN"/>
              </w:rPr>
              <w:t>土方回填区</w:t>
            </w:r>
          </w:p>
        </w:tc>
        <w:tc>
          <w:tcPr>
            <w:tcW w:w="1917"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kern w:val="0"/>
                <w:sz w:val="21"/>
                <w:szCs w:val="21"/>
                <w:highlight w:val="none"/>
              </w:rPr>
            </w:pPr>
            <w:r>
              <w:rPr>
                <w:rFonts w:hint="eastAsia"/>
                <w:sz w:val="21"/>
                <w:szCs w:val="21"/>
                <w:highlight w:val="none"/>
                <w:lang w:eastAsia="zh-CN"/>
              </w:rPr>
              <w:t>土方回填区</w:t>
            </w:r>
          </w:p>
        </w:tc>
        <w:tc>
          <w:tcPr>
            <w:tcW w:w="1341"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3349</w:t>
            </w:r>
          </w:p>
        </w:tc>
        <w:tc>
          <w:tcPr>
            <w:tcW w:w="79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auto"/>
                <w:kern w:val="0"/>
                <w:sz w:val="21"/>
                <w:szCs w:val="21"/>
                <w:highlight w:val="none"/>
              </w:rPr>
            </w:pPr>
            <w:r>
              <w:rPr>
                <w:rFonts w:hint="default"/>
                <w:color w:val="auto"/>
                <w:kern w:val="0"/>
                <w:sz w:val="21"/>
                <w:szCs w:val="21"/>
                <w:highlight w:val="none"/>
              </w:rPr>
              <w:t>m</w:t>
            </w:r>
            <w:r>
              <w:rPr>
                <w:rFonts w:hint="default"/>
                <w:color w:val="auto"/>
                <w:kern w:val="0"/>
                <w:sz w:val="21"/>
                <w:szCs w:val="21"/>
                <w:highlight w:val="none"/>
                <w:vertAlign w:val="superscript"/>
              </w:rPr>
              <w:t>2</w:t>
            </w:r>
          </w:p>
        </w:tc>
        <w:tc>
          <w:tcPr>
            <w:tcW w:w="2290" w:type="dxa"/>
            <w:shd w:val="clear" w:color="auto" w:fill="auto"/>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内陆滩涂、空闲地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58" w:type="dxa"/>
            <w:gridSpan w:val="2"/>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合计</w:t>
            </w:r>
          </w:p>
        </w:tc>
        <w:tc>
          <w:tcPr>
            <w:tcW w:w="1917"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D0D0D" w:themeColor="text1" w:themeTint="F2"/>
                <w:kern w:val="0"/>
                <w:sz w:val="21"/>
                <w:szCs w:val="21"/>
                <w14:textFill>
                  <w14:solidFill>
                    <w14:schemeClr w14:val="tx1">
                      <w14:lumMod w14:val="95000"/>
                      <w14:lumOff w14:val="5000"/>
                    </w14:schemeClr>
                  </w14:solidFill>
                </w14:textFill>
              </w:rPr>
            </w:pPr>
            <w:r>
              <w:rPr>
                <w:rFonts w:hint="eastAsia"/>
                <w:color w:val="0D0D0D" w:themeColor="text1" w:themeTint="F2"/>
                <w:kern w:val="0"/>
                <w:sz w:val="21"/>
                <w:szCs w:val="21"/>
                <w14:textFill>
                  <w14:solidFill>
                    <w14:schemeClr w14:val="tx1">
                      <w14:lumMod w14:val="95000"/>
                      <w14:lumOff w14:val="5000"/>
                    </w14:schemeClr>
                  </w14:solidFill>
                </w14:textFill>
              </w:rPr>
              <w:t>/</w:t>
            </w:r>
          </w:p>
        </w:tc>
        <w:tc>
          <w:tcPr>
            <w:tcW w:w="134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highlight w:val="none"/>
                <w:lang w:val="en-US"/>
              </w:rPr>
            </w:pPr>
            <w:r>
              <w:rPr>
                <w:rFonts w:hint="eastAsia" w:cs="Times New Roman"/>
                <w:i w:val="0"/>
                <w:iCs w:val="0"/>
                <w:color w:val="auto"/>
                <w:kern w:val="0"/>
                <w:sz w:val="21"/>
                <w:szCs w:val="21"/>
                <w:highlight w:val="none"/>
                <w:u w:val="none"/>
                <w:lang w:val="en-US" w:eastAsia="zh-CN" w:bidi="ar"/>
              </w:rPr>
              <w:t>42514.5</w:t>
            </w:r>
          </w:p>
        </w:tc>
        <w:tc>
          <w:tcPr>
            <w:tcW w:w="79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auto"/>
                <w:kern w:val="0"/>
                <w:sz w:val="21"/>
                <w:szCs w:val="21"/>
                <w:highlight w:val="none"/>
              </w:rPr>
            </w:pPr>
            <w:r>
              <w:rPr>
                <w:rFonts w:hint="default"/>
                <w:color w:val="auto"/>
                <w:kern w:val="0"/>
                <w:sz w:val="21"/>
                <w:szCs w:val="21"/>
                <w:highlight w:val="none"/>
              </w:rPr>
              <w:t>m</w:t>
            </w:r>
            <w:r>
              <w:rPr>
                <w:rFonts w:hint="default"/>
                <w:color w:val="auto"/>
                <w:kern w:val="0"/>
                <w:sz w:val="21"/>
                <w:szCs w:val="21"/>
                <w:highlight w:val="none"/>
                <w:vertAlign w:val="superscript"/>
              </w:rPr>
              <w:t>2</w:t>
            </w:r>
          </w:p>
        </w:tc>
        <w:tc>
          <w:tcPr>
            <w:tcW w:w="2290" w:type="dxa"/>
            <w:shd w:val="clear" w:color="auto" w:fill="auto"/>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w:t>
            </w:r>
          </w:p>
        </w:tc>
      </w:tr>
    </w:tbl>
    <w:p>
      <w:pPr>
        <w:pStyle w:val="6"/>
        <w:keepNext/>
        <w:keepLines/>
        <w:pageBreakBefore w:val="0"/>
        <w:widowControl w:val="0"/>
        <w:kinsoku/>
        <w:wordWrap/>
        <w:overflowPunct/>
        <w:topLinePunct w:val="0"/>
        <w:autoSpaceDE/>
        <w:autoSpaceDN/>
        <w:bidi w:val="0"/>
        <w:adjustRightInd w:val="0"/>
        <w:snapToGrid w:val="0"/>
        <w:spacing w:before="164" w:beforeLines="50"/>
        <w:textAlignment w:val="auto"/>
        <w:rPr>
          <w:rFonts w:hint="eastAsia" w:eastAsia="宋体"/>
          <w:lang w:eastAsia="zh-CN"/>
        </w:rPr>
      </w:pPr>
      <w:bookmarkStart w:id="271" w:name="_Toc17708"/>
      <w:r>
        <w:rPr>
          <w:rFonts w:hint="default"/>
          <w:lang w:eastAsia="zh-CN"/>
        </w:rPr>
        <w:t>3.</w:t>
      </w:r>
      <w:r>
        <w:rPr>
          <w:rFonts w:hint="eastAsia"/>
          <w:lang w:val="en-US" w:eastAsia="zh-CN"/>
        </w:rPr>
        <w:t>1</w:t>
      </w:r>
      <w:r>
        <w:rPr>
          <w:rFonts w:hint="default"/>
        </w:rPr>
        <w:t>.</w:t>
      </w:r>
      <w:r>
        <w:rPr>
          <w:rFonts w:hint="eastAsia"/>
          <w:lang w:val="en-US" w:eastAsia="zh-CN"/>
        </w:rPr>
        <w:t>5</w:t>
      </w:r>
      <w:r>
        <w:rPr>
          <w:rFonts w:hint="default"/>
        </w:rPr>
        <w:t xml:space="preserve"> </w:t>
      </w:r>
      <w:r>
        <w:rPr>
          <w:rFonts w:hint="eastAsia"/>
          <w:lang w:eastAsia="zh-CN"/>
        </w:rPr>
        <w:t>项目施工设备</w:t>
      </w:r>
      <w:bookmarkEnd w:id="271"/>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项目运行阶段不涉及设备。项目建设阶段的施工机械使用情况列表如下：</w:t>
      </w:r>
    </w:p>
    <w:p>
      <w:pPr>
        <w:pStyle w:val="131"/>
        <w:numPr>
          <w:ilvl w:val="0"/>
          <w:numId w:val="0"/>
        </w:numPr>
        <w:spacing w:line="360" w:lineRule="auto"/>
        <w:ind w:leftChars="0"/>
        <w:rPr>
          <w:rFonts w:eastAsia="宋体"/>
          <w:b/>
          <w:color w:val="000000" w:themeColor="text1"/>
          <w14:textFill>
            <w14:solidFill>
              <w14:schemeClr w14:val="tx1"/>
            </w14:solidFill>
          </w14:textFill>
        </w:rPr>
      </w:pPr>
      <w:r>
        <w:rPr>
          <w:rFonts w:hint="eastAsia" w:eastAsia="宋体"/>
          <w:b/>
          <w:color w:val="000000" w:themeColor="text1"/>
          <w:lang w:eastAsia="zh-CN"/>
          <w14:textFill>
            <w14:solidFill>
              <w14:schemeClr w14:val="tx1"/>
            </w14:solidFill>
          </w14:textFill>
        </w:rPr>
        <w:t>表</w:t>
      </w:r>
      <w:r>
        <w:rPr>
          <w:rFonts w:hint="eastAsia" w:eastAsia="宋体"/>
          <w:b/>
          <w:color w:val="000000" w:themeColor="text1"/>
          <w:lang w:val="en-US" w:eastAsia="zh-CN"/>
          <w14:textFill>
            <w14:solidFill>
              <w14:schemeClr w14:val="tx1"/>
            </w14:solidFill>
          </w14:textFill>
        </w:rPr>
        <w:t>3.1-</w:t>
      </w:r>
      <w:r>
        <w:rPr>
          <w:rFonts w:hint="eastAsia"/>
          <w:b/>
          <w:color w:val="000000" w:themeColor="text1"/>
          <w:lang w:val="en-US" w:eastAsia="zh-CN"/>
          <w14:textFill>
            <w14:solidFill>
              <w14:schemeClr w14:val="tx1"/>
            </w14:solidFill>
          </w14:textFill>
        </w:rPr>
        <w:t>4</w:t>
      </w:r>
      <w:r>
        <w:rPr>
          <w:rFonts w:hint="eastAsia" w:eastAsia="宋体"/>
          <w:b/>
          <w:color w:val="000000" w:themeColor="text1"/>
          <w:lang w:val="en-US" w:eastAsia="zh-CN"/>
          <w14:textFill>
            <w14:solidFill>
              <w14:schemeClr w14:val="tx1"/>
            </w14:solidFill>
          </w14:textFill>
        </w:rPr>
        <w:t xml:space="preserve">  </w:t>
      </w:r>
      <w:r>
        <w:rPr>
          <w:rFonts w:eastAsia="宋体"/>
          <w:b/>
          <w:color w:val="000000" w:themeColor="text1"/>
          <w14:textFill>
            <w14:solidFill>
              <w14:schemeClr w14:val="tx1"/>
            </w14:solidFill>
          </w14:textFill>
        </w:rPr>
        <w:t>项目</w:t>
      </w:r>
      <w:r>
        <w:rPr>
          <w:rFonts w:hint="eastAsia" w:eastAsia="宋体"/>
          <w:b/>
          <w:color w:val="000000" w:themeColor="text1"/>
          <w14:textFill>
            <w14:solidFill>
              <w14:schemeClr w14:val="tx1"/>
            </w14:solidFill>
          </w14:textFill>
        </w:rPr>
        <w:t>施工机械使用情况</w:t>
      </w:r>
      <w:r>
        <w:rPr>
          <w:rFonts w:eastAsia="宋体"/>
          <w:b/>
          <w:color w:val="000000" w:themeColor="text1"/>
          <w14:textFill>
            <w14:solidFill>
              <w14:schemeClr w14:val="tx1"/>
            </w14:solidFill>
          </w14:textFill>
        </w:rPr>
        <w:t>一览表</w:t>
      </w:r>
    </w:p>
    <w:tbl>
      <w:tblPr>
        <w:tblStyle w:val="39"/>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416"/>
        <w:gridCol w:w="1984"/>
        <w:gridCol w:w="155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eastAsia"/>
                <w:b/>
                <w:color w:val="000000"/>
                <w:kern w:val="0"/>
                <w:sz w:val="21"/>
                <w:szCs w:val="21"/>
              </w:rPr>
              <w:t>序号</w:t>
            </w:r>
          </w:p>
        </w:tc>
        <w:tc>
          <w:tcPr>
            <w:tcW w:w="2416"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eastAsia"/>
                <w:b/>
                <w:color w:val="000000"/>
                <w:kern w:val="0"/>
                <w:sz w:val="21"/>
                <w:szCs w:val="21"/>
              </w:rPr>
              <w:t>设备</w:t>
            </w:r>
            <w:r>
              <w:rPr>
                <w:rFonts w:hint="default"/>
                <w:b/>
                <w:color w:val="000000"/>
                <w:kern w:val="0"/>
                <w:sz w:val="21"/>
                <w:szCs w:val="21"/>
              </w:rPr>
              <w:t>名称</w:t>
            </w:r>
          </w:p>
        </w:tc>
        <w:tc>
          <w:tcPr>
            <w:tcW w:w="1984"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eastAsia"/>
                <w:b/>
                <w:color w:val="000000"/>
                <w:kern w:val="0"/>
                <w:sz w:val="21"/>
                <w:szCs w:val="21"/>
              </w:rPr>
              <w:t>规格、型号</w:t>
            </w:r>
          </w:p>
        </w:tc>
        <w:tc>
          <w:tcPr>
            <w:tcW w:w="1559"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default"/>
                <w:b/>
                <w:color w:val="000000"/>
                <w:kern w:val="0"/>
                <w:sz w:val="21"/>
                <w:szCs w:val="21"/>
              </w:rPr>
              <w:t>单位</w:t>
            </w:r>
          </w:p>
        </w:tc>
        <w:tc>
          <w:tcPr>
            <w:tcW w:w="1843"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eastAsia"/>
                <w:b/>
                <w:color w:val="000000"/>
                <w:kern w:val="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1</w:t>
            </w:r>
          </w:p>
        </w:tc>
        <w:tc>
          <w:tcPr>
            <w:tcW w:w="2416"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推土机</w:t>
            </w:r>
          </w:p>
        </w:tc>
        <w:tc>
          <w:tcPr>
            <w:tcW w:w="1984"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default"/>
                <w:color w:val="000000" w:themeColor="text1"/>
                <w:kern w:val="0"/>
                <w:sz w:val="21"/>
                <w:szCs w:val="21"/>
                <w14:textFill>
                  <w14:solidFill>
                    <w14:schemeClr w14:val="tx1"/>
                  </w14:solidFill>
                </w14:textFill>
              </w:rPr>
              <w:t>74KW</w:t>
            </w:r>
          </w:p>
        </w:tc>
        <w:tc>
          <w:tcPr>
            <w:tcW w:w="1559"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台</w:t>
            </w:r>
          </w:p>
        </w:tc>
        <w:tc>
          <w:tcPr>
            <w:tcW w:w="1843"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000000"/>
                <w:kern w:val="0"/>
                <w:sz w:val="21"/>
                <w:szCs w:val="21"/>
                <w:lang w:eastAsia="zh-CN"/>
              </w:rPr>
            </w:pPr>
            <w:r>
              <w:rPr>
                <w:rFonts w:hint="eastAsia"/>
                <w:color w:val="000000"/>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kern w:val="0"/>
                <w:sz w:val="21"/>
                <w:szCs w:val="21"/>
              </w:rPr>
            </w:pPr>
            <w:r>
              <w:rPr>
                <w:rFonts w:hint="default"/>
                <w:color w:val="000000"/>
                <w:kern w:val="0"/>
                <w:sz w:val="21"/>
                <w:szCs w:val="21"/>
              </w:rPr>
              <w:t>2</w:t>
            </w:r>
          </w:p>
        </w:tc>
        <w:tc>
          <w:tcPr>
            <w:tcW w:w="2416" w:type="dxa"/>
            <w:shd w:val="clear" w:color="auto" w:fill="auto"/>
            <w:noWrap/>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长臂挖掘机</w:t>
            </w:r>
          </w:p>
        </w:tc>
        <w:tc>
          <w:tcPr>
            <w:tcW w:w="1984"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1559"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台</w:t>
            </w:r>
          </w:p>
        </w:tc>
        <w:tc>
          <w:tcPr>
            <w:tcW w:w="1843"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3</w:t>
            </w:r>
          </w:p>
        </w:tc>
        <w:tc>
          <w:tcPr>
            <w:tcW w:w="2416" w:type="dxa"/>
            <w:shd w:val="clear" w:color="auto" w:fill="auto"/>
            <w:noWrap/>
            <w:vAlign w:val="center"/>
          </w:tcPr>
          <w:p>
            <w:pPr>
              <w:pStyle w:val="65"/>
              <w:keepNext w:val="0"/>
              <w:keepLines w:val="0"/>
              <w:suppressLineNumbers w:val="0"/>
              <w:spacing w:before="0" w:beforeAutospacing="0" w:after="0" w:afterAutospacing="0" w:line="240" w:lineRule="auto"/>
              <w:ind w:left="0" w:right="0"/>
              <w:rPr>
                <w:rFonts w:hint="default"/>
              </w:rPr>
            </w:pPr>
            <w:r>
              <w:rPr>
                <w:rFonts w:hint="eastAsia"/>
              </w:rPr>
              <w:t>普通挖掘机</w:t>
            </w:r>
          </w:p>
        </w:tc>
        <w:tc>
          <w:tcPr>
            <w:tcW w:w="1984"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1559"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台</w:t>
            </w:r>
          </w:p>
        </w:tc>
        <w:tc>
          <w:tcPr>
            <w:tcW w:w="1843"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4</w:t>
            </w:r>
          </w:p>
        </w:tc>
        <w:tc>
          <w:tcPr>
            <w:tcW w:w="2416" w:type="dxa"/>
            <w:shd w:val="clear" w:color="auto" w:fill="auto"/>
            <w:noWrap/>
            <w:vAlign w:val="center"/>
          </w:tcPr>
          <w:p>
            <w:pPr>
              <w:pStyle w:val="65"/>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rPr>
              <w:t>打夯机</w:t>
            </w:r>
          </w:p>
        </w:tc>
        <w:tc>
          <w:tcPr>
            <w:tcW w:w="1984"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2</w:t>
            </w:r>
            <w:r>
              <w:rPr>
                <w:rFonts w:hint="default"/>
                <w:color w:val="000000" w:themeColor="text1"/>
                <w:kern w:val="0"/>
                <w:sz w:val="21"/>
                <w:szCs w:val="21"/>
                <w14:textFill>
                  <w14:solidFill>
                    <w14:schemeClr w14:val="tx1"/>
                  </w14:solidFill>
                </w14:textFill>
              </w:rPr>
              <w:t>.8KW</w:t>
            </w:r>
          </w:p>
        </w:tc>
        <w:tc>
          <w:tcPr>
            <w:tcW w:w="1559"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台</w:t>
            </w:r>
          </w:p>
        </w:tc>
        <w:tc>
          <w:tcPr>
            <w:tcW w:w="1843"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5</w:t>
            </w:r>
          </w:p>
        </w:tc>
        <w:tc>
          <w:tcPr>
            <w:tcW w:w="2416" w:type="dxa"/>
            <w:shd w:val="clear" w:color="auto" w:fill="auto"/>
            <w:noWrap/>
            <w:vAlign w:val="center"/>
          </w:tcPr>
          <w:p>
            <w:pPr>
              <w:pStyle w:val="65"/>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rPr>
              <w:t>空压机</w:t>
            </w:r>
          </w:p>
        </w:tc>
        <w:tc>
          <w:tcPr>
            <w:tcW w:w="1984"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6m</w:t>
            </w:r>
            <w:r>
              <w:rPr>
                <w:rFonts w:hint="default"/>
                <w:color w:val="000000" w:themeColor="text1"/>
                <w:kern w:val="0"/>
                <w:sz w:val="21"/>
                <w:szCs w:val="21"/>
                <w:vertAlign w:val="superscript"/>
                <w14:textFill>
                  <w14:solidFill>
                    <w14:schemeClr w14:val="tx1"/>
                  </w14:solidFill>
                </w14:textFill>
              </w:rPr>
              <w:t>3</w:t>
            </w:r>
          </w:p>
        </w:tc>
        <w:tc>
          <w:tcPr>
            <w:tcW w:w="1559"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kern w:val="0"/>
                <w:sz w:val="21"/>
                <w:szCs w:val="21"/>
              </w:rPr>
              <w:t>台</w:t>
            </w:r>
          </w:p>
        </w:tc>
        <w:tc>
          <w:tcPr>
            <w:tcW w:w="1843"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kern w:val="0"/>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6</w:t>
            </w:r>
          </w:p>
        </w:tc>
        <w:tc>
          <w:tcPr>
            <w:tcW w:w="2416" w:type="dxa"/>
            <w:shd w:val="clear" w:color="auto" w:fill="auto"/>
            <w:noWrap/>
            <w:vAlign w:val="center"/>
          </w:tcPr>
          <w:p>
            <w:pPr>
              <w:pStyle w:val="65"/>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rPr>
              <w:t>柴油发电机</w:t>
            </w:r>
          </w:p>
        </w:tc>
        <w:tc>
          <w:tcPr>
            <w:tcW w:w="1984"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5</w:t>
            </w:r>
            <w:r>
              <w:rPr>
                <w:rFonts w:hint="default"/>
                <w:color w:val="000000" w:themeColor="text1"/>
                <w:kern w:val="0"/>
                <w:sz w:val="21"/>
                <w:szCs w:val="21"/>
                <w14:textFill>
                  <w14:solidFill>
                    <w14:schemeClr w14:val="tx1"/>
                  </w14:solidFill>
                </w14:textFill>
              </w:rPr>
              <w:t>0KW</w:t>
            </w:r>
          </w:p>
        </w:tc>
        <w:tc>
          <w:tcPr>
            <w:tcW w:w="1559"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kern w:val="0"/>
                <w:sz w:val="21"/>
                <w:szCs w:val="21"/>
              </w:rPr>
              <w:t>台</w:t>
            </w:r>
          </w:p>
        </w:tc>
        <w:tc>
          <w:tcPr>
            <w:tcW w:w="1843"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r>
    </w:tbl>
    <w:p>
      <w:pPr>
        <w:pStyle w:val="6"/>
        <w:keepNext/>
        <w:keepLines/>
        <w:pageBreakBefore w:val="0"/>
        <w:widowControl w:val="0"/>
        <w:kinsoku/>
        <w:wordWrap/>
        <w:overflowPunct/>
        <w:topLinePunct w:val="0"/>
        <w:autoSpaceDE/>
        <w:autoSpaceDN/>
        <w:bidi w:val="0"/>
        <w:adjustRightInd w:val="0"/>
        <w:snapToGrid w:val="0"/>
        <w:spacing w:before="164" w:beforeLines="50"/>
        <w:textAlignment w:val="auto"/>
        <w:rPr>
          <w:rFonts w:hint="eastAsia" w:eastAsia="宋体"/>
          <w:lang w:eastAsia="zh-CN"/>
        </w:rPr>
      </w:pPr>
      <w:bookmarkStart w:id="272" w:name="_Toc22065"/>
      <w:r>
        <w:rPr>
          <w:rFonts w:hint="default"/>
          <w:lang w:eastAsia="zh-CN"/>
        </w:rPr>
        <w:t>3.</w:t>
      </w:r>
      <w:r>
        <w:rPr>
          <w:rFonts w:hint="eastAsia"/>
          <w:lang w:val="en-US" w:eastAsia="zh-CN"/>
        </w:rPr>
        <w:t>1</w:t>
      </w:r>
      <w:r>
        <w:rPr>
          <w:rFonts w:hint="default"/>
        </w:rPr>
        <w:t>.</w:t>
      </w:r>
      <w:r>
        <w:rPr>
          <w:rFonts w:hint="eastAsia"/>
          <w:lang w:val="en-US" w:eastAsia="zh-CN"/>
        </w:rPr>
        <w:t>6</w:t>
      </w:r>
      <w:r>
        <w:rPr>
          <w:rFonts w:hint="default"/>
        </w:rPr>
        <w:t xml:space="preserve"> </w:t>
      </w:r>
      <w:r>
        <w:rPr>
          <w:rFonts w:hint="eastAsia"/>
          <w:lang w:eastAsia="zh-CN"/>
        </w:rPr>
        <w:t>项目施工材料及能源</w:t>
      </w:r>
      <w:bookmarkEnd w:id="272"/>
    </w:p>
    <w:p>
      <w:r>
        <w:rPr>
          <w:rFonts w:hint="eastAsia"/>
        </w:rPr>
        <w:t>项目建设施工所需的</w:t>
      </w:r>
      <w:r>
        <w:t>材料</w:t>
      </w:r>
      <w:r>
        <w:rPr>
          <w:rFonts w:hint="eastAsia"/>
        </w:rPr>
        <w:t>及</w:t>
      </w:r>
      <w:r>
        <w:t>能源消耗情况见</w:t>
      </w:r>
      <w:r>
        <w:rPr>
          <w:rFonts w:hint="eastAsia"/>
        </w:rPr>
        <w:t>下</w:t>
      </w:r>
      <w:r>
        <w:t>表。</w:t>
      </w:r>
    </w:p>
    <w:p>
      <w:pPr>
        <w:pStyle w:val="131"/>
        <w:numPr>
          <w:ilvl w:val="0"/>
          <w:numId w:val="0"/>
        </w:numPr>
        <w:spacing w:line="360" w:lineRule="auto"/>
        <w:ind w:leftChars="0"/>
        <w:rPr>
          <w:rFonts w:eastAsia="宋体"/>
          <w:b/>
          <w:color w:val="000000" w:themeColor="text1"/>
          <w14:textFill>
            <w14:solidFill>
              <w14:schemeClr w14:val="tx1"/>
            </w14:solidFill>
          </w14:textFill>
        </w:rPr>
      </w:pPr>
      <w:r>
        <w:rPr>
          <w:rFonts w:hint="eastAsia" w:eastAsia="宋体"/>
          <w:b/>
          <w:color w:val="000000" w:themeColor="text1"/>
          <w:lang w:eastAsia="zh-CN"/>
          <w14:textFill>
            <w14:solidFill>
              <w14:schemeClr w14:val="tx1"/>
            </w14:solidFill>
          </w14:textFill>
        </w:rPr>
        <w:t>表</w:t>
      </w:r>
      <w:r>
        <w:rPr>
          <w:rFonts w:hint="eastAsia" w:eastAsia="宋体"/>
          <w:b/>
          <w:color w:val="000000" w:themeColor="text1"/>
          <w:lang w:val="en-US" w:eastAsia="zh-CN"/>
          <w14:textFill>
            <w14:solidFill>
              <w14:schemeClr w14:val="tx1"/>
            </w14:solidFill>
          </w14:textFill>
        </w:rPr>
        <w:t>3.1-</w:t>
      </w:r>
      <w:r>
        <w:rPr>
          <w:rFonts w:hint="eastAsia"/>
          <w:b/>
          <w:color w:val="000000" w:themeColor="text1"/>
          <w:lang w:val="en-US" w:eastAsia="zh-CN"/>
          <w14:textFill>
            <w14:solidFill>
              <w14:schemeClr w14:val="tx1"/>
            </w14:solidFill>
          </w14:textFill>
        </w:rPr>
        <w:t>5</w:t>
      </w:r>
      <w:r>
        <w:rPr>
          <w:rFonts w:hint="eastAsia" w:eastAsia="宋体"/>
          <w:b/>
          <w:color w:val="000000" w:themeColor="text1"/>
          <w:lang w:val="en-US" w:eastAsia="zh-CN"/>
          <w14:textFill>
            <w14:solidFill>
              <w14:schemeClr w14:val="tx1"/>
            </w14:solidFill>
          </w14:textFill>
        </w:rPr>
        <w:t xml:space="preserve">  </w:t>
      </w:r>
      <w:r>
        <w:rPr>
          <w:rFonts w:eastAsia="宋体"/>
          <w:b/>
          <w:color w:val="000000" w:themeColor="text1"/>
          <w14:textFill>
            <w14:solidFill>
              <w14:schemeClr w14:val="tx1"/>
            </w14:solidFill>
          </w14:textFill>
        </w:rPr>
        <w:t>项目</w:t>
      </w:r>
      <w:r>
        <w:rPr>
          <w:rFonts w:hint="eastAsia" w:eastAsia="宋体"/>
          <w:b/>
          <w:color w:val="000000" w:themeColor="text1"/>
          <w14:textFill>
            <w14:solidFill>
              <w14:schemeClr w14:val="tx1"/>
            </w14:solidFill>
          </w14:textFill>
        </w:rPr>
        <w:t>施工材料</w:t>
      </w:r>
      <w:r>
        <w:rPr>
          <w:rFonts w:eastAsia="宋体"/>
          <w:b/>
          <w:color w:val="000000" w:themeColor="text1"/>
          <w14:textFill>
            <w14:solidFill>
              <w14:schemeClr w14:val="tx1"/>
            </w14:solidFill>
          </w14:textFill>
        </w:rPr>
        <w:t>及能</w:t>
      </w:r>
      <w:r>
        <w:rPr>
          <w:rFonts w:hint="eastAsia" w:eastAsia="宋体"/>
          <w:b/>
          <w:color w:val="000000" w:themeColor="text1"/>
          <w14:textFill>
            <w14:solidFill>
              <w14:schemeClr w14:val="tx1"/>
            </w14:solidFill>
          </w14:textFill>
        </w:rPr>
        <w:t>源消耗</w:t>
      </w:r>
      <w:r>
        <w:rPr>
          <w:rFonts w:eastAsia="宋体"/>
          <w:b/>
          <w:color w:val="000000" w:themeColor="text1"/>
          <w14:textFill>
            <w14:solidFill>
              <w14:schemeClr w14:val="tx1"/>
            </w14:solidFill>
          </w14:textFill>
        </w:rPr>
        <w:t>情况一览表</w:t>
      </w:r>
    </w:p>
    <w:tbl>
      <w:tblPr>
        <w:tblStyle w:val="3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133"/>
        <w:gridCol w:w="1138"/>
        <w:gridCol w:w="113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eastAsia"/>
                <w:b/>
                <w:color w:val="000000"/>
                <w:kern w:val="0"/>
                <w:sz w:val="21"/>
                <w:szCs w:val="21"/>
              </w:rPr>
              <w:t>序号</w:t>
            </w:r>
          </w:p>
        </w:tc>
        <w:tc>
          <w:tcPr>
            <w:tcW w:w="2133"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eastAsia"/>
                <w:b/>
                <w:color w:val="000000"/>
                <w:kern w:val="0"/>
                <w:sz w:val="21"/>
                <w:szCs w:val="21"/>
              </w:rPr>
              <w:t>施工材</w:t>
            </w:r>
            <w:r>
              <w:rPr>
                <w:rFonts w:hint="default"/>
                <w:b/>
                <w:color w:val="000000"/>
                <w:kern w:val="0"/>
                <w:sz w:val="21"/>
                <w:szCs w:val="21"/>
              </w:rPr>
              <w:t>料或能源名称</w:t>
            </w:r>
          </w:p>
        </w:tc>
        <w:tc>
          <w:tcPr>
            <w:tcW w:w="1138"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eastAsia"/>
                <w:b/>
                <w:color w:val="000000"/>
                <w:kern w:val="0"/>
                <w:sz w:val="21"/>
                <w:szCs w:val="21"/>
              </w:rPr>
              <w:t>数量</w:t>
            </w:r>
          </w:p>
        </w:tc>
        <w:tc>
          <w:tcPr>
            <w:tcW w:w="1138"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default"/>
                <w:b/>
                <w:color w:val="000000"/>
                <w:kern w:val="0"/>
                <w:sz w:val="21"/>
                <w:szCs w:val="21"/>
              </w:rPr>
              <w:t>单位</w:t>
            </w:r>
          </w:p>
        </w:tc>
        <w:tc>
          <w:tcPr>
            <w:tcW w:w="3414" w:type="dxa"/>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000000"/>
                <w:kern w:val="0"/>
                <w:sz w:val="21"/>
                <w:szCs w:val="21"/>
              </w:rPr>
            </w:pPr>
            <w:r>
              <w:rPr>
                <w:rFonts w:hint="eastAsia"/>
                <w:b/>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1</w:t>
            </w:r>
          </w:p>
        </w:tc>
        <w:tc>
          <w:tcPr>
            <w:tcW w:w="2133"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柴油</w:t>
            </w:r>
          </w:p>
        </w:tc>
        <w:tc>
          <w:tcPr>
            <w:tcW w:w="1138"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lang w:val="en-US" w:eastAsia="zh-CN"/>
              </w:rPr>
              <w:t>2</w:t>
            </w:r>
            <w:r>
              <w:rPr>
                <w:rFonts w:hint="default"/>
                <w:color w:val="000000"/>
                <w:kern w:val="0"/>
                <w:sz w:val="21"/>
                <w:szCs w:val="21"/>
              </w:rPr>
              <w:t>50</w:t>
            </w:r>
          </w:p>
        </w:tc>
        <w:tc>
          <w:tcPr>
            <w:tcW w:w="1138"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t</w:t>
            </w:r>
          </w:p>
        </w:tc>
        <w:tc>
          <w:tcPr>
            <w:tcW w:w="3414"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default"/>
                <w:color w:val="0D0D0D" w:themeColor="text1" w:themeTint="F2"/>
                <w:kern w:val="0"/>
                <w:sz w:val="21"/>
                <w:szCs w:val="21"/>
                <w14:textFill>
                  <w14:solidFill>
                    <w14:schemeClr w14:val="tx1">
                      <w14:lumMod w14:val="95000"/>
                      <w14:lumOff w14:val="5000"/>
                    </w14:schemeClr>
                  </w14:solidFill>
                </w14:textFill>
              </w:rPr>
              <w:t>附近加油站外购，施工场地不存储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2</w:t>
            </w:r>
          </w:p>
        </w:tc>
        <w:tc>
          <w:tcPr>
            <w:tcW w:w="2133"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新鲜水</w:t>
            </w:r>
          </w:p>
        </w:tc>
        <w:tc>
          <w:tcPr>
            <w:tcW w:w="1138"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default"/>
                <w:color w:val="000000"/>
                <w:kern w:val="0"/>
                <w:sz w:val="21"/>
                <w:szCs w:val="21"/>
              </w:rPr>
              <w:t>3000</w:t>
            </w:r>
          </w:p>
        </w:tc>
        <w:tc>
          <w:tcPr>
            <w:tcW w:w="1138"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m</w:t>
            </w:r>
            <w:r>
              <w:rPr>
                <w:rFonts w:hint="default"/>
                <w:color w:val="000000"/>
                <w:kern w:val="0"/>
                <w:sz w:val="21"/>
                <w:szCs w:val="21"/>
                <w:vertAlign w:val="superscript"/>
              </w:rPr>
              <w:t>3</w:t>
            </w:r>
            <w:r>
              <w:rPr>
                <w:rFonts w:hint="default"/>
                <w:color w:val="000000"/>
                <w:kern w:val="0"/>
                <w:sz w:val="21"/>
                <w:szCs w:val="21"/>
              </w:rPr>
              <w:t>/</w:t>
            </w:r>
            <w:r>
              <w:rPr>
                <w:rFonts w:hint="eastAsia"/>
                <w:color w:val="000000"/>
                <w:kern w:val="0"/>
                <w:sz w:val="21"/>
                <w:szCs w:val="21"/>
              </w:rPr>
              <w:t>a</w:t>
            </w:r>
          </w:p>
        </w:tc>
        <w:tc>
          <w:tcPr>
            <w:tcW w:w="3414"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施工人员用水，周边民房自备水井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3</w:t>
            </w:r>
          </w:p>
        </w:tc>
        <w:tc>
          <w:tcPr>
            <w:tcW w:w="2133"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电</w:t>
            </w:r>
          </w:p>
        </w:tc>
        <w:tc>
          <w:tcPr>
            <w:tcW w:w="1138"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default"/>
                <w:color w:val="000000"/>
                <w:kern w:val="0"/>
                <w:sz w:val="21"/>
                <w:szCs w:val="21"/>
              </w:rPr>
              <w:t>5</w:t>
            </w:r>
          </w:p>
        </w:tc>
        <w:tc>
          <w:tcPr>
            <w:tcW w:w="1138"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00000"/>
                <w:kern w:val="0"/>
                <w:sz w:val="21"/>
                <w:szCs w:val="21"/>
              </w:rPr>
              <w:t>万</w:t>
            </w:r>
            <w:r>
              <w:rPr>
                <w:rFonts w:hint="default"/>
                <w:sz w:val="21"/>
                <w:szCs w:val="21"/>
              </w:rPr>
              <w:t>kw·h/a</w:t>
            </w:r>
          </w:p>
        </w:tc>
        <w:tc>
          <w:tcPr>
            <w:tcW w:w="3414" w:type="dxa"/>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kern w:val="0"/>
                <w:sz w:val="21"/>
                <w:szCs w:val="21"/>
              </w:rPr>
            </w:pPr>
            <w:r>
              <w:rPr>
                <w:rFonts w:hint="eastAsia"/>
                <w:color w:val="0D0D0D" w:themeColor="text1" w:themeTint="F2"/>
                <w:kern w:val="0"/>
                <w:sz w:val="21"/>
                <w:szCs w:val="21"/>
                <w14:textFill>
                  <w14:solidFill>
                    <w14:schemeClr w14:val="tx1">
                      <w14:lumMod w14:val="95000"/>
                      <w14:lumOff w14:val="5000"/>
                    </w14:schemeClr>
                  </w14:solidFill>
                </w14:textFill>
              </w:rPr>
              <w:t>用电引自区域电网</w:t>
            </w:r>
          </w:p>
        </w:tc>
      </w:tr>
    </w:tbl>
    <w:p>
      <w:pPr>
        <w:pStyle w:val="6"/>
        <w:keepNext/>
        <w:keepLines/>
        <w:pageBreakBefore w:val="0"/>
        <w:widowControl w:val="0"/>
        <w:kinsoku/>
        <w:wordWrap/>
        <w:overflowPunct/>
        <w:topLinePunct w:val="0"/>
        <w:autoSpaceDE/>
        <w:autoSpaceDN/>
        <w:bidi w:val="0"/>
        <w:adjustRightInd w:val="0"/>
        <w:snapToGrid w:val="0"/>
        <w:spacing w:before="164" w:beforeLines="50"/>
        <w:textAlignment w:val="auto"/>
        <w:rPr>
          <w:rFonts w:hint="eastAsia" w:eastAsia="宋体"/>
          <w:lang w:eastAsia="zh-CN"/>
        </w:rPr>
      </w:pPr>
      <w:bookmarkStart w:id="273" w:name="_Toc4730"/>
      <w:r>
        <w:rPr>
          <w:rFonts w:hint="default"/>
          <w:lang w:eastAsia="zh-CN"/>
        </w:rPr>
        <w:t>3.</w:t>
      </w:r>
      <w:r>
        <w:rPr>
          <w:rFonts w:hint="eastAsia"/>
          <w:lang w:val="en-US" w:eastAsia="zh-CN"/>
        </w:rPr>
        <w:t>1</w:t>
      </w:r>
      <w:r>
        <w:rPr>
          <w:rFonts w:hint="default"/>
        </w:rPr>
        <w:t>.</w:t>
      </w:r>
      <w:r>
        <w:rPr>
          <w:rFonts w:hint="eastAsia"/>
          <w:lang w:val="en-US" w:eastAsia="zh-CN"/>
        </w:rPr>
        <w:t>7</w:t>
      </w:r>
      <w:r>
        <w:rPr>
          <w:rFonts w:hint="default"/>
        </w:rPr>
        <w:t xml:space="preserve"> </w:t>
      </w:r>
      <w:r>
        <w:rPr>
          <w:rFonts w:hint="eastAsia"/>
          <w:lang w:eastAsia="zh-CN"/>
        </w:rPr>
        <w:t>公用工程</w:t>
      </w:r>
      <w:bookmarkEnd w:id="273"/>
    </w:p>
    <w:p>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①供水工程</w:t>
      </w:r>
    </w:p>
    <w:p>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项目建设阶段建设施工人员生活用水由施工地附近村庄民房的自备水井供给。项目用水主要是施工人员日常用水。</w:t>
      </w:r>
    </w:p>
    <w:p>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项目施工人员</w:t>
      </w:r>
      <w:r>
        <w:rPr>
          <w:rFonts w:hint="eastAsia" w:cs="Times New Roman"/>
          <w:lang w:val="en-US" w:eastAsia="zh-CN"/>
        </w:rPr>
        <w:t>3</w:t>
      </w:r>
      <w:r>
        <w:rPr>
          <w:rFonts w:hint="eastAsia" w:ascii="Times New Roman" w:hAnsi="Times New Roman" w:eastAsia="宋体" w:cs="Times New Roman"/>
          <w:lang w:val="en-US" w:eastAsia="zh-CN"/>
        </w:rPr>
        <w:t>0人，平均年施工时间按300d计。结合当地实际情况，按每人每天用水量为50L计算，经核算，施工人员用水量为</w:t>
      </w:r>
      <w:r>
        <w:rPr>
          <w:rFonts w:hint="eastAsia" w:cs="Times New Roman"/>
          <w:lang w:val="en-US" w:eastAsia="zh-CN"/>
        </w:rPr>
        <w:t>1.5</w:t>
      </w: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/d（</w:t>
      </w:r>
      <w:r>
        <w:rPr>
          <w:rFonts w:hint="eastAsia" w:cs="Times New Roman"/>
          <w:lang w:val="en-US" w:eastAsia="zh-CN"/>
        </w:rPr>
        <w:t>450</w:t>
      </w: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/a）。</w:t>
      </w:r>
    </w:p>
    <w:p>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项目运行阶段不涉及用水工程。</w:t>
      </w:r>
    </w:p>
    <w:p>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②排水工程</w:t>
      </w:r>
    </w:p>
    <w:p>
      <w:pPr>
        <w:pStyle w:val="134"/>
        <w:numPr>
          <w:ilvl w:val="0"/>
          <w:numId w:val="0"/>
        </w:numPr>
        <w:tabs>
          <w:tab w:val="clear" w:pos="1980"/>
        </w:tabs>
        <w:ind w:firstLine="480" w:firstLineChars="200"/>
      </w:pPr>
      <w:r>
        <w:rPr>
          <w:rFonts w:hint="eastAsia"/>
        </w:rPr>
        <w:t>项目产生的水污染物包括：施工废水、工程施工过程产生的基坑排水和施工人员的生活污水等。</w:t>
      </w:r>
    </w:p>
    <w:p>
      <w:pPr>
        <w:pStyle w:val="134"/>
        <w:numPr>
          <w:ilvl w:val="0"/>
          <w:numId w:val="0"/>
        </w:numPr>
        <w:tabs>
          <w:tab w:val="clear" w:pos="1980"/>
        </w:tabs>
        <w:ind w:firstLine="480" w:firstLineChars="200"/>
        <w:rPr>
          <w:rFonts w:hint="eastAsia"/>
          <w:lang w:eastAsia="zh-CN"/>
        </w:rPr>
      </w:pPr>
      <w:r>
        <w:rPr>
          <w:rFonts w:hint="eastAsia"/>
        </w:rPr>
        <w:t>项目施工废水主要包括施工场地地表径流，施工场地地表径流通过临时集水沉淀池沉淀后用于洒水降尘及绿化。基坑排水经在基坑底面合理布置的排水沟槽，用水泵将少量渗出的地下水及时排出，泵入河道外侧的临时集水沉淀池，沉淀后用于施工场地洒水降尘及绿化以及区域各村道路洒水降尘及绿化等使用，不再回流进入河道，不外排。</w:t>
      </w:r>
    </w:p>
    <w:p>
      <w:pPr>
        <w:pStyle w:val="134"/>
        <w:numPr>
          <w:ilvl w:val="0"/>
          <w:numId w:val="0"/>
        </w:numPr>
        <w:tabs>
          <w:tab w:val="clear" w:pos="1980"/>
        </w:tabs>
        <w:ind w:firstLine="480" w:firstLineChars="200"/>
      </w:pPr>
      <w:r>
        <w:rPr>
          <w:rFonts w:hint="eastAsia"/>
        </w:rPr>
        <w:t>施工人员生活污水主要是工人的盥洗废水，水质较为清洁，用于施工场地降尘或绿化使用，不外排。</w:t>
      </w:r>
    </w:p>
    <w:p>
      <w:r>
        <w:t>项目运</w:t>
      </w:r>
      <w:r>
        <w:rPr>
          <w:rFonts w:hint="eastAsia"/>
        </w:rPr>
        <w:t>行阶段不产生废水，不涉及排水工程</w:t>
      </w:r>
      <w:r>
        <w:t>。</w:t>
      </w:r>
    </w:p>
    <w:p>
      <w:pPr>
        <w:pStyle w:val="1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③供电工程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项目用电引自区域集中供电电网，建设阶段耗电量约为</w:t>
      </w:r>
      <w:r>
        <w:rPr>
          <w:rFonts w:hint="eastAsia"/>
          <w:color w:val="000000" w:themeColor="text1"/>
          <w:lang w:val="en-US" w:eastAsia="zh-CN"/>
          <w14:textFill>
            <w14:solidFill>
              <w14:schemeClr w14:val="tx1"/>
            </w14:solidFill>
          </w14:textFill>
        </w:rPr>
        <w:t>0.5</w:t>
      </w:r>
      <w:r>
        <w:rPr>
          <w:rFonts w:hint="eastAsia"/>
          <w:color w:val="000000" w:themeColor="text1"/>
          <w14:textFill>
            <w14:solidFill>
              <w14:schemeClr w14:val="tx1"/>
            </w14:solidFill>
          </w14:textFill>
        </w:rPr>
        <w:t>万kW·h</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a。</w:t>
      </w:r>
    </w:p>
    <w:p>
      <w:pPr>
        <w:pStyle w:val="5"/>
        <w:bidi w:val="0"/>
        <w:rPr>
          <w:rFonts w:hint="eastAsia"/>
          <w:lang w:val="en-US" w:eastAsia="zh-CN"/>
        </w:rPr>
      </w:pPr>
      <w:bookmarkStart w:id="274" w:name="_Toc23879"/>
      <w:r>
        <w:rPr>
          <w:rFonts w:hint="eastAsia"/>
          <w:lang w:val="en-US" w:eastAsia="zh-CN"/>
        </w:rPr>
        <w:t>3.2施工总体布置</w:t>
      </w:r>
      <w:bookmarkEnd w:id="274"/>
    </w:p>
    <w:p>
      <w:pPr>
        <w:pStyle w:val="6"/>
        <w:bidi w:val="0"/>
        <w:rPr>
          <w:rFonts w:hint="eastAsia"/>
          <w:lang w:val="en-US" w:eastAsia="zh-CN"/>
        </w:rPr>
      </w:pPr>
      <w:bookmarkStart w:id="275" w:name="_Toc21718"/>
      <w:r>
        <w:rPr>
          <w:rFonts w:hint="eastAsia"/>
          <w:lang w:val="en-US" w:eastAsia="zh-CN"/>
        </w:rPr>
        <w:t>3.2.1施工条件</w:t>
      </w:r>
      <w:bookmarkEnd w:id="275"/>
    </w:p>
    <w:p>
      <w:pPr>
        <w:spacing w:line="360" w:lineRule="auto"/>
        <w:ind w:firstLine="48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（1）交通</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本工程地处兴隆县李家营镇，现有省道穿村而过，对外交通十分方便。</w:t>
      </w:r>
    </w:p>
    <w:p>
      <w:pPr>
        <w:spacing w:line="360" w:lineRule="auto"/>
        <w:ind w:firstLine="480"/>
        <w:rPr>
          <w:rFonts w:hint="eastAsia" w:cs="Times New Roman"/>
          <w:color w:val="auto"/>
          <w:sz w:val="24"/>
          <w:szCs w:val="24"/>
          <w:lang w:eastAsia="zh-CN"/>
        </w:rPr>
      </w:pPr>
      <w:r>
        <w:rPr>
          <w:rFonts w:hint="eastAsia" w:cs="Times New Roman"/>
          <w:color w:val="auto"/>
          <w:sz w:val="24"/>
          <w:szCs w:val="24"/>
          <w:lang w:eastAsia="zh-CN"/>
        </w:rPr>
        <w:t>（</w:t>
      </w:r>
      <w:r>
        <w:rPr>
          <w:rFonts w:hint="eastAsia" w:cs="Times New Roman"/>
          <w:color w:val="auto"/>
          <w:sz w:val="24"/>
          <w:szCs w:val="24"/>
          <w:lang w:val="en-US" w:eastAsia="zh-CN"/>
        </w:rPr>
        <w:t>2</w:t>
      </w:r>
      <w:r>
        <w:rPr>
          <w:rFonts w:hint="eastAsia" w:cs="Times New Roman"/>
          <w:color w:val="auto"/>
          <w:sz w:val="24"/>
          <w:szCs w:val="24"/>
          <w:lang w:eastAsia="zh-CN"/>
        </w:rPr>
        <w:t>）建筑材料</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所需碎石、块石等均从项目区附近购买，当地大部分岩石材质较好，石料厂也比较多，采购运输也较为方便。格宾网片从有资质的厂家订购，进场前需检验合格后才能进场。项目土方填筑充分利用各工程开挖方料。施工场地不设混凝土拌合站等。</w:t>
      </w:r>
    </w:p>
    <w:p>
      <w:pPr>
        <w:pStyle w:val="12"/>
        <w:rPr>
          <w:rFonts w:hint="eastAsia" w:eastAsia="宋体"/>
          <w:lang w:eastAsia="zh-CN"/>
        </w:rPr>
      </w:pPr>
      <w:r>
        <w:rPr>
          <w:rFonts w:hint="eastAsia" w:cs="Times New Roman"/>
          <w:color w:val="auto"/>
          <w:sz w:val="24"/>
          <w:szCs w:val="24"/>
          <w:lang w:eastAsia="zh-CN"/>
        </w:rPr>
        <w:t>（</w:t>
      </w:r>
      <w:r>
        <w:rPr>
          <w:rFonts w:hint="eastAsia" w:cs="Times New Roman"/>
          <w:color w:val="auto"/>
          <w:sz w:val="24"/>
          <w:szCs w:val="24"/>
          <w:lang w:val="en-US" w:eastAsia="zh-CN"/>
        </w:rPr>
        <w:t>3</w:t>
      </w:r>
      <w:r>
        <w:rPr>
          <w:rFonts w:hint="eastAsia" w:cs="Times New Roman"/>
          <w:color w:val="auto"/>
          <w:sz w:val="24"/>
          <w:szCs w:val="24"/>
          <w:lang w:eastAsia="zh-CN"/>
        </w:rPr>
        <w:t>）施工导流</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区域内河段常年有地表径流，护岸施工施工等需进行导流，本次导流采用围堰加管道输水的导流方式，由于现状河内基流较大，施工时利用开挖的砂卵石方沿河堆置围堰，围堰顶宽2m，上下游侧均放坡，高度1.5m，坡比1：2。</w:t>
      </w:r>
    </w:p>
    <w:p>
      <w:pPr>
        <w:pStyle w:val="12"/>
        <w:numPr>
          <w:ilvl w:val="0"/>
          <w:numId w:val="9"/>
        </w:numPr>
        <w:rPr>
          <w:rFonts w:hint="eastAsia" w:cs="Times New Roman"/>
          <w:color w:val="auto"/>
          <w:sz w:val="24"/>
          <w:szCs w:val="24"/>
          <w:lang w:val="en-US" w:eastAsia="zh-CN"/>
        </w:rPr>
      </w:pPr>
      <w:r>
        <w:rPr>
          <w:rFonts w:hint="eastAsia" w:cs="Times New Roman"/>
          <w:color w:val="auto"/>
          <w:sz w:val="24"/>
          <w:szCs w:val="24"/>
          <w:lang w:val="en-US" w:eastAsia="zh-CN"/>
        </w:rPr>
        <w:t>施工设施</w:t>
      </w:r>
    </w:p>
    <w:p>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用电采用网电解决，现场配备2台50kW柴油发电机作为备用施工电源。施工通讯包括场内通讯联络和对外通讯。工程区位于乡村结合部，通讯网络完善，利用现有的通讯网络采用有线和无线通讯设备；场内各单位可通过对讲机联络。施工照明沿施工道路按要求布设临时照明设备，施工现场设集中光源。在适当位置安装塔架，位置以覆盖工作面为宜。</w:t>
      </w:r>
    </w:p>
    <w:p>
      <w:pPr>
        <w:pStyle w:val="6"/>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b/>
          <w:highlight w:val="none"/>
          <w:lang w:val="en-US" w:eastAsia="zh-CN"/>
        </w:rPr>
      </w:pPr>
      <w:bookmarkStart w:id="276" w:name="_Toc8568"/>
      <w:r>
        <w:rPr>
          <w:rFonts w:hint="default" w:ascii="Times New Roman" w:hAnsi="Times New Roman" w:cs="Times New Roman"/>
          <w:b/>
          <w:highlight w:val="none"/>
          <w:lang w:val="en-US" w:eastAsia="zh-CN"/>
        </w:rPr>
        <w:t>3.2.</w:t>
      </w:r>
      <w:r>
        <w:rPr>
          <w:rFonts w:hint="eastAsia" w:cs="Times New Roman"/>
          <w:b/>
          <w:highlight w:val="none"/>
          <w:lang w:val="en-US" w:eastAsia="zh-CN"/>
        </w:rPr>
        <w:t>2</w:t>
      </w:r>
      <w:r>
        <w:rPr>
          <w:rFonts w:hint="eastAsia" w:ascii="Times New Roman" w:hAnsi="Times New Roman" w:cs="Times New Roman"/>
          <w:b/>
          <w:highlight w:val="none"/>
          <w:lang w:val="en-US" w:eastAsia="zh-CN"/>
        </w:rPr>
        <w:t>施工布置原则</w:t>
      </w:r>
      <w:bookmarkEnd w:id="276"/>
    </w:p>
    <w:p>
      <w:pPr>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1、施工总布置规划遵循因地制宜、易于管理的原则；仓库应布设在场地内或场地对外公路附近。</w:t>
      </w:r>
    </w:p>
    <w:p>
      <w:pPr>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尽量选用荒地、坡地、旱地作为施工场地，尽量少占压耕地，考虑永久与临时占地；并使生产设施尽量靠近施工现场，以方便施工，方便材料运输，避免材料、设备的二次倒运，并保证道路运输通畅，以降低运输费用。</w:t>
      </w:r>
    </w:p>
    <w:p>
      <w:pPr>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施工办公区安排在乡村附近或河滩高地，生产和生活区分开，以创造良好的施工环境，合理划分施工区域，以减少各项施工间的相互干扰，并充分考虑雨季防洪，冬季防冻措施；注意现场水源及用电条件，尽量缩短供水供电管线长度。避开不良地质区域，以免造成经济损失和人员伤亡。主要生产生活设施布置在5年一遇洪水位以上</w:t>
      </w:r>
      <w:r>
        <w:rPr>
          <w:rFonts w:hint="eastAsia" w:cs="Times New Roman"/>
          <w:color w:val="auto"/>
          <w:sz w:val="24"/>
          <w:szCs w:val="24"/>
          <w:lang w:val="en-US" w:eastAsia="zh-CN"/>
        </w:rPr>
        <w:t>。</w:t>
      </w:r>
    </w:p>
    <w:p>
      <w:pPr>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4、在保证正常施工的前提下，尽量利用现有道路，少修施工便道。</w:t>
      </w:r>
    </w:p>
    <w:p>
      <w:pPr>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5、场地划分和布置符合国家有关安全防火、卫生及环境保护等规定。</w:t>
      </w:r>
    </w:p>
    <w:p>
      <w:pPr>
        <w:pStyle w:val="6"/>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highlight w:val="none"/>
          <w:lang w:val="en-US" w:eastAsia="zh-CN"/>
        </w:rPr>
      </w:pPr>
      <w:bookmarkStart w:id="277" w:name="_Toc12303"/>
      <w:r>
        <w:rPr>
          <w:rFonts w:hint="eastAsia" w:ascii="Times New Roman" w:hAnsi="Times New Roman" w:eastAsia="宋体" w:cs="Times New Roman"/>
          <w:b/>
          <w:highlight w:val="none"/>
          <w:lang w:val="en-US" w:eastAsia="zh-CN"/>
        </w:rPr>
        <w:t>3.2.</w:t>
      </w:r>
      <w:r>
        <w:rPr>
          <w:rFonts w:hint="eastAsia" w:cs="Times New Roman"/>
          <w:b/>
          <w:highlight w:val="none"/>
          <w:lang w:val="en-US" w:eastAsia="zh-CN"/>
        </w:rPr>
        <w:t>3</w:t>
      </w:r>
      <w:r>
        <w:rPr>
          <w:rFonts w:hint="eastAsia" w:ascii="Times New Roman" w:hAnsi="Times New Roman" w:eastAsia="宋体" w:cs="Times New Roman"/>
          <w:b/>
          <w:highlight w:val="none"/>
          <w:lang w:val="en-US" w:eastAsia="zh-CN"/>
        </w:rPr>
        <w:t>施工临时布置</w:t>
      </w:r>
      <w:bookmarkEnd w:id="277"/>
    </w:p>
    <w:p>
      <w:pPr>
        <w:bidi w:val="0"/>
      </w:pPr>
      <w:r>
        <w:rPr>
          <w:rFonts w:hint="eastAsia"/>
          <w:lang w:eastAsia="zh-CN"/>
        </w:rPr>
        <w:t>（</w:t>
      </w:r>
      <w:r>
        <w:rPr>
          <w:rFonts w:hint="eastAsia"/>
          <w:lang w:val="en-US" w:eastAsia="zh-CN"/>
        </w:rPr>
        <w:t>1</w:t>
      </w:r>
      <w:r>
        <w:rPr>
          <w:rFonts w:hint="eastAsia"/>
          <w:lang w:eastAsia="zh-CN"/>
        </w:rPr>
        <w:t>）</w:t>
      </w:r>
      <w:r>
        <w:rPr>
          <w:rFonts w:hint="eastAsia"/>
        </w:rPr>
        <w:t>施工临时占地</w:t>
      </w:r>
    </w:p>
    <w:p>
      <w:pPr>
        <w:rPr>
          <w:color w:val="000000" w:themeColor="text1"/>
          <w14:textFill>
            <w14:solidFill>
              <w14:schemeClr w14:val="tx1"/>
            </w14:solidFill>
          </w14:textFill>
        </w:rPr>
      </w:pPr>
      <w:r>
        <w:rPr>
          <w:color w:val="000000" w:themeColor="text1"/>
          <w14:textFill>
            <w14:solidFill>
              <w14:schemeClr w14:val="tx1"/>
            </w14:solidFill>
          </w14:textFill>
        </w:rPr>
        <w:t>根据现场施工条件，考虑</w:t>
      </w:r>
      <w:r>
        <w:rPr>
          <w:rFonts w:hint="eastAsia"/>
          <w:color w:val="000000" w:themeColor="text1"/>
          <w14:textFill>
            <w14:solidFill>
              <w14:schemeClr w14:val="tx1"/>
            </w14:solidFill>
          </w14:textFill>
        </w:rPr>
        <w:t>到</w:t>
      </w:r>
      <w:r>
        <w:rPr>
          <w:color w:val="000000" w:themeColor="text1"/>
          <w14:textFill>
            <w14:solidFill>
              <w14:schemeClr w14:val="tx1"/>
            </w14:solidFill>
          </w14:textFill>
        </w:rPr>
        <w:t>施工物料的运输和各种建筑物的用料布置情况，设置</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处施工区，共计需临时占地</w:t>
      </w:r>
      <w:r>
        <w:rPr>
          <w:rFonts w:hint="eastAsia"/>
          <w:color w:val="000000" w:themeColor="text1"/>
          <w:lang w:val="en-US" w:eastAsia="zh-CN"/>
          <w14:textFill>
            <w14:solidFill>
              <w14:schemeClr w14:val="tx1"/>
            </w14:solidFill>
          </w14:textFill>
        </w:rPr>
        <w:t>75</w:t>
      </w:r>
      <w:r>
        <w:rPr>
          <w:color w:val="000000" w:themeColor="text1"/>
          <w14:textFill>
            <w14:solidFill>
              <w14:schemeClr w14:val="tx1"/>
            </w14:solidFill>
          </w14:textFill>
        </w:rPr>
        <w:t>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施工临时场地不占用基本农田，不占用林地，尽可能占用空闲地、滩涂地等，占地事宜由建设单位乡镇政府自行协调，占地可行。工程完工后，对临时占地进行生态恢复。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施</w:t>
      </w:r>
      <w:r>
        <w:rPr>
          <w:color w:val="000000" w:themeColor="text1"/>
          <w14:textFill>
            <w14:solidFill>
              <w14:schemeClr w14:val="tx1"/>
            </w14:solidFill>
          </w14:textFill>
        </w:rPr>
        <w:t>工区</w:t>
      </w:r>
      <w:r>
        <w:rPr>
          <w:rFonts w:hint="eastAsia"/>
          <w:color w:val="000000" w:themeColor="text1"/>
          <w14:textFill>
            <w14:solidFill>
              <w14:schemeClr w14:val="tx1"/>
            </w14:solidFill>
          </w14:textFill>
        </w:rPr>
        <w:t>单个施工临时</w:t>
      </w:r>
      <w:r>
        <w:rPr>
          <w:color w:val="000000" w:themeColor="text1"/>
          <w14:textFill>
            <w14:solidFill>
              <w14:schemeClr w14:val="tx1"/>
            </w14:solidFill>
          </w14:textFill>
        </w:rPr>
        <w:t>占地</w:t>
      </w:r>
      <w:r>
        <w:rPr>
          <w:rFonts w:hint="eastAsia"/>
          <w:color w:val="000000" w:themeColor="text1"/>
          <w14:textFill>
            <w14:solidFill>
              <w14:schemeClr w14:val="tx1"/>
            </w14:solidFill>
          </w14:textFill>
        </w:rPr>
        <w:t>情况详见下</w:t>
      </w:r>
      <w:r>
        <w:rPr>
          <w:color w:val="000000" w:themeColor="text1"/>
          <w14:textFill>
            <w14:solidFill>
              <w14:schemeClr w14:val="tx1"/>
            </w14:solidFill>
          </w14:textFill>
        </w:rPr>
        <w:t>表</w:t>
      </w:r>
      <w:r>
        <w:rPr>
          <w:rFonts w:hint="eastAsia"/>
          <w:color w:val="000000" w:themeColor="text1"/>
          <w14:textFill>
            <w14:solidFill>
              <w14:schemeClr w14:val="tx1"/>
            </w14:solidFill>
          </w14:textFill>
        </w:rPr>
        <w:t>：</w:t>
      </w:r>
    </w:p>
    <w:p>
      <w:pPr>
        <w:keepNext w:val="0"/>
        <w:keepLines w:val="0"/>
        <w:pageBreakBefore w:val="0"/>
        <w:widowControl w:val="0"/>
        <w:tabs>
          <w:tab w:val="left" w:pos="3810"/>
        </w:tabs>
        <w:kinsoku/>
        <w:wordWrap/>
        <w:overflowPunct/>
        <w:topLinePunct w:val="0"/>
        <w:autoSpaceDE/>
        <w:autoSpaceDN/>
        <w:bidi w:val="0"/>
        <w:adjustRightInd w:val="0"/>
        <w:snapToGrid w:val="0"/>
        <w:spacing w:line="360" w:lineRule="auto"/>
        <w:ind w:left="0" w:firstLine="0" w:firstLineChars="0"/>
        <w:jc w:val="center"/>
        <w:textAlignment w:val="auto"/>
        <w:rPr>
          <w:rFonts w:eastAsia="宋体"/>
          <w:b/>
          <w:color w:val="000000" w:themeColor="text1"/>
          <w14:textFill>
            <w14:solidFill>
              <w14:schemeClr w14:val="tx1"/>
            </w14:solidFill>
          </w14:textFill>
        </w:rPr>
      </w:pPr>
      <w:r>
        <w:rPr>
          <w:rFonts w:hint="eastAsia"/>
          <w:b/>
          <w:sz w:val="21"/>
          <w:szCs w:val="21"/>
        </w:rPr>
        <w:t>表</w:t>
      </w:r>
      <w:r>
        <w:rPr>
          <w:b/>
          <w:sz w:val="21"/>
          <w:szCs w:val="21"/>
        </w:rPr>
        <w:t>3</w:t>
      </w:r>
      <w:r>
        <w:rPr>
          <w:rFonts w:hint="eastAsia"/>
          <w:b/>
          <w:sz w:val="21"/>
          <w:szCs w:val="21"/>
          <w:lang w:val="en-US" w:eastAsia="zh-CN"/>
        </w:rPr>
        <w:t>.2-1</w:t>
      </w:r>
      <w:r>
        <w:rPr>
          <w:b/>
          <w:sz w:val="21"/>
          <w:szCs w:val="21"/>
        </w:rPr>
        <w:t xml:space="preserve">  </w:t>
      </w:r>
      <w:r>
        <w:rPr>
          <w:rFonts w:hint="eastAsia"/>
          <w:b/>
          <w:sz w:val="21"/>
          <w:szCs w:val="21"/>
        </w:rPr>
        <w:t>施工临时占地布置情况一览表</w:t>
      </w:r>
    </w:p>
    <w:tbl>
      <w:tblPr>
        <w:tblStyle w:val="39"/>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3481"/>
        <w:gridCol w:w="1819"/>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
                <w:kern w:val="0"/>
                <w:sz w:val="21"/>
                <w:szCs w:val="21"/>
              </w:rPr>
            </w:pPr>
            <w:r>
              <w:rPr>
                <w:rFonts w:hint="default"/>
                <w:b/>
                <w:kern w:val="0"/>
                <w:sz w:val="21"/>
                <w:szCs w:val="21"/>
              </w:rPr>
              <w:t>序号</w:t>
            </w:r>
          </w:p>
        </w:tc>
        <w:tc>
          <w:tcPr>
            <w:tcW w:w="3481"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
                <w:kern w:val="0"/>
                <w:sz w:val="21"/>
                <w:szCs w:val="21"/>
              </w:rPr>
            </w:pPr>
            <w:r>
              <w:rPr>
                <w:rFonts w:hint="default"/>
                <w:b/>
                <w:kern w:val="0"/>
                <w:sz w:val="21"/>
                <w:szCs w:val="21"/>
              </w:rPr>
              <w:t>项目</w:t>
            </w:r>
          </w:p>
        </w:tc>
        <w:tc>
          <w:tcPr>
            <w:tcW w:w="1819"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
                <w:kern w:val="0"/>
                <w:sz w:val="21"/>
                <w:szCs w:val="21"/>
              </w:rPr>
            </w:pPr>
            <w:r>
              <w:rPr>
                <w:rFonts w:hint="default"/>
                <w:b/>
                <w:kern w:val="0"/>
                <w:sz w:val="21"/>
                <w:szCs w:val="21"/>
              </w:rPr>
              <w:t>单位</w:t>
            </w:r>
          </w:p>
        </w:tc>
        <w:tc>
          <w:tcPr>
            <w:tcW w:w="2124"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
                <w:kern w:val="0"/>
                <w:sz w:val="21"/>
                <w:szCs w:val="21"/>
              </w:rPr>
            </w:pPr>
            <w:r>
              <w:rPr>
                <w:rFonts w:hint="default"/>
                <w:b/>
                <w:kern w:val="0"/>
                <w:sz w:val="21"/>
                <w:szCs w:val="21"/>
              </w:rPr>
              <w:t>临时占地面积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kern w:val="0"/>
                <w:sz w:val="21"/>
                <w:szCs w:val="21"/>
              </w:rPr>
            </w:pPr>
            <w:r>
              <w:rPr>
                <w:rFonts w:hint="default"/>
                <w:kern w:val="0"/>
                <w:sz w:val="21"/>
                <w:szCs w:val="21"/>
              </w:rPr>
              <w:t>1</w:t>
            </w:r>
          </w:p>
        </w:tc>
        <w:tc>
          <w:tcPr>
            <w:tcW w:w="3481"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bidi="ar-SA"/>
              </w:rPr>
            </w:pPr>
            <w:r>
              <w:rPr>
                <w:rFonts w:hint="default"/>
                <w:kern w:val="0"/>
                <w:sz w:val="21"/>
                <w:szCs w:val="21"/>
              </w:rPr>
              <w:t>现场生产用房、施工仓库等</w:t>
            </w:r>
          </w:p>
        </w:tc>
        <w:tc>
          <w:tcPr>
            <w:tcW w:w="1819"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bidi="ar-SA"/>
              </w:rPr>
            </w:pPr>
            <w:r>
              <w:rPr>
                <w:rFonts w:hint="default"/>
                <w:kern w:val="0"/>
                <w:sz w:val="21"/>
                <w:szCs w:val="21"/>
              </w:rPr>
              <w:t>m</w:t>
            </w:r>
            <w:r>
              <w:rPr>
                <w:rFonts w:hint="default"/>
                <w:kern w:val="0"/>
                <w:sz w:val="21"/>
                <w:szCs w:val="21"/>
                <w:vertAlign w:val="superscript"/>
              </w:rPr>
              <w:t>2</w:t>
            </w:r>
          </w:p>
        </w:tc>
        <w:tc>
          <w:tcPr>
            <w:tcW w:w="2124"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kern w:val="0"/>
                <w:sz w:val="21"/>
                <w:szCs w:val="21"/>
              </w:rPr>
            </w:pPr>
            <w:r>
              <w:rPr>
                <w:rFonts w:hint="default"/>
                <w:kern w:val="0"/>
                <w:sz w:val="21"/>
                <w:szCs w:val="21"/>
              </w:rPr>
              <w:t>2</w:t>
            </w:r>
          </w:p>
        </w:tc>
        <w:tc>
          <w:tcPr>
            <w:tcW w:w="3481"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bidi="ar-SA"/>
              </w:rPr>
            </w:pPr>
            <w:r>
              <w:rPr>
                <w:rFonts w:hint="default"/>
                <w:kern w:val="0"/>
                <w:sz w:val="21"/>
                <w:szCs w:val="21"/>
              </w:rPr>
              <w:t>机械停放场</w:t>
            </w:r>
          </w:p>
        </w:tc>
        <w:tc>
          <w:tcPr>
            <w:tcW w:w="1819"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bidi="ar-SA"/>
              </w:rPr>
            </w:pPr>
            <w:r>
              <w:rPr>
                <w:rFonts w:hint="default"/>
                <w:kern w:val="0"/>
                <w:sz w:val="21"/>
                <w:szCs w:val="21"/>
              </w:rPr>
              <w:t>m</w:t>
            </w:r>
            <w:r>
              <w:rPr>
                <w:rFonts w:hint="default"/>
                <w:kern w:val="0"/>
                <w:sz w:val="21"/>
                <w:szCs w:val="21"/>
                <w:vertAlign w:val="superscript"/>
              </w:rPr>
              <w:t>2</w:t>
            </w:r>
          </w:p>
        </w:tc>
        <w:tc>
          <w:tcPr>
            <w:tcW w:w="2124"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bidi="ar-SA"/>
              </w:rPr>
            </w:pPr>
            <w:r>
              <w:rPr>
                <w:rFonts w:hint="eastAsia"/>
                <w:kern w:val="0"/>
                <w:sz w:val="21"/>
                <w:szCs w:val="21"/>
                <w:lang w:val="en-US" w:eastAsia="zh-CN"/>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8" w:type="dxa"/>
            <w:gridSpan w:val="2"/>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kern w:val="0"/>
                <w:sz w:val="21"/>
                <w:szCs w:val="21"/>
              </w:rPr>
            </w:pPr>
            <w:r>
              <w:rPr>
                <w:rFonts w:hint="default"/>
                <w:kern w:val="0"/>
                <w:sz w:val="21"/>
                <w:szCs w:val="21"/>
              </w:rPr>
              <w:t>合计</w:t>
            </w:r>
          </w:p>
        </w:tc>
        <w:tc>
          <w:tcPr>
            <w:tcW w:w="1819"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kern w:val="0"/>
                <w:sz w:val="21"/>
                <w:szCs w:val="21"/>
              </w:rPr>
            </w:pPr>
            <w:r>
              <w:rPr>
                <w:rFonts w:hint="default"/>
                <w:kern w:val="0"/>
                <w:sz w:val="21"/>
                <w:szCs w:val="21"/>
              </w:rPr>
              <w:t>m</w:t>
            </w:r>
            <w:r>
              <w:rPr>
                <w:rFonts w:hint="default"/>
                <w:kern w:val="0"/>
                <w:sz w:val="21"/>
                <w:szCs w:val="21"/>
                <w:vertAlign w:val="superscript"/>
              </w:rPr>
              <w:t>2</w:t>
            </w:r>
          </w:p>
        </w:tc>
        <w:tc>
          <w:tcPr>
            <w:tcW w:w="2124" w:type="dxa"/>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eastAsia="宋体"/>
                <w:kern w:val="0"/>
                <w:sz w:val="21"/>
                <w:szCs w:val="21"/>
                <w:lang w:val="en-US" w:eastAsia="zh-CN"/>
              </w:rPr>
            </w:pPr>
            <w:r>
              <w:rPr>
                <w:rFonts w:hint="eastAsia"/>
                <w:kern w:val="0"/>
                <w:sz w:val="21"/>
                <w:szCs w:val="21"/>
                <w:lang w:val="en-US" w:eastAsia="zh-CN"/>
              </w:rPr>
              <w:t>1750</w:t>
            </w:r>
          </w:p>
        </w:tc>
      </w:tr>
    </w:tbl>
    <w:p>
      <w:pPr>
        <w:bidi w:val="0"/>
      </w:pPr>
      <w:r>
        <w:rPr>
          <w:rFonts w:hint="eastAsia"/>
          <w:lang w:eastAsia="zh-CN"/>
        </w:rPr>
        <w:t>（</w:t>
      </w:r>
      <w:r>
        <w:rPr>
          <w:rFonts w:hint="eastAsia"/>
          <w:lang w:val="en-US" w:eastAsia="zh-CN"/>
        </w:rPr>
        <w:t>2</w:t>
      </w:r>
      <w:r>
        <w:rPr>
          <w:rFonts w:hint="eastAsia"/>
          <w:lang w:eastAsia="zh-CN"/>
        </w:rPr>
        <w:t>）</w:t>
      </w:r>
      <w:r>
        <w:rPr>
          <w:rFonts w:hint="eastAsia"/>
        </w:rPr>
        <w:t>施工临时便道</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采用泥结碎石结构，设单侧排水沟，沟底宽和深度不小于30cm。边坡处视现场情况设下挡和护坡，路边按规定设各种道路标识。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根据施工需要，场内施工临时道路沿护岸外侧布置。施工临时道路利用现场土料、机械碾压而成，应切实建好排水系统，做好经常性维修养护，保证通畅。施工临时道路共</w:t>
      </w:r>
      <w:r>
        <w:rPr>
          <w:rFonts w:hint="eastAsia"/>
          <w:color w:val="000000" w:themeColor="text1"/>
          <w:lang w:val="en-US" w:eastAsia="zh-CN"/>
          <w14:textFill>
            <w14:solidFill>
              <w14:schemeClr w14:val="tx1"/>
            </w14:solidFill>
          </w14:textFill>
        </w:rPr>
        <w:t>500</w:t>
      </w:r>
      <w:r>
        <w:rPr>
          <w:rFonts w:hint="eastAsia"/>
          <w:color w:val="000000" w:themeColor="text1"/>
          <w14:textFill>
            <w14:solidFill>
              <w14:schemeClr w14:val="tx1"/>
            </w14:solidFill>
          </w14:textFill>
        </w:rPr>
        <w:t>m，路面平均宽</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m，占地约</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000m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。施工临时便道不占用基本农田，占地事宜由建设单位乡镇政府自行协调，占地可行。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施工便道应设置必要的标识标志；进入施工现场的路边设置提示牌；在道路危险段设置警示标示；在施工现场区、办公区、生活区等拐弯处，设置拐弯指向标志，并设置防撞墩、防撞柱等防护措施。</w:t>
      </w:r>
    </w:p>
    <w:p>
      <w:pPr>
        <w:pStyle w:val="6"/>
        <w:spacing w:before="0" w:beforeLines="0"/>
        <w:rPr>
          <w:b/>
          <w:highlight w:val="none"/>
        </w:rPr>
      </w:pPr>
      <w:bookmarkStart w:id="278" w:name="_Toc15235"/>
      <w:r>
        <w:rPr>
          <w:rFonts w:hint="eastAsia"/>
          <w:b/>
          <w:highlight w:val="none"/>
          <w:lang w:val="en-US" w:eastAsia="zh-CN"/>
        </w:rPr>
        <w:t>3.2.4</w:t>
      </w:r>
      <w:r>
        <w:rPr>
          <w:rFonts w:hint="eastAsia"/>
          <w:b/>
          <w:highlight w:val="none"/>
        </w:rPr>
        <w:t>土石方平衡及弃土、弃渣规划</w:t>
      </w:r>
      <w:bookmarkEnd w:id="27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根据项目初步设计报告并结合项目主要建设内容，项目土石方情况简述如下：</w:t>
      </w:r>
    </w:p>
    <w:p>
      <w:pPr>
        <w:spacing w:line="360" w:lineRule="auto"/>
        <w:ind w:firstLine="480" w:firstLineChars="200"/>
        <w:jc w:val="both"/>
        <w:rPr>
          <w:rFonts w:hint="eastAsia" w:ascii="Times New Roman" w:hAnsi="Times New Roman" w:eastAsia="宋体" w:cs="Times New Roman"/>
          <w:sz w:val="24"/>
          <w:szCs w:val="24"/>
          <w:lang w:eastAsia="zh-CN"/>
        </w:rPr>
      </w:pP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河道疏浚工程：拟</w:t>
      </w:r>
      <w:r>
        <w:rPr>
          <w:rFonts w:hint="eastAsia" w:ascii="Times New Roman" w:hAnsi="Times New Roman" w:cs="Times New Roman"/>
          <w:sz w:val="24"/>
          <w:szCs w:val="24"/>
        </w:rPr>
        <w:t>清理河流冲击物</w:t>
      </w:r>
      <w:r>
        <w:rPr>
          <w:rFonts w:ascii="Times New Roman" w:hAnsi="Times New Roman" w:cs="Times New Roman"/>
          <w:sz w:val="24"/>
          <w:szCs w:val="24"/>
        </w:rPr>
        <w:t>3598.5</w:t>
      </w:r>
      <w:r>
        <w:rPr>
          <w:rFonts w:hint="eastAsia" w:ascii="Times New Roman" w:hAnsi="Times New Roman" w:cs="Times New Roman"/>
          <w:sz w:val="24"/>
          <w:szCs w:val="24"/>
        </w:rPr>
        <w:t>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lang w:eastAsia="zh-CN"/>
        </w:rPr>
        <w:t>，</w:t>
      </w:r>
      <w:r>
        <w:rPr>
          <w:rFonts w:hint="eastAsia"/>
          <w:lang w:val="en-US" w:eastAsia="zh-CN"/>
        </w:rPr>
        <w:t>冲积物多为块石、石子，</w:t>
      </w:r>
      <w:r>
        <w:rPr>
          <w:rFonts w:hint="eastAsia" w:ascii="Times New Roman" w:hAnsi="Times New Roman" w:cs="Times New Roman"/>
          <w:sz w:val="24"/>
          <w:szCs w:val="24"/>
          <w:lang w:eastAsia="zh-CN"/>
        </w:rPr>
        <w:t>集中收集用于附近村镇乡路垫</w:t>
      </w:r>
      <w:r>
        <w:rPr>
          <w:rFonts w:hint="eastAsia" w:ascii="Times New Roman" w:hAnsi="Times New Roman" w:cs="Times New Roman"/>
          <w:sz w:val="24"/>
          <w:szCs w:val="24"/>
          <w:highlight w:val="none"/>
          <w:lang w:eastAsia="zh-CN"/>
        </w:rPr>
        <w:t>道；</w:t>
      </w:r>
      <w:r>
        <w:rPr>
          <w:rFonts w:hint="eastAsia" w:ascii="Times New Roman" w:hAnsi="Times New Roman" w:cs="Times New Roman"/>
          <w:sz w:val="24"/>
          <w:szCs w:val="24"/>
          <w:highlight w:val="none"/>
        </w:rPr>
        <w:t>清理河道淤泥</w:t>
      </w:r>
      <w:r>
        <w:rPr>
          <w:rFonts w:ascii="Times New Roman" w:hAnsi="Times New Roman" w:cs="Times New Roman"/>
          <w:sz w:val="24"/>
          <w:szCs w:val="24"/>
          <w:highlight w:val="none"/>
        </w:rPr>
        <w:t>7045</w:t>
      </w:r>
      <w:r>
        <w:rPr>
          <w:rFonts w:hint="eastAsia" w:ascii="Times New Roman" w:hAnsi="Times New Roman" w:cs="Times New Roman"/>
          <w:sz w:val="24"/>
          <w:szCs w:val="24"/>
          <w:highlight w:val="none"/>
        </w:rPr>
        <w:t>m</w:t>
      </w:r>
      <w:r>
        <w:rPr>
          <w:rFonts w:hint="eastAsia"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lang w:eastAsia="zh-CN"/>
        </w:rPr>
        <w:t>，淤泥多富含丰富有机质，集中收集，部分用于生态植物种植工程（原状土掺混淤泥，</w:t>
      </w:r>
      <w:r>
        <w:rPr>
          <w:rFonts w:hint="eastAsia" w:cs="Times New Roman"/>
          <w:sz w:val="24"/>
          <w:szCs w:val="24"/>
          <w:highlight w:val="none"/>
          <w:lang w:eastAsia="zh-CN"/>
        </w:rPr>
        <w:t>种植面积</w:t>
      </w:r>
      <w:r>
        <w:rPr>
          <w:rFonts w:hint="eastAsia" w:cs="Times New Roman"/>
          <w:sz w:val="24"/>
          <w:szCs w:val="24"/>
          <w:highlight w:val="none"/>
          <w:lang w:val="en-US" w:eastAsia="zh-CN"/>
        </w:rPr>
        <w:t>5904m</w:t>
      </w:r>
      <w:r>
        <w:rPr>
          <w:rFonts w:hint="eastAsia" w:cs="Times New Roman"/>
          <w:sz w:val="24"/>
          <w:szCs w:val="24"/>
          <w:highlight w:val="none"/>
          <w:vertAlign w:val="superscript"/>
          <w:lang w:val="en-US" w:eastAsia="zh-CN"/>
        </w:rPr>
        <w:t>2</w:t>
      </w:r>
      <w:r>
        <w:rPr>
          <w:rFonts w:hint="eastAsia" w:cs="Times New Roman"/>
          <w:sz w:val="24"/>
          <w:szCs w:val="24"/>
          <w:highlight w:val="none"/>
          <w:vertAlign w:val="baseline"/>
          <w:lang w:val="en-US" w:eastAsia="zh-CN"/>
        </w:rPr>
        <w:t>，</w:t>
      </w:r>
      <w:r>
        <w:rPr>
          <w:rFonts w:hint="eastAsia" w:ascii="Times New Roman" w:hAnsi="Times New Roman" w:cs="Times New Roman"/>
          <w:sz w:val="24"/>
          <w:szCs w:val="24"/>
          <w:highlight w:val="none"/>
          <w:lang w:eastAsia="zh-CN"/>
        </w:rPr>
        <w:t>覆土</w:t>
      </w:r>
      <w:r>
        <w:rPr>
          <w:rFonts w:hint="eastAsia" w:ascii="Times New Roman" w:hAnsi="Times New Roman" w:cs="Times New Roman"/>
          <w:sz w:val="24"/>
          <w:szCs w:val="24"/>
          <w:highlight w:val="none"/>
          <w:lang w:val="en-US" w:eastAsia="zh-CN"/>
        </w:rPr>
        <w:t>0</w:t>
      </w:r>
      <w:r>
        <w:rPr>
          <w:rFonts w:hint="eastAsia" w:cs="Times New Roman"/>
          <w:sz w:val="24"/>
          <w:szCs w:val="24"/>
          <w:highlight w:val="none"/>
          <w:lang w:val="en-US" w:eastAsia="zh-CN"/>
        </w:rPr>
        <w:t>.5</w:t>
      </w:r>
      <w:r>
        <w:rPr>
          <w:rFonts w:hint="eastAsia" w:ascii="Times New Roman" w:hAnsi="Times New Roman" w:cs="Times New Roman"/>
          <w:sz w:val="24"/>
          <w:szCs w:val="24"/>
          <w:highlight w:val="none"/>
          <w:lang w:val="en-US" w:eastAsia="zh-CN"/>
        </w:rPr>
        <w:t>m</w:t>
      </w:r>
      <w:r>
        <w:rPr>
          <w:rFonts w:hint="eastAsia" w:ascii="Times New Roman" w:hAnsi="Times New Roman" w:cs="Times New Roman"/>
          <w:sz w:val="24"/>
          <w:szCs w:val="24"/>
          <w:highlight w:val="none"/>
          <w:lang w:eastAsia="zh-CN"/>
        </w:rPr>
        <w:t>），部分</w:t>
      </w:r>
      <w:r>
        <w:rPr>
          <w:rFonts w:hint="eastAsia" w:cs="Times New Roman"/>
          <w:sz w:val="24"/>
          <w:szCs w:val="24"/>
          <w:highlight w:val="none"/>
          <w:lang w:eastAsia="zh-CN"/>
        </w:rPr>
        <w:t>回填至河滩地土方回填区</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清理岸坡垃圾</w:t>
      </w:r>
      <w:r>
        <w:rPr>
          <w:rFonts w:ascii="Times New Roman" w:hAnsi="Times New Roman" w:cs="Times New Roman"/>
          <w:sz w:val="24"/>
          <w:szCs w:val="24"/>
          <w:highlight w:val="none"/>
        </w:rPr>
        <w:t>1625</w:t>
      </w:r>
      <w:r>
        <w:rPr>
          <w:rFonts w:hint="eastAsia" w:ascii="Times New Roman" w:hAnsi="Times New Roman" w:cs="Times New Roman"/>
          <w:sz w:val="24"/>
          <w:szCs w:val="24"/>
          <w:highlight w:val="none"/>
        </w:rPr>
        <w:t>m</w:t>
      </w:r>
      <w:r>
        <w:rPr>
          <w:rFonts w:hint="eastAsia" w:ascii="Times New Roman" w:hAnsi="Times New Roman" w:cs="Times New Roman"/>
          <w:sz w:val="24"/>
          <w:szCs w:val="24"/>
          <w:highlight w:val="none"/>
          <w:vertAlign w:val="superscript"/>
        </w:rPr>
        <w:t>3</w:t>
      </w:r>
      <w:r>
        <w:rPr>
          <w:rFonts w:hint="eastAsia" w:ascii="Times New Roman" w:hAnsi="Times New Roman" w:cs="Times New Roman"/>
          <w:sz w:val="24"/>
          <w:szCs w:val="24"/>
          <w:highlight w:val="none"/>
          <w:lang w:eastAsia="zh-CN"/>
        </w:rPr>
        <w:t>，集中收集</w:t>
      </w:r>
      <w:r>
        <w:rPr>
          <w:rFonts w:hint="eastAsia" w:cs="Times New Roman"/>
          <w:sz w:val="24"/>
          <w:szCs w:val="24"/>
          <w:lang w:eastAsia="zh-CN"/>
        </w:rPr>
        <w:t>运至生活垃圾填埋场填埋场处置。</w:t>
      </w:r>
    </w:p>
    <w:p>
      <w:pPr>
        <w:bidi w:val="0"/>
        <w:rPr>
          <w:rFonts w:hint="eastAsia" w:eastAsia="宋体"/>
          <w:lang w:eastAsia="zh-CN"/>
        </w:rPr>
      </w:pPr>
      <w:r>
        <w:rPr>
          <w:rFonts w:hint="eastAsia"/>
          <w:lang w:val="en-US" w:eastAsia="zh-CN"/>
        </w:rPr>
        <w:t>2.</w:t>
      </w:r>
      <w:r>
        <w:rPr>
          <w:rFonts w:hint="eastAsia"/>
        </w:rPr>
        <w:t>河岸岸堤建设工程：削坡土方量为</w:t>
      </w:r>
      <w:r>
        <w:rPr>
          <w:rFonts w:hint="eastAsia"/>
          <w:lang w:val="en-US" w:eastAsia="zh-CN"/>
        </w:rPr>
        <w:t>2476.5</w:t>
      </w:r>
      <w:r>
        <w:rPr>
          <w:rFonts w:hint="eastAsia"/>
        </w:rPr>
        <w:t>m</w:t>
      </w:r>
      <w:r>
        <w:rPr>
          <w:rFonts w:hint="eastAsia"/>
          <w:vertAlign w:val="superscript"/>
        </w:rPr>
        <w:t>3</w:t>
      </w:r>
      <w:r>
        <w:rPr>
          <w:rFonts w:hint="eastAsia"/>
        </w:rPr>
        <w:t>，此部分为表土需单独储存用于工程结束后回填、覆土、绿化等</w:t>
      </w:r>
      <w:r>
        <w:rPr>
          <w:rFonts w:hint="eastAsia"/>
          <w:lang w:eastAsia="zh-CN"/>
        </w:rPr>
        <w:t>，</w:t>
      </w:r>
      <w:r>
        <w:rPr>
          <w:rFonts w:hint="eastAsia"/>
        </w:rPr>
        <w:t>填方量为</w:t>
      </w:r>
      <w:r>
        <w:rPr>
          <w:rFonts w:hint="eastAsia"/>
          <w:lang w:val="en-US" w:eastAsia="zh-CN"/>
        </w:rPr>
        <w:t>2172</w:t>
      </w:r>
      <w:r>
        <w:rPr>
          <w:rFonts w:hint="eastAsia"/>
        </w:rPr>
        <w:t>m</w:t>
      </w:r>
      <w:r>
        <w:rPr>
          <w:rFonts w:hint="eastAsia"/>
          <w:vertAlign w:val="superscript"/>
        </w:rPr>
        <w:t>3</w:t>
      </w:r>
      <w:r>
        <w:rPr>
          <w:rFonts w:hint="eastAsia"/>
          <w:lang w:eastAsia="zh-CN"/>
        </w:rPr>
        <w:t>；</w:t>
      </w:r>
      <w:r>
        <w:rPr>
          <w:rFonts w:hint="eastAsia"/>
        </w:rPr>
        <w:t>生态护岸格宾石笼工程</w:t>
      </w:r>
      <w:r>
        <w:rPr>
          <w:rFonts w:hint="eastAsia"/>
          <w:lang w:val="en-US" w:eastAsia="zh-CN"/>
        </w:rPr>
        <w:t>1376</w:t>
      </w:r>
      <w:r>
        <w:rPr>
          <w:rFonts w:hint="eastAsia"/>
        </w:rPr>
        <w:t>m</w:t>
      </w:r>
      <w:r>
        <w:rPr>
          <w:vertAlign w:val="superscript"/>
        </w:rPr>
        <w:t>3</w:t>
      </w:r>
      <w:r>
        <w:rPr>
          <w:rFonts w:hint="eastAsia"/>
        </w:rPr>
        <w:t>（借方，外购）</w:t>
      </w:r>
      <w:r>
        <w:rPr>
          <w:rFonts w:hint="eastAsia"/>
          <w:lang w:eastAsia="zh-CN"/>
        </w:rPr>
        <w:t>，</w:t>
      </w:r>
      <w:r>
        <w:rPr>
          <w:rFonts w:hint="eastAsia"/>
        </w:rPr>
        <w:t>弃土量为</w:t>
      </w:r>
      <w:r>
        <w:rPr>
          <w:rFonts w:hint="eastAsia"/>
          <w:lang w:val="en-US" w:eastAsia="zh-CN"/>
        </w:rPr>
        <w:t>304.5</w:t>
      </w:r>
      <w:r>
        <w:rPr>
          <w:rFonts w:hint="eastAsia"/>
        </w:rPr>
        <w:t>m</w:t>
      </w:r>
      <w:r>
        <w:rPr>
          <w:rFonts w:hint="eastAsia"/>
          <w:vertAlign w:val="superscript"/>
        </w:rPr>
        <w:t>3</w:t>
      </w:r>
      <w:r>
        <w:rPr>
          <w:rFonts w:hint="eastAsia"/>
          <w:vertAlign w:val="baseline"/>
          <w:lang w:eastAsia="zh-CN"/>
        </w:rPr>
        <w:t>，用于生态植物种植工程</w:t>
      </w:r>
      <w:r>
        <w:rPr>
          <w:rFonts w:hint="eastAsia"/>
          <w:lang w:eastAsia="zh-CN"/>
        </w:rPr>
        <w:t>。</w:t>
      </w:r>
    </w:p>
    <w:p>
      <w:pPr>
        <w:bidi w:val="0"/>
      </w:pPr>
      <w:r>
        <w:rPr>
          <w:rFonts w:hint="eastAsia"/>
          <w:lang w:val="en-US" w:eastAsia="zh-CN"/>
        </w:rPr>
        <w:t>3</w:t>
      </w:r>
      <w:r>
        <w:rPr>
          <w:rFonts w:hint="eastAsia"/>
        </w:rPr>
        <w:t>、河岸缓冲带生态建设</w:t>
      </w:r>
      <w:r>
        <w:rPr>
          <w:rFonts w:hint="eastAsia"/>
          <w:lang w:val="en-US" w:eastAsia="zh-CN"/>
        </w:rPr>
        <w:t>-</w:t>
      </w:r>
      <w:r>
        <w:rPr>
          <w:rFonts w:hint="eastAsia"/>
        </w:rPr>
        <w:t>生态植物种植：</w:t>
      </w:r>
      <w:r>
        <w:rPr>
          <w:rFonts w:hint="eastAsia"/>
          <w:lang w:eastAsia="zh-CN"/>
        </w:rPr>
        <w:t>对现状场地表土</w:t>
      </w:r>
      <w:r>
        <w:rPr>
          <w:rFonts w:hint="eastAsia"/>
        </w:rPr>
        <w:t>进行整理</w:t>
      </w:r>
      <w:r>
        <w:rPr>
          <w:rFonts w:hint="eastAsia"/>
          <w:lang w:eastAsia="zh-CN"/>
        </w:rPr>
        <w:t>，</w:t>
      </w:r>
      <w:r>
        <w:rPr>
          <w:rFonts w:hint="eastAsia"/>
        </w:rPr>
        <w:t>此部分整理的场地仅对土地进行翻松压实，不产生弃土；</w:t>
      </w:r>
      <w:r>
        <w:rPr>
          <w:rFonts w:hint="eastAsia"/>
          <w:lang w:eastAsia="zh-CN"/>
        </w:rPr>
        <w:t>混合河道淤泥（</w:t>
      </w:r>
      <w:r>
        <w:rPr>
          <w:rFonts w:hint="eastAsia"/>
          <w:lang w:val="en-US" w:eastAsia="zh-CN"/>
        </w:rPr>
        <w:t>2952</w:t>
      </w:r>
      <w:r>
        <w:rPr>
          <w:rFonts w:hint="eastAsia"/>
        </w:rPr>
        <w:t>m</w:t>
      </w:r>
      <w:r>
        <w:rPr>
          <w:vertAlign w:val="superscript"/>
        </w:rPr>
        <w:t>3</w:t>
      </w:r>
      <w:r>
        <w:rPr>
          <w:rFonts w:hint="eastAsia"/>
          <w:lang w:eastAsia="zh-CN"/>
        </w:rPr>
        <w:t>）</w:t>
      </w:r>
      <w:r>
        <w:rPr>
          <w:rFonts w:hint="eastAsia"/>
        </w:rPr>
        <w:t>，在原状土基础上填种。</w:t>
      </w:r>
    </w:p>
    <w:p>
      <w:pPr>
        <w:bidi w:val="0"/>
      </w:pPr>
      <w:r>
        <w:rPr>
          <w:rFonts w:hint="eastAsia"/>
          <w:lang w:val="en-US" w:eastAsia="zh-CN"/>
        </w:rPr>
        <w:t>4</w:t>
      </w:r>
      <w:r>
        <w:rPr>
          <w:rFonts w:hint="eastAsia"/>
        </w:rPr>
        <w:t>、河岸缓冲带生态建设</w:t>
      </w:r>
      <w:r>
        <w:rPr>
          <w:rFonts w:hint="eastAsia"/>
          <w:lang w:val="en-US" w:eastAsia="zh-CN"/>
        </w:rPr>
        <w:t>-</w:t>
      </w:r>
      <w:r>
        <w:rPr>
          <w:rFonts w:hint="eastAsia"/>
          <w:lang w:eastAsia="zh-CN"/>
        </w:rPr>
        <w:t>生态步道建设</w:t>
      </w:r>
      <w:r>
        <w:rPr>
          <w:rFonts w:hint="eastAsia"/>
        </w:rPr>
        <w:t>：对场地进行整理共计</w:t>
      </w:r>
      <w:r>
        <w:rPr>
          <w:rFonts w:hint="eastAsia"/>
          <w:lang w:val="en-US" w:eastAsia="zh-CN"/>
        </w:rPr>
        <w:t>565</w:t>
      </w:r>
      <w:r>
        <w:rPr>
          <w:rFonts w:hint="eastAsia"/>
        </w:rPr>
        <w:t>m</w:t>
      </w:r>
      <w:r>
        <w:rPr>
          <w:vertAlign w:val="superscript"/>
        </w:rPr>
        <w:t>2</w:t>
      </w:r>
      <w:r>
        <w:rPr>
          <w:rFonts w:hint="eastAsia"/>
        </w:rPr>
        <w:t>，此部分整理的场地仅对土地进行翻松压实，不产生弃土。</w:t>
      </w:r>
    </w:p>
    <w:p>
      <w:pPr>
        <w:bidi w:val="0"/>
      </w:pPr>
      <w:r>
        <w:rPr>
          <w:rFonts w:hint="eastAsia"/>
        </w:rPr>
        <w:t>根据上述初步估算，项目土石方平衡情况列表如下：</w:t>
      </w:r>
    </w:p>
    <w:p>
      <w:pPr>
        <w:bidi w:val="0"/>
        <w:sectPr>
          <w:pgSz w:w="11906" w:h="16838"/>
          <w:pgMar w:top="1701" w:right="1701" w:bottom="1701" w:left="1701" w:header="1020" w:footer="992" w:gutter="0"/>
          <w:cols w:space="720" w:num="1"/>
          <w:docGrid w:type="linesAndChars" w:linePitch="312" w:charSpace="0"/>
        </w:sectPr>
      </w:pPr>
    </w:p>
    <w:p>
      <w:pPr>
        <w:pStyle w:val="13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textAlignment w:val="auto"/>
        <w:rPr>
          <w:rFonts w:eastAsia="宋体"/>
          <w:b/>
          <w:color w:val="000000" w:themeColor="text1"/>
          <w14:textFill>
            <w14:solidFill>
              <w14:schemeClr w14:val="tx1"/>
            </w14:solidFill>
          </w14:textFill>
        </w:rPr>
      </w:pPr>
      <w:r>
        <w:rPr>
          <w:rFonts w:hint="eastAsia"/>
          <w:b/>
          <w:sz w:val="21"/>
          <w:szCs w:val="21"/>
        </w:rPr>
        <w:t>表</w:t>
      </w:r>
      <w:r>
        <w:rPr>
          <w:b/>
          <w:sz w:val="21"/>
          <w:szCs w:val="21"/>
        </w:rPr>
        <w:t>3</w:t>
      </w:r>
      <w:r>
        <w:rPr>
          <w:rFonts w:hint="eastAsia"/>
          <w:b/>
          <w:sz w:val="21"/>
          <w:szCs w:val="21"/>
          <w:lang w:val="en-US" w:eastAsia="zh-CN"/>
        </w:rPr>
        <w:t>.2-1</w:t>
      </w:r>
      <w:r>
        <w:rPr>
          <w:b/>
          <w:sz w:val="21"/>
          <w:szCs w:val="21"/>
        </w:rPr>
        <w:t xml:space="preserve">  </w:t>
      </w:r>
      <w:r>
        <w:rPr>
          <w:rFonts w:hint="eastAsia" w:eastAsia="宋体"/>
          <w:b/>
          <w:color w:val="000000" w:themeColor="text1"/>
          <w14:textFill>
            <w14:solidFill>
              <w14:schemeClr w14:val="tx1"/>
            </w14:solidFill>
          </w14:textFill>
        </w:rPr>
        <w:t>土石方平衡情况一览</w:t>
      </w:r>
      <w:r>
        <w:rPr>
          <w:rFonts w:eastAsia="宋体"/>
          <w:b/>
          <w:color w:val="000000" w:themeColor="text1"/>
          <w14:textFill>
            <w14:solidFill>
              <w14:schemeClr w14:val="tx1"/>
            </w14:solidFill>
          </w14:textFill>
        </w:rPr>
        <w:t>表</w:t>
      </w:r>
      <w:r>
        <w:rPr>
          <w:rFonts w:hint="eastAsia" w:eastAsia="宋体"/>
          <w:b/>
          <w:color w:val="000000" w:themeColor="text1"/>
          <w14:textFill>
            <w14:solidFill>
              <w14:schemeClr w14:val="tx1"/>
            </w14:solidFill>
          </w14:textFill>
        </w:rPr>
        <w:t>（单位：m</w:t>
      </w:r>
      <w:r>
        <w:rPr>
          <w:rFonts w:eastAsia="宋体"/>
          <w:b/>
          <w:color w:val="000000" w:themeColor="text1"/>
          <w:vertAlign w:val="superscript"/>
          <w14:textFill>
            <w14:solidFill>
              <w14:schemeClr w14:val="tx1"/>
            </w14:solidFill>
          </w14:textFill>
        </w:rPr>
        <w:t>3</w:t>
      </w:r>
      <w:r>
        <w:rPr>
          <w:rFonts w:hint="eastAsia" w:eastAsia="宋体"/>
          <w:b/>
          <w:color w:val="000000" w:themeColor="text1"/>
          <w14:textFill>
            <w14:solidFill>
              <w14:schemeClr w14:val="tx1"/>
            </w14:solidFill>
          </w14:textFill>
        </w:rPr>
        <w:t>）</w:t>
      </w:r>
    </w:p>
    <w:tbl>
      <w:tblPr>
        <w:tblStyle w:val="39"/>
        <w:tblW w:w="13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6"/>
        <w:gridCol w:w="1345"/>
        <w:gridCol w:w="1730"/>
        <w:gridCol w:w="1447"/>
        <w:gridCol w:w="1923"/>
        <w:gridCol w:w="1182"/>
        <w:gridCol w:w="1939"/>
        <w:gridCol w:w="2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2" w:hRule="atLeast"/>
          <w:jc w:val="center"/>
        </w:trPr>
        <w:tc>
          <w:tcPr>
            <w:tcW w:w="1256"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top"/>
              <w:rPr>
                <w:rFonts w:hint="default"/>
                <w:b/>
                <w:sz w:val="21"/>
                <w:szCs w:val="21"/>
              </w:rPr>
            </w:pPr>
            <w:r>
              <w:rPr>
                <w:rFonts w:hint="default"/>
                <w:b/>
                <w:sz w:val="21"/>
                <w:szCs w:val="21"/>
              </w:rPr>
              <w:t>序号</w:t>
            </w:r>
          </w:p>
        </w:tc>
        <w:tc>
          <w:tcPr>
            <w:tcW w:w="1345"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b/>
                <w:kern w:val="0"/>
                <w:sz w:val="21"/>
                <w:szCs w:val="21"/>
                <w:lang w:bidi="ar"/>
              </w:rPr>
            </w:pPr>
            <w:r>
              <w:rPr>
                <w:rFonts w:hint="eastAsia"/>
                <w:b/>
                <w:kern w:val="0"/>
                <w:sz w:val="21"/>
                <w:szCs w:val="21"/>
                <w:lang w:bidi="ar"/>
              </w:rPr>
              <w:t>所属工程</w:t>
            </w:r>
          </w:p>
        </w:tc>
        <w:tc>
          <w:tcPr>
            <w:tcW w:w="1730"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b/>
                <w:sz w:val="21"/>
                <w:szCs w:val="21"/>
              </w:rPr>
            </w:pPr>
            <w:r>
              <w:rPr>
                <w:rFonts w:hint="default"/>
                <w:b/>
                <w:kern w:val="0"/>
                <w:sz w:val="21"/>
                <w:szCs w:val="21"/>
                <w:lang w:bidi="ar"/>
              </w:rPr>
              <w:t>土方开挖</w:t>
            </w:r>
            <w:r>
              <w:rPr>
                <w:rFonts w:hint="eastAsia"/>
                <w:b/>
                <w:kern w:val="0"/>
                <w:sz w:val="21"/>
                <w:szCs w:val="21"/>
                <w:lang w:bidi="ar"/>
              </w:rPr>
              <w:t>（干方）</w:t>
            </w:r>
          </w:p>
        </w:tc>
        <w:tc>
          <w:tcPr>
            <w:tcW w:w="3370" w:type="dxa"/>
            <w:gridSpan w:val="2"/>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b/>
                <w:kern w:val="0"/>
                <w:sz w:val="21"/>
                <w:szCs w:val="21"/>
                <w:lang w:bidi="ar"/>
              </w:rPr>
            </w:pPr>
            <w:r>
              <w:rPr>
                <w:rFonts w:hint="default"/>
                <w:b/>
                <w:kern w:val="0"/>
                <w:sz w:val="21"/>
                <w:szCs w:val="21"/>
                <w:lang w:bidi="ar"/>
              </w:rPr>
              <w:t>土方</w:t>
            </w:r>
            <w:r>
              <w:rPr>
                <w:rFonts w:hint="eastAsia"/>
                <w:b/>
                <w:kern w:val="0"/>
                <w:sz w:val="21"/>
                <w:szCs w:val="21"/>
                <w:lang w:bidi="ar"/>
              </w:rPr>
              <w:t>回填（干方）</w:t>
            </w:r>
          </w:p>
        </w:tc>
        <w:tc>
          <w:tcPr>
            <w:tcW w:w="118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b/>
                <w:kern w:val="0"/>
                <w:sz w:val="21"/>
                <w:szCs w:val="21"/>
                <w:lang w:bidi="ar"/>
              </w:rPr>
            </w:pPr>
            <w:r>
              <w:rPr>
                <w:rFonts w:hint="default"/>
                <w:b/>
                <w:kern w:val="0"/>
                <w:sz w:val="21"/>
                <w:szCs w:val="21"/>
                <w:lang w:bidi="ar"/>
              </w:rPr>
              <w:t>土方</w:t>
            </w:r>
            <w:r>
              <w:rPr>
                <w:rFonts w:hint="eastAsia"/>
                <w:b/>
                <w:kern w:val="0"/>
                <w:sz w:val="21"/>
                <w:szCs w:val="21"/>
                <w:lang w:bidi="ar"/>
              </w:rPr>
              <w:t>回填（干方）（外购）</w:t>
            </w:r>
          </w:p>
        </w:tc>
        <w:tc>
          <w:tcPr>
            <w:tcW w:w="1939"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b/>
                <w:sz w:val="21"/>
                <w:szCs w:val="21"/>
              </w:rPr>
            </w:pPr>
            <w:r>
              <w:rPr>
                <w:rFonts w:hint="default"/>
                <w:b/>
                <w:kern w:val="0"/>
                <w:sz w:val="21"/>
                <w:szCs w:val="21"/>
                <w:lang w:bidi="ar"/>
              </w:rPr>
              <w:t>弃方</w:t>
            </w:r>
            <w:r>
              <w:rPr>
                <w:rFonts w:hint="eastAsia"/>
                <w:b/>
                <w:kern w:val="0"/>
                <w:sz w:val="21"/>
                <w:szCs w:val="21"/>
                <w:lang w:bidi="ar"/>
              </w:rPr>
              <w:t>（干方）</w:t>
            </w:r>
          </w:p>
        </w:tc>
        <w:tc>
          <w:tcPr>
            <w:tcW w:w="2467"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b/>
                <w:kern w:val="0"/>
                <w:sz w:val="21"/>
                <w:szCs w:val="21"/>
                <w:lang w:bidi="ar"/>
              </w:rPr>
            </w:pPr>
            <w:r>
              <w:rPr>
                <w:rFonts w:hint="eastAsia"/>
                <w:b/>
                <w:kern w:val="0"/>
                <w:sz w:val="21"/>
                <w:szCs w:val="21"/>
                <w:lang w:bidi="ar"/>
              </w:rPr>
              <w:t>外购土方（种植土、石笼块石、砂砾垫层等）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7" w:hRule="atLeast"/>
          <w:jc w:val="center"/>
        </w:trPr>
        <w:tc>
          <w:tcPr>
            <w:tcW w:w="1256"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top"/>
              <w:rPr>
                <w:rFonts w:hint="default"/>
                <w:sz w:val="21"/>
                <w:szCs w:val="21"/>
              </w:rPr>
            </w:pPr>
            <w:r>
              <w:rPr>
                <w:rFonts w:hint="default"/>
                <w:sz w:val="21"/>
                <w:szCs w:val="21"/>
              </w:rPr>
              <w:t>1</w:t>
            </w:r>
          </w:p>
        </w:tc>
        <w:tc>
          <w:tcPr>
            <w:tcW w:w="1345"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eastAsia="宋体"/>
                <w:kern w:val="0"/>
                <w:sz w:val="21"/>
                <w:szCs w:val="21"/>
                <w:lang w:eastAsia="zh-CN" w:bidi="ar"/>
              </w:rPr>
            </w:pPr>
            <w:r>
              <w:rPr>
                <w:rFonts w:hint="eastAsia"/>
                <w:kern w:val="0"/>
                <w:sz w:val="21"/>
                <w:szCs w:val="21"/>
                <w:lang w:eastAsia="zh-CN" w:bidi="ar"/>
              </w:rPr>
              <w:t>河道疏浚工程</w:t>
            </w:r>
          </w:p>
        </w:tc>
        <w:tc>
          <w:tcPr>
            <w:tcW w:w="1730" w:type="dxa"/>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sz w:val="21"/>
                <w:szCs w:val="21"/>
                <w:lang w:val="en-US" w:eastAsia="zh-CN"/>
              </w:rPr>
            </w:pPr>
            <w:r>
              <w:rPr>
                <w:rFonts w:hint="eastAsia"/>
                <w:sz w:val="21"/>
                <w:szCs w:val="21"/>
                <w:lang w:val="en-US" w:eastAsia="zh-CN"/>
              </w:rPr>
              <w:t>冲积物3598.5</w:t>
            </w:r>
          </w:p>
          <w:p>
            <w:pPr>
              <w:pStyle w:val="1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kern w:val="0"/>
                <w:sz w:val="21"/>
                <w:szCs w:val="21"/>
                <w:lang w:val="en-US" w:eastAsia="zh-CN" w:bidi="ar"/>
              </w:rPr>
            </w:pPr>
            <w:r>
              <w:rPr>
                <w:rFonts w:hint="eastAsia"/>
                <w:kern w:val="0"/>
                <w:sz w:val="21"/>
                <w:szCs w:val="21"/>
                <w:lang w:val="en-US" w:eastAsia="zh-CN" w:bidi="ar"/>
              </w:rPr>
              <w:t>河道淤泥4227</w:t>
            </w:r>
          </w:p>
          <w:p>
            <w:pPr>
              <w:pStyle w:val="1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sz w:val="21"/>
                <w:szCs w:val="21"/>
                <w:lang w:val="en-US" w:eastAsia="zh-CN"/>
              </w:rPr>
            </w:pPr>
            <w:r>
              <w:rPr>
                <w:rFonts w:hint="eastAsia"/>
                <w:kern w:val="0"/>
                <w:sz w:val="21"/>
                <w:szCs w:val="21"/>
                <w:lang w:val="en-US" w:eastAsia="zh-CN" w:bidi="ar"/>
              </w:rPr>
              <w:t>岸坡垃圾1625</w:t>
            </w:r>
          </w:p>
        </w:tc>
        <w:tc>
          <w:tcPr>
            <w:tcW w:w="3370" w:type="dxa"/>
            <w:gridSpan w:val="2"/>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eastAsia="宋体"/>
                <w:kern w:val="0"/>
                <w:sz w:val="21"/>
                <w:szCs w:val="21"/>
                <w:lang w:val="en-US" w:eastAsia="zh-CN" w:bidi="ar"/>
              </w:rPr>
            </w:pPr>
            <w:r>
              <w:rPr>
                <w:rFonts w:hint="eastAsia"/>
                <w:kern w:val="0"/>
                <w:sz w:val="21"/>
                <w:szCs w:val="21"/>
                <w:lang w:val="en-US" w:eastAsia="zh-CN" w:bidi="ar"/>
              </w:rPr>
              <w:t>0</w:t>
            </w:r>
          </w:p>
        </w:tc>
        <w:tc>
          <w:tcPr>
            <w:tcW w:w="118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0</w:t>
            </w:r>
          </w:p>
        </w:tc>
        <w:tc>
          <w:tcPr>
            <w:tcW w:w="1939"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kern w:val="0"/>
                <w:sz w:val="21"/>
                <w:szCs w:val="21"/>
                <w:lang w:val="en-US" w:eastAsia="zh-CN" w:bidi="ar"/>
              </w:rPr>
            </w:pPr>
            <w:r>
              <w:rPr>
                <w:rFonts w:hint="eastAsia"/>
                <w:kern w:val="0"/>
                <w:sz w:val="21"/>
                <w:szCs w:val="21"/>
                <w:lang w:val="en-US" w:eastAsia="zh-CN" w:bidi="ar"/>
              </w:rPr>
              <w:t>冲积物3598.5</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kern w:val="0"/>
                <w:sz w:val="21"/>
                <w:szCs w:val="21"/>
                <w:lang w:val="en-US" w:eastAsia="zh-CN" w:bidi="ar"/>
              </w:rPr>
            </w:pPr>
            <w:r>
              <w:rPr>
                <w:rFonts w:hint="eastAsia"/>
                <w:kern w:val="0"/>
                <w:sz w:val="21"/>
                <w:szCs w:val="21"/>
                <w:lang w:val="en-US" w:eastAsia="zh-CN" w:bidi="ar"/>
              </w:rPr>
              <w:t>河道淤泥1275</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岸坡垃圾1625</w:t>
            </w:r>
          </w:p>
        </w:tc>
        <w:tc>
          <w:tcPr>
            <w:tcW w:w="2467"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eastAsia="宋体"/>
                <w:kern w:val="0"/>
                <w:sz w:val="21"/>
                <w:szCs w:val="21"/>
                <w:lang w:val="en-US" w:eastAsia="zh-CN" w:bidi="ar"/>
              </w:rPr>
            </w:pPr>
            <w:r>
              <w:rPr>
                <w:rFonts w:hint="eastAsia"/>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256"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top"/>
              <w:rPr>
                <w:rFonts w:hint="default"/>
                <w:sz w:val="21"/>
                <w:szCs w:val="21"/>
              </w:rPr>
            </w:pPr>
            <w:r>
              <w:rPr>
                <w:rFonts w:hint="eastAsia"/>
                <w:sz w:val="21"/>
                <w:szCs w:val="21"/>
              </w:rPr>
              <w:t>2</w:t>
            </w:r>
          </w:p>
        </w:tc>
        <w:tc>
          <w:tcPr>
            <w:tcW w:w="1345"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bidi="ar"/>
              </w:rPr>
              <w:t>河岸岸堤建设</w:t>
            </w:r>
          </w:p>
        </w:tc>
        <w:tc>
          <w:tcPr>
            <w:tcW w:w="1730"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2476.5</w:t>
            </w:r>
          </w:p>
        </w:tc>
        <w:tc>
          <w:tcPr>
            <w:tcW w:w="3370" w:type="dxa"/>
            <w:gridSpan w:val="2"/>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2172</w:t>
            </w:r>
            <w:r>
              <w:rPr>
                <w:rFonts w:hint="eastAsia"/>
                <w:kern w:val="0"/>
                <w:sz w:val="21"/>
                <w:szCs w:val="21"/>
                <w:lang w:bidi="ar"/>
              </w:rPr>
              <w:t>（工程自身回填）</w:t>
            </w:r>
          </w:p>
        </w:tc>
        <w:tc>
          <w:tcPr>
            <w:tcW w:w="1182"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1376</w:t>
            </w:r>
          </w:p>
        </w:tc>
        <w:tc>
          <w:tcPr>
            <w:tcW w:w="1939"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304.5（生态植物种植）</w:t>
            </w:r>
          </w:p>
        </w:tc>
        <w:tc>
          <w:tcPr>
            <w:tcW w:w="2467"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kern w:val="0"/>
                <w:sz w:val="21"/>
                <w:szCs w:val="21"/>
                <w:lang w:val="en-US" w:eastAsia="zh-CN" w:bidi="ar"/>
              </w:rPr>
            </w:pPr>
            <w:r>
              <w:rPr>
                <w:rFonts w:hint="eastAsia"/>
                <w:bCs/>
                <w:color w:val="000000" w:themeColor="text1"/>
                <w:sz w:val="21"/>
                <w:szCs w:val="20"/>
                <w:lang w:val="en-US" w:eastAsia="zh-CN"/>
                <w14:textFill>
                  <w14:solidFill>
                    <w14:schemeClr w14:val="tx1"/>
                  </w14:solidFill>
                </w14:textFill>
              </w:rPr>
              <w:t>1376</w:t>
            </w:r>
            <w:r>
              <w:rPr>
                <w:rFonts w:hint="eastAsia"/>
                <w:bCs/>
                <w:color w:val="000000" w:themeColor="text1"/>
                <w:sz w:val="21"/>
                <w:szCs w:val="20"/>
                <w14:textFill>
                  <w14:solidFill>
                    <w14:schemeClr w14:val="tx1"/>
                  </w14:solidFill>
                </w14:textFill>
              </w:rPr>
              <w:t>（石笼料）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256"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top"/>
              <w:rPr>
                <w:rFonts w:hint="default"/>
                <w:sz w:val="21"/>
                <w:szCs w:val="21"/>
              </w:rPr>
            </w:pPr>
            <w:r>
              <w:rPr>
                <w:rFonts w:hint="eastAsia"/>
                <w:sz w:val="21"/>
                <w:szCs w:val="21"/>
              </w:rPr>
              <w:t>3</w:t>
            </w:r>
          </w:p>
        </w:tc>
        <w:tc>
          <w:tcPr>
            <w:tcW w:w="1345"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eastAsia="宋体"/>
                <w:kern w:val="0"/>
                <w:sz w:val="21"/>
                <w:szCs w:val="21"/>
                <w:lang w:eastAsia="zh-CN" w:bidi="ar"/>
              </w:rPr>
            </w:pPr>
            <w:r>
              <w:rPr>
                <w:rFonts w:hint="eastAsia"/>
                <w:kern w:val="0"/>
                <w:sz w:val="21"/>
                <w:szCs w:val="21"/>
                <w:lang w:eastAsia="zh-CN" w:bidi="ar"/>
              </w:rPr>
              <w:t>河岸缓冲带生态建设</w:t>
            </w:r>
            <w:r>
              <w:rPr>
                <w:rFonts w:hint="eastAsia"/>
                <w:kern w:val="0"/>
                <w:sz w:val="21"/>
                <w:szCs w:val="21"/>
                <w:lang w:val="en-US" w:eastAsia="zh-CN" w:bidi="ar"/>
              </w:rPr>
              <w:t>-</w:t>
            </w:r>
            <w:r>
              <w:rPr>
                <w:rFonts w:hint="eastAsia"/>
                <w:kern w:val="0"/>
                <w:sz w:val="21"/>
                <w:szCs w:val="21"/>
                <w:lang w:eastAsia="zh-CN" w:bidi="ar"/>
              </w:rPr>
              <w:t>生态植物种植</w:t>
            </w:r>
          </w:p>
        </w:tc>
        <w:tc>
          <w:tcPr>
            <w:tcW w:w="1730"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551.5</w:t>
            </w:r>
          </w:p>
        </w:tc>
        <w:tc>
          <w:tcPr>
            <w:tcW w:w="144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551.5（工程自身回填）</w:t>
            </w:r>
          </w:p>
        </w:tc>
        <w:tc>
          <w:tcPr>
            <w:tcW w:w="1923"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kern w:val="0"/>
                <w:sz w:val="21"/>
                <w:szCs w:val="21"/>
                <w:lang w:val="en-US" w:eastAsia="zh-CN" w:bidi="ar"/>
              </w:rPr>
            </w:pPr>
            <w:r>
              <w:rPr>
                <w:rFonts w:hint="eastAsia"/>
                <w:kern w:val="0"/>
                <w:sz w:val="21"/>
                <w:szCs w:val="21"/>
                <w:lang w:val="en-US" w:eastAsia="zh-CN" w:bidi="ar"/>
              </w:rPr>
              <w:t>2952（河道淤泥）、304.5（河岸岸堤建设工程）</w:t>
            </w:r>
          </w:p>
        </w:tc>
        <w:tc>
          <w:tcPr>
            <w:tcW w:w="118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kern w:val="0"/>
                <w:sz w:val="21"/>
                <w:szCs w:val="21"/>
                <w:lang w:bidi="ar"/>
              </w:rPr>
            </w:pPr>
            <w:r>
              <w:rPr>
                <w:rFonts w:hint="eastAsia"/>
                <w:kern w:val="0"/>
                <w:sz w:val="21"/>
                <w:szCs w:val="21"/>
                <w:lang w:bidi="ar"/>
              </w:rPr>
              <w:t>0</w:t>
            </w:r>
          </w:p>
        </w:tc>
        <w:tc>
          <w:tcPr>
            <w:tcW w:w="1939"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kern w:val="0"/>
                <w:sz w:val="21"/>
                <w:szCs w:val="21"/>
                <w:lang w:bidi="ar"/>
              </w:rPr>
            </w:pPr>
            <w:r>
              <w:rPr>
                <w:rFonts w:hint="eastAsia"/>
                <w:kern w:val="0"/>
                <w:sz w:val="21"/>
                <w:szCs w:val="21"/>
                <w:lang w:bidi="ar"/>
              </w:rPr>
              <w:t>0</w:t>
            </w:r>
          </w:p>
        </w:tc>
        <w:tc>
          <w:tcPr>
            <w:tcW w:w="2467"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256"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top"/>
              <w:rPr>
                <w:rFonts w:hint="default"/>
                <w:sz w:val="21"/>
                <w:szCs w:val="21"/>
              </w:rPr>
            </w:pPr>
            <w:r>
              <w:rPr>
                <w:rFonts w:hint="eastAsia"/>
                <w:sz w:val="21"/>
                <w:szCs w:val="21"/>
              </w:rPr>
              <w:t>4</w:t>
            </w:r>
          </w:p>
        </w:tc>
        <w:tc>
          <w:tcPr>
            <w:tcW w:w="1345"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eastAsia="宋体"/>
                <w:kern w:val="0"/>
                <w:sz w:val="21"/>
                <w:szCs w:val="21"/>
                <w:lang w:eastAsia="zh-CN" w:bidi="ar"/>
              </w:rPr>
            </w:pPr>
            <w:r>
              <w:rPr>
                <w:rFonts w:hint="eastAsia"/>
                <w:kern w:val="0"/>
                <w:sz w:val="21"/>
                <w:szCs w:val="21"/>
                <w:lang w:bidi="ar"/>
              </w:rPr>
              <w:t>河岸缓冲带生态建设</w:t>
            </w:r>
            <w:r>
              <w:rPr>
                <w:rFonts w:hint="eastAsia"/>
                <w:kern w:val="0"/>
                <w:sz w:val="21"/>
                <w:szCs w:val="21"/>
                <w:lang w:val="en-US" w:eastAsia="zh-CN" w:bidi="ar"/>
              </w:rPr>
              <w:t>-</w:t>
            </w:r>
            <w:r>
              <w:rPr>
                <w:rFonts w:hint="eastAsia"/>
                <w:kern w:val="0"/>
                <w:sz w:val="21"/>
                <w:szCs w:val="21"/>
                <w:lang w:bidi="ar"/>
              </w:rPr>
              <w:t>生态</w:t>
            </w:r>
            <w:r>
              <w:rPr>
                <w:rFonts w:hint="eastAsia"/>
                <w:kern w:val="0"/>
                <w:sz w:val="21"/>
                <w:szCs w:val="21"/>
                <w:lang w:eastAsia="zh-CN" w:bidi="ar"/>
              </w:rPr>
              <w:t>步道建设</w:t>
            </w:r>
          </w:p>
        </w:tc>
        <w:tc>
          <w:tcPr>
            <w:tcW w:w="1730"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565</w:t>
            </w:r>
          </w:p>
        </w:tc>
        <w:tc>
          <w:tcPr>
            <w:tcW w:w="3370" w:type="dxa"/>
            <w:gridSpan w:val="2"/>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kern w:val="0"/>
                <w:sz w:val="21"/>
                <w:szCs w:val="21"/>
                <w:lang w:bidi="ar"/>
              </w:rPr>
            </w:pPr>
            <w:r>
              <w:rPr>
                <w:rFonts w:hint="eastAsia"/>
                <w:kern w:val="0"/>
                <w:sz w:val="21"/>
                <w:szCs w:val="21"/>
                <w:lang w:val="en-US" w:eastAsia="zh-CN" w:bidi="ar"/>
              </w:rPr>
              <w:t>565</w:t>
            </w:r>
            <w:r>
              <w:rPr>
                <w:rFonts w:hint="eastAsia"/>
                <w:kern w:val="0"/>
                <w:sz w:val="21"/>
                <w:szCs w:val="21"/>
                <w:lang w:bidi="ar"/>
              </w:rPr>
              <w:t>（工程自身回填）</w:t>
            </w:r>
          </w:p>
        </w:tc>
        <w:tc>
          <w:tcPr>
            <w:tcW w:w="118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kern w:val="0"/>
                <w:sz w:val="21"/>
                <w:szCs w:val="21"/>
                <w:lang w:bidi="ar"/>
              </w:rPr>
            </w:pPr>
            <w:r>
              <w:rPr>
                <w:rFonts w:hint="eastAsia"/>
                <w:kern w:val="0"/>
                <w:sz w:val="21"/>
                <w:szCs w:val="21"/>
                <w:lang w:bidi="ar"/>
              </w:rPr>
              <w:t>0</w:t>
            </w:r>
          </w:p>
        </w:tc>
        <w:tc>
          <w:tcPr>
            <w:tcW w:w="1939"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kern w:val="0"/>
                <w:sz w:val="21"/>
                <w:szCs w:val="21"/>
                <w:lang w:bidi="ar"/>
              </w:rPr>
            </w:pPr>
            <w:r>
              <w:rPr>
                <w:rFonts w:hint="eastAsia"/>
                <w:kern w:val="0"/>
                <w:sz w:val="21"/>
                <w:szCs w:val="21"/>
                <w:lang w:bidi="ar"/>
              </w:rPr>
              <w:t>0</w:t>
            </w:r>
          </w:p>
        </w:tc>
        <w:tc>
          <w:tcPr>
            <w:tcW w:w="2467"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eastAsia="宋体"/>
                <w:kern w:val="0"/>
                <w:sz w:val="21"/>
                <w:szCs w:val="21"/>
                <w:lang w:eastAsia="zh-CN" w:bidi="ar"/>
              </w:rPr>
            </w:pPr>
            <w:r>
              <w:rPr>
                <w:rFonts w:hint="eastAsia"/>
                <w:bCs/>
                <w:color w:val="000000" w:themeColor="text1"/>
                <w:sz w:val="21"/>
                <w:szCs w:val="20"/>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01" w:type="dxa"/>
            <w:gridSpan w:val="2"/>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kern w:val="0"/>
                <w:sz w:val="21"/>
                <w:szCs w:val="21"/>
                <w:lang w:bidi="ar"/>
              </w:rPr>
            </w:pPr>
            <w:r>
              <w:rPr>
                <w:rFonts w:hint="eastAsia"/>
                <w:kern w:val="0"/>
                <w:sz w:val="21"/>
                <w:szCs w:val="21"/>
                <w:lang w:bidi="ar"/>
              </w:rPr>
              <w:t>合计</w:t>
            </w:r>
          </w:p>
        </w:tc>
        <w:tc>
          <w:tcPr>
            <w:tcW w:w="1730"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13043.5</w:t>
            </w:r>
          </w:p>
        </w:tc>
        <w:tc>
          <w:tcPr>
            <w:tcW w:w="3370" w:type="dxa"/>
            <w:gridSpan w:val="2"/>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6545</w:t>
            </w:r>
          </w:p>
        </w:tc>
        <w:tc>
          <w:tcPr>
            <w:tcW w:w="1182"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1376</w:t>
            </w:r>
          </w:p>
        </w:tc>
        <w:tc>
          <w:tcPr>
            <w:tcW w:w="1939"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6498.5</w:t>
            </w:r>
          </w:p>
        </w:tc>
        <w:tc>
          <w:tcPr>
            <w:tcW w:w="2467" w:type="dxa"/>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1376</w:t>
            </w:r>
          </w:p>
        </w:tc>
      </w:tr>
    </w:tbl>
    <w:p>
      <w:pPr>
        <w:spacing w:before="156" w:beforeLines="50"/>
        <w:rPr>
          <w:rFonts w:hint="eastAsia"/>
          <w:color w:val="auto"/>
        </w:rPr>
      </w:pPr>
      <w:r>
        <w:rPr>
          <w:rFonts w:hint="eastAsia"/>
        </w:rPr>
        <w:t>根据上表核算，</w:t>
      </w:r>
      <w:r>
        <w:rPr>
          <w:rFonts w:hint="eastAsia"/>
          <w:lang w:eastAsia="zh-CN"/>
        </w:rPr>
        <w:t>河道疏浚</w:t>
      </w:r>
      <w:r>
        <w:rPr>
          <w:rFonts w:hint="eastAsia"/>
        </w:rPr>
        <w:t>挖方产生弃方</w:t>
      </w:r>
      <w:r>
        <w:rPr>
          <w:rFonts w:hint="eastAsia"/>
          <w:lang w:val="en-US" w:eastAsia="zh-CN"/>
        </w:rPr>
        <w:t>6498.5m</w:t>
      </w:r>
      <w:r>
        <w:rPr>
          <w:rFonts w:hint="eastAsia"/>
          <w:vertAlign w:val="superscript"/>
          <w:lang w:val="en-US" w:eastAsia="zh-CN"/>
        </w:rPr>
        <w:t>3</w:t>
      </w:r>
      <w:r>
        <w:rPr>
          <w:rFonts w:hint="eastAsia"/>
          <w:vertAlign w:val="baseline"/>
          <w:lang w:val="en-US" w:eastAsia="zh-CN"/>
        </w:rPr>
        <w:t>，其中河道淤泥1275</w:t>
      </w:r>
      <w:r>
        <w:t>m</w:t>
      </w:r>
      <w:r>
        <w:rPr>
          <w:vertAlign w:val="superscript"/>
        </w:rPr>
        <w:t>3</w:t>
      </w:r>
      <w:r>
        <w:rPr>
          <w:rFonts w:hint="eastAsia"/>
          <w:vertAlign w:val="baseline"/>
          <w:lang w:val="en-US" w:eastAsia="zh-CN"/>
        </w:rPr>
        <w:t>用于河滩地低洼地区回填（占地3349m</w:t>
      </w:r>
      <w:r>
        <w:rPr>
          <w:rFonts w:hint="eastAsia"/>
          <w:vertAlign w:val="superscript"/>
          <w:lang w:val="en-US" w:eastAsia="zh-CN"/>
        </w:rPr>
        <w:t>2</w:t>
      </w:r>
      <w:r>
        <w:rPr>
          <w:rFonts w:hint="eastAsia"/>
          <w:vertAlign w:val="baseline"/>
          <w:lang w:val="en-US" w:eastAsia="zh-CN"/>
        </w:rPr>
        <w:t>，回填高度0.4~0.9m），河流冲积物3598.5</w:t>
      </w:r>
      <w:r>
        <w:rPr>
          <w:rFonts w:hint="eastAsia"/>
          <w:lang w:val="en-US" w:eastAsia="zh-CN"/>
        </w:rPr>
        <w:t>m</w:t>
      </w:r>
      <w:r>
        <w:rPr>
          <w:rFonts w:hint="eastAsia"/>
          <w:vertAlign w:val="superscript"/>
          <w:lang w:val="en-US" w:eastAsia="zh-CN"/>
        </w:rPr>
        <w:t>3</w:t>
      </w:r>
      <w:r>
        <w:rPr>
          <w:rFonts w:hint="eastAsia"/>
          <w:vertAlign w:val="baseline"/>
          <w:lang w:val="en-US" w:eastAsia="zh-CN"/>
        </w:rPr>
        <w:t>用于</w:t>
      </w:r>
      <w:r>
        <w:rPr>
          <w:rFonts w:hint="eastAsia"/>
          <w:vertAlign w:val="baseline"/>
        </w:rPr>
        <w:t>附近村镇乡路垫道</w:t>
      </w:r>
      <w:r>
        <w:rPr>
          <w:rFonts w:hint="eastAsia"/>
          <w:vertAlign w:val="baseline"/>
          <w:lang w:eastAsia="zh-CN"/>
        </w:rPr>
        <w:t>；生态护岸挖方</w:t>
      </w:r>
      <w:r>
        <w:rPr>
          <w:rFonts w:hint="eastAsia"/>
          <w:vertAlign w:val="baseline"/>
          <w:lang w:val="en-US" w:eastAsia="zh-CN"/>
        </w:rPr>
        <w:t>2476.5</w:t>
      </w:r>
      <w:r>
        <w:t>m</w:t>
      </w:r>
      <w:r>
        <w:rPr>
          <w:vertAlign w:val="superscript"/>
        </w:rPr>
        <w:t>3</w:t>
      </w:r>
      <w:r>
        <w:rPr>
          <w:rFonts w:hint="eastAsia"/>
        </w:rPr>
        <w:t>回填于</w:t>
      </w:r>
      <w:r>
        <w:rPr>
          <w:rFonts w:hint="eastAsia"/>
          <w:lang w:eastAsia="zh-CN"/>
        </w:rPr>
        <w:t>岸堤建设工程及河岸缓冲带建设工程用土</w:t>
      </w:r>
      <w:r>
        <w:rPr>
          <w:rFonts w:hint="eastAsia"/>
        </w:rPr>
        <w:t>，</w:t>
      </w:r>
      <w:r>
        <w:rPr>
          <w:rFonts w:hint="eastAsia"/>
          <w:color w:val="auto"/>
        </w:rPr>
        <w:t>不产生弃方；</w:t>
      </w:r>
      <w:r>
        <w:rPr>
          <w:rFonts w:hint="eastAsia"/>
          <w:color w:val="auto"/>
          <w:lang w:eastAsia="zh-CN"/>
        </w:rPr>
        <w:t>生态步道</w:t>
      </w:r>
      <w:r>
        <w:rPr>
          <w:rFonts w:hint="eastAsia"/>
          <w:color w:val="auto"/>
        </w:rPr>
        <w:t>挖方全部用于</w:t>
      </w:r>
      <w:r>
        <w:rPr>
          <w:rFonts w:hint="eastAsia"/>
          <w:color w:val="auto"/>
          <w:lang w:eastAsia="zh-CN"/>
        </w:rPr>
        <w:t>工程</w:t>
      </w:r>
      <w:r>
        <w:rPr>
          <w:rFonts w:hint="eastAsia"/>
          <w:color w:val="auto"/>
        </w:rPr>
        <w:t>回填，不产生弃方。因此，经初步土石方平衡估算，项目不产生弃土。</w:t>
      </w:r>
    </w:p>
    <w:p>
      <w:pPr>
        <w:keepNext w:val="0"/>
        <w:keepLines w:val="0"/>
        <w:pageBreakBefore w:val="0"/>
        <w:widowControl w:val="0"/>
        <w:kinsoku/>
        <w:wordWrap/>
        <w:overflowPunct/>
        <w:topLinePunct w:val="0"/>
        <w:autoSpaceDE/>
        <w:autoSpaceDN/>
        <w:bidi w:val="0"/>
        <w:adjustRightInd w:val="0"/>
        <w:snapToGrid w:val="0"/>
        <w:textAlignment w:val="auto"/>
        <w:rPr>
          <w:rFonts w:hint="eastAsia"/>
          <w:b/>
          <w:color w:val="0000FF"/>
          <w:sz w:val="21"/>
          <w:szCs w:val="21"/>
        </w:rPr>
      </w:pPr>
      <w:r>
        <w:rPr>
          <w:rFonts w:hint="eastAsia"/>
          <w:color w:val="auto"/>
        </w:rPr>
        <w:t>本项目开挖表土及土石方位于河流两侧，长期受地表径流、支持毛细水等冲刷，表土及土石方中的可溶性污染物含量极低，在本项目短暂的建设过程中，表土和土石方的短期堆存，表土和土石方中的少量污染物受自然降雨浸溶后的污染物的量极少，不会导致区域内的土壤和地下水污染。项目土石方回填采用原位回填方式，土石方已在原地长期存在多年，未导致区域地下水质量发生明显不达标现象，因此本项目原位回填后，不会对区域</w:t>
      </w:r>
      <w:r>
        <w:rPr>
          <w:rFonts w:hint="eastAsia"/>
          <w:color w:val="auto"/>
          <w:lang w:eastAsia="zh-CN"/>
        </w:rPr>
        <w:t>环境</w:t>
      </w:r>
      <w:r>
        <w:rPr>
          <w:rFonts w:hint="eastAsia"/>
          <w:color w:val="auto"/>
        </w:rPr>
        <w:t>产生不利影响。</w:t>
      </w:r>
    </w:p>
    <w:p>
      <w:pPr>
        <w:pStyle w:val="6"/>
        <w:keepNext/>
        <w:keepLines/>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b/>
          <w:highlight w:val="none"/>
          <w:lang w:val="en-US" w:eastAsia="zh-CN"/>
        </w:rPr>
        <w:sectPr>
          <w:pgSz w:w="16838" w:h="11906" w:orient="landscape"/>
          <w:pgMar w:top="1701" w:right="1701" w:bottom="1701" w:left="1701" w:header="1020" w:footer="992" w:gutter="0"/>
          <w:cols w:space="720" w:num="1"/>
          <w:docGrid w:type="linesAndChars" w:linePitch="312" w:charSpace="0"/>
        </w:sectPr>
      </w:pPr>
    </w:p>
    <w:p>
      <w:pPr>
        <w:pStyle w:val="6"/>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highlight w:val="none"/>
          <w:lang w:val="en-US" w:eastAsia="zh-CN"/>
        </w:rPr>
      </w:pPr>
      <w:bookmarkStart w:id="279" w:name="_Toc30064"/>
      <w:r>
        <w:rPr>
          <w:rFonts w:hint="eastAsia" w:ascii="Times New Roman" w:hAnsi="Times New Roman" w:eastAsia="宋体" w:cs="Times New Roman"/>
          <w:b/>
          <w:highlight w:val="none"/>
          <w:lang w:val="en-US" w:eastAsia="zh-CN"/>
        </w:rPr>
        <w:t>3.2.</w:t>
      </w:r>
      <w:r>
        <w:rPr>
          <w:rFonts w:hint="eastAsia" w:cs="Times New Roman"/>
          <w:b/>
          <w:highlight w:val="none"/>
          <w:lang w:val="en-US" w:eastAsia="zh-CN"/>
        </w:rPr>
        <w:t>5施工进度</w:t>
      </w:r>
      <w:bookmarkEnd w:id="27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为保证工程早日发挥效益，可分段同时开工。</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工程施工应尽量避开冬季、雨季施工。根据工程区的自然条件、施工特性、施工强度和相关定额，确定施工进度。根据关键性工程的施工期和施工程序，协调平衡其他工程的施工进度，使整个工程前后兼顾、相互衔接、均衡生产，尽可能合理的使用资金、劳力、设备、材料，在保证质量和施工安全的前提下，早日建成使用，发挥效益。</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由于项目设计</w:t>
      </w:r>
      <w:r>
        <w:rPr>
          <w:rFonts w:hint="eastAsia"/>
          <w:color w:val="000000" w:themeColor="text1"/>
          <w:lang w:eastAsia="zh-CN"/>
          <w14:textFill>
            <w14:solidFill>
              <w14:schemeClr w14:val="tx1"/>
            </w14:solidFill>
          </w14:textFill>
        </w:rPr>
        <w:t>施工</w:t>
      </w:r>
      <w:r>
        <w:rPr>
          <w:rFonts w:hint="eastAsia"/>
          <w:color w:val="000000" w:themeColor="text1"/>
          <w14:textFill>
            <w14:solidFill>
              <w14:schemeClr w14:val="tx1"/>
            </w14:solidFill>
          </w14:textFill>
        </w:rPr>
        <w:t>河段较长，全部工程不可能在短期内实施，结合具体工程条件，初步拟定项目总工期为</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个月。</w:t>
      </w:r>
    </w:p>
    <w:p>
      <w:pPr>
        <w:pStyle w:val="5"/>
        <w:bidi w:val="0"/>
        <w:rPr>
          <w:rFonts w:hint="default" w:eastAsia="宋体"/>
          <w:lang w:val="en-US" w:eastAsia="zh-CN"/>
        </w:rPr>
      </w:pPr>
      <w:bookmarkStart w:id="280" w:name="_Toc27903"/>
      <w:r>
        <w:rPr>
          <w:rFonts w:hint="eastAsia"/>
          <w:lang w:val="en-US" w:eastAsia="zh-CN"/>
        </w:rPr>
        <w:t>3.3施工方案</w:t>
      </w:r>
      <w:bookmarkEnd w:id="280"/>
    </w:p>
    <w:p>
      <w:pPr>
        <w:pStyle w:val="6"/>
        <w:bidi w:val="0"/>
      </w:pPr>
      <w:bookmarkStart w:id="281" w:name="_Toc10176"/>
      <w:r>
        <w:rPr>
          <w:rFonts w:hint="eastAsia"/>
          <w:lang w:val="en-US" w:eastAsia="zh-CN"/>
        </w:rPr>
        <w:t>3.3.1</w:t>
      </w:r>
      <w:r>
        <w:rPr>
          <w:rFonts w:hint="eastAsia"/>
        </w:rPr>
        <w:t>施工导流</w:t>
      </w:r>
      <w:bookmarkEnd w:id="281"/>
    </w:p>
    <w:p>
      <w:pPr>
        <w:bidi w:val="0"/>
      </w:pPr>
      <w:r>
        <w:rPr>
          <w:rFonts w:hint="eastAsia"/>
          <w:lang w:eastAsia="zh-CN"/>
        </w:rPr>
        <w:t>（</w:t>
      </w:r>
      <w:r>
        <w:rPr>
          <w:rFonts w:hint="eastAsia"/>
          <w:lang w:val="en-US" w:eastAsia="zh-CN"/>
        </w:rPr>
        <w:t>1</w:t>
      </w:r>
      <w:r>
        <w:rPr>
          <w:rFonts w:hint="eastAsia"/>
          <w:lang w:eastAsia="zh-CN"/>
        </w:rPr>
        <w:t>）</w:t>
      </w:r>
      <w:r>
        <w:rPr>
          <w:rFonts w:hint="eastAsia"/>
        </w:rPr>
        <w:t>施工导流</w:t>
      </w:r>
    </w:p>
    <w:p>
      <w:r>
        <w:t>主体工程施工安排在非汛期施工。</w:t>
      </w:r>
    </w:p>
    <w:p>
      <w:r>
        <w:rPr>
          <w:rFonts w:hint="eastAsia"/>
        </w:rPr>
        <w:t>项目拟治理修复</w:t>
      </w:r>
      <w:r>
        <w:t>河段</w:t>
      </w:r>
      <w:r>
        <w:rPr>
          <w:rFonts w:hint="eastAsia"/>
        </w:rPr>
        <w:t>涉水工程主要是</w:t>
      </w:r>
      <w:r>
        <w:rPr>
          <w:rFonts w:hint="eastAsia"/>
          <w:lang w:eastAsia="zh-CN"/>
        </w:rPr>
        <w:t>河流清淤工程</w:t>
      </w:r>
      <w:r>
        <w:rPr>
          <w:rFonts w:hint="eastAsia"/>
        </w:rPr>
        <w:t>。施工前，在</w:t>
      </w:r>
      <w:r>
        <w:t>距现状主槽较远的岸坡先进行基础开挖和岸坡防护施工，紧邻现状主槽的岸坡，利用基坑开挖料在基坑外侧布置</w:t>
      </w:r>
      <w:r>
        <w:rPr>
          <w:rFonts w:hint="eastAsia"/>
        </w:rPr>
        <w:t>围堰加管道输水导流</w:t>
      </w:r>
      <w:r>
        <w:t>。</w:t>
      </w:r>
    </w:p>
    <w:p>
      <w:pPr>
        <w:bidi w:val="0"/>
      </w:pPr>
      <w:r>
        <w:rPr>
          <w:rFonts w:hint="eastAsia"/>
          <w:lang w:eastAsia="zh-CN"/>
        </w:rPr>
        <w:t>（</w:t>
      </w:r>
      <w:r>
        <w:rPr>
          <w:rFonts w:hint="eastAsia"/>
          <w:lang w:val="en-US" w:eastAsia="zh-CN"/>
        </w:rPr>
        <w:t>2</w:t>
      </w:r>
      <w:r>
        <w:rPr>
          <w:rFonts w:hint="eastAsia"/>
          <w:lang w:eastAsia="zh-CN"/>
        </w:rPr>
        <w:t>）</w:t>
      </w:r>
      <w:r>
        <w:rPr>
          <w:rFonts w:hint="eastAsia"/>
        </w:rPr>
        <w:t>施工围堰</w:t>
      </w:r>
    </w:p>
    <w:p>
      <w:pPr>
        <w:bidi w:val="0"/>
        <w:rPr>
          <w:rFonts w:hint="eastAsia"/>
          <w:spacing w:val="-4"/>
        </w:rPr>
      </w:pPr>
      <w:r>
        <w:rPr>
          <w:rFonts w:hint="eastAsia"/>
          <w:spacing w:val="-4"/>
        </w:rPr>
        <w:t>施工时利用开挖的砂卵石方沿河堆置围堰，围堰顶宽2m，上下游侧均放坡，高度1.5m，坡比1：2。</w:t>
      </w:r>
    </w:p>
    <w:p>
      <w:pPr>
        <w:pStyle w:val="6"/>
        <w:spacing w:before="0" w:beforeLines="0"/>
        <w:rPr>
          <w:rFonts w:hint="eastAsia" w:eastAsia="宋体"/>
          <w:b/>
          <w:lang w:eastAsia="zh-CN"/>
        </w:rPr>
      </w:pPr>
      <w:bookmarkStart w:id="282" w:name="_Toc7903"/>
      <w:r>
        <w:rPr>
          <w:rFonts w:hint="eastAsia"/>
          <w:b/>
          <w:lang w:val="en-US" w:eastAsia="zh-CN"/>
        </w:rPr>
        <w:t>3.3.2</w:t>
      </w:r>
      <w:r>
        <w:rPr>
          <w:rFonts w:hint="eastAsia"/>
          <w:b/>
          <w:lang w:eastAsia="zh-CN"/>
        </w:rPr>
        <w:t>河道疏浚工程</w:t>
      </w:r>
      <w:bookmarkEnd w:id="282"/>
    </w:p>
    <w:p>
      <w:pPr>
        <w:rPr>
          <w:rFonts w:hint="eastAsia" w:eastAsia="宋体"/>
          <w:color w:val="0D0D0D" w:themeColor="text1" w:themeTint="F2"/>
          <w:highlight w:val="yellow"/>
          <w:lang w:eastAsia="zh-CN"/>
          <w14:textFill>
            <w14:solidFill>
              <w14:schemeClr w14:val="tx1">
                <w14:lumMod w14:val="95000"/>
                <w14:lumOff w14:val="5000"/>
              </w14:schemeClr>
            </w14:solidFill>
          </w14:textFill>
        </w:rPr>
      </w:pPr>
      <w:r>
        <w:rPr>
          <w:rFonts w:hint="eastAsia"/>
          <w:color w:val="0D0D0D" w:themeColor="text1" w:themeTint="F2"/>
          <w:lang w:eastAsia="zh-CN"/>
          <w14:textFill>
            <w14:solidFill>
              <w14:schemeClr w14:val="tx1">
                <w14:lumMod w14:val="95000"/>
                <w14:lumOff w14:val="5000"/>
              </w14:schemeClr>
            </w14:solidFill>
          </w14:textFill>
        </w:rPr>
        <w:t>修复工程包括清理河流冲积物、河道淤泥、岸坡垃圾</w:t>
      </w:r>
      <w:r>
        <w:rPr>
          <w:rFonts w:hint="eastAsia"/>
          <w:color w:val="0D0D0D" w:themeColor="text1" w:themeTint="F2"/>
          <w14:textFill>
            <w14:solidFill>
              <w14:schemeClr w14:val="tx1">
                <w14:lumMod w14:val="95000"/>
                <w14:lumOff w14:val="5000"/>
              </w14:schemeClr>
            </w14:solidFill>
          </w14:textFill>
        </w:rPr>
        <w:t>。对工程区域内的树根、杂草、垃圾、废</w:t>
      </w:r>
      <w:r>
        <w:rPr>
          <w:rFonts w:hint="eastAsia"/>
          <w:color w:val="0D0D0D" w:themeColor="text1" w:themeTint="F2"/>
          <w:highlight w:val="none"/>
          <w14:textFill>
            <w14:solidFill>
              <w14:schemeClr w14:val="tx1">
                <w14:lumMod w14:val="95000"/>
                <w14:lumOff w14:val="5000"/>
              </w14:schemeClr>
            </w14:solidFill>
          </w14:textFill>
        </w:rPr>
        <w:t>渣及其它障碍物进行清理，</w:t>
      </w:r>
      <w:r>
        <w:rPr>
          <w:rFonts w:hint="eastAsia"/>
          <w:color w:val="0D0D0D" w:themeColor="text1" w:themeTint="F2"/>
          <w:highlight w:val="none"/>
          <w:lang w:eastAsia="zh-CN"/>
          <w14:textFill>
            <w14:solidFill>
              <w14:schemeClr w14:val="tx1">
                <w14:lumMod w14:val="95000"/>
                <w14:lumOff w14:val="5000"/>
              </w14:schemeClr>
            </w14:solidFill>
          </w14:textFill>
        </w:rPr>
        <w:t>平均</w:t>
      </w:r>
      <w:r>
        <w:rPr>
          <w:rFonts w:hint="eastAsia"/>
          <w:color w:val="0D0D0D" w:themeColor="text1" w:themeTint="F2"/>
          <w:highlight w:val="none"/>
          <w14:textFill>
            <w14:solidFill>
              <w14:schemeClr w14:val="tx1">
                <w14:lumMod w14:val="95000"/>
                <w14:lumOff w14:val="5000"/>
              </w14:schemeClr>
            </w14:solidFill>
          </w14:textFill>
        </w:rPr>
        <w:t>清表厚度不小于20cm。</w:t>
      </w:r>
      <w:r>
        <w:rPr>
          <w:rFonts w:hint="eastAsia"/>
          <w:color w:val="0D0D0D" w:themeColor="text1" w:themeTint="F2"/>
          <w:highlight w:val="none"/>
          <w:lang w:eastAsia="zh-CN"/>
          <w14:textFill>
            <w14:solidFill>
              <w14:schemeClr w14:val="tx1">
                <w14:lumMod w14:val="95000"/>
                <w14:lumOff w14:val="5000"/>
              </w14:schemeClr>
            </w14:solidFill>
          </w14:textFill>
        </w:rPr>
        <w:t>清理后的冲积物集中收集，</w:t>
      </w:r>
      <w:r>
        <w:rPr>
          <w:rFonts w:hint="eastAsia"/>
          <w:color w:val="0D0D0D" w:themeColor="text1" w:themeTint="F2"/>
          <w:highlight w:val="none"/>
          <w14:textFill>
            <w14:solidFill>
              <w14:schemeClr w14:val="tx1">
                <w14:lumMod w14:val="95000"/>
                <w14:lumOff w14:val="5000"/>
              </w14:schemeClr>
            </w14:solidFill>
          </w14:textFill>
        </w:rPr>
        <w:t>用于附近村镇乡路垫道</w:t>
      </w:r>
      <w:r>
        <w:rPr>
          <w:rFonts w:hint="eastAsia"/>
          <w:color w:val="0D0D0D" w:themeColor="text1" w:themeTint="F2"/>
          <w:highlight w:val="none"/>
          <w:lang w:eastAsia="zh-CN"/>
          <w14:textFill>
            <w14:solidFill>
              <w14:schemeClr w14:val="tx1">
                <w14:lumMod w14:val="95000"/>
                <w14:lumOff w14:val="5000"/>
              </w14:schemeClr>
            </w14:solidFill>
          </w14:textFill>
        </w:rPr>
        <w:t>；岸坡垃圾集中收集，运送至生活垃圾填埋场；河道淤泥部分用于岸坡生态植物种植工程，余下部分</w:t>
      </w:r>
      <w:r>
        <w:rPr>
          <w:rFonts w:hint="eastAsia"/>
          <w:color w:val="0D0D0D" w:themeColor="text1" w:themeTint="F2"/>
          <w:highlight w:val="none"/>
          <w14:textFill>
            <w14:solidFill>
              <w14:schemeClr w14:val="tx1">
                <w14:lumMod w14:val="95000"/>
                <w14:lumOff w14:val="5000"/>
              </w14:schemeClr>
            </w14:solidFill>
          </w14:textFill>
        </w:rPr>
        <w:t>运至</w:t>
      </w:r>
      <w:r>
        <w:rPr>
          <w:rFonts w:hint="eastAsia"/>
          <w:color w:val="0D0D0D" w:themeColor="text1" w:themeTint="F2"/>
          <w:highlight w:val="none"/>
          <w:lang w:eastAsia="zh-CN"/>
          <w14:textFill>
            <w14:solidFill>
              <w14:schemeClr w14:val="tx1">
                <w14:lumMod w14:val="95000"/>
                <w14:lumOff w14:val="5000"/>
              </w14:schemeClr>
            </w14:solidFill>
          </w14:textFill>
        </w:rPr>
        <w:t>本项目河道清理土方回填区。</w:t>
      </w:r>
    </w:p>
    <w:p>
      <w:pPr>
        <w:pStyle w:val="6"/>
        <w:bidi w:val="0"/>
      </w:pPr>
      <w:bookmarkStart w:id="283" w:name="_Toc24650"/>
      <w:r>
        <w:rPr>
          <w:rFonts w:hint="eastAsia"/>
          <w:lang w:val="en-US" w:eastAsia="zh-CN"/>
        </w:rPr>
        <w:t>3.3.3</w:t>
      </w:r>
      <w:r>
        <w:rPr>
          <w:rFonts w:hint="eastAsia"/>
        </w:rPr>
        <w:t>河岸岸堤建设</w:t>
      </w:r>
      <w:bookmarkEnd w:id="283"/>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生态护岸施工方案可简述如下：</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1、施工导流</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生态护岸</w:t>
      </w:r>
      <w:r>
        <w:rPr>
          <w:color w:val="0D0D0D" w:themeColor="text1" w:themeTint="F2"/>
          <w14:textFill>
            <w14:solidFill>
              <w14:schemeClr w14:val="tx1">
                <w14:lumMod w14:val="95000"/>
                <w14:lumOff w14:val="5000"/>
              </w14:schemeClr>
            </w14:solidFill>
          </w14:textFill>
        </w:rPr>
        <w:t>施工需单独进行时，首先依据施工现场的实际情况，进行河道施工导流，施工导流</w:t>
      </w:r>
      <w:r>
        <w:rPr>
          <w:rFonts w:hint="eastAsia"/>
          <w:color w:val="0D0D0D" w:themeColor="text1" w:themeTint="F2"/>
          <w14:textFill>
            <w14:solidFill>
              <w14:schemeClr w14:val="tx1">
                <w14:lumMod w14:val="95000"/>
                <w14:lumOff w14:val="5000"/>
              </w14:schemeClr>
            </w14:solidFill>
          </w14:textFill>
        </w:rPr>
        <w:t>首</w:t>
      </w:r>
      <w:r>
        <w:rPr>
          <w:color w:val="0D0D0D" w:themeColor="text1" w:themeTint="F2"/>
          <w14:textFill>
            <w14:solidFill>
              <w14:schemeClr w14:val="tx1">
                <w14:lumMod w14:val="95000"/>
                <w14:lumOff w14:val="5000"/>
              </w14:schemeClr>
            </w14:solidFill>
          </w14:textFill>
        </w:rPr>
        <w:t>先设施工导流围堰，施工围堰构筑后，河道左右两岸分段施工，最大化的利用施工围堰。施工时，施工范围严格控制在河道范围内，不</w:t>
      </w:r>
      <w:r>
        <w:rPr>
          <w:rFonts w:hint="eastAsia"/>
          <w:color w:val="0D0D0D" w:themeColor="text1" w:themeTint="F2"/>
          <w14:textFill>
            <w14:solidFill>
              <w14:schemeClr w14:val="tx1">
                <w14:lumMod w14:val="95000"/>
                <w14:lumOff w14:val="5000"/>
              </w14:schemeClr>
            </w14:solidFill>
          </w14:textFill>
        </w:rPr>
        <w:t>得</w:t>
      </w:r>
      <w:r>
        <w:rPr>
          <w:color w:val="0D0D0D" w:themeColor="text1" w:themeTint="F2"/>
          <w14:textFill>
            <w14:solidFill>
              <w14:schemeClr w14:val="tx1">
                <w14:lumMod w14:val="95000"/>
                <w14:lumOff w14:val="5000"/>
              </w14:schemeClr>
            </w14:solidFill>
          </w14:textFill>
        </w:rPr>
        <w:t>超出河道范围外进行渣土堆存和作业。</w: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、基础开挖</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生态护岸工程基础开挖主要由机械施工辅以人工修整，土石方开挖施工前，提前形成进入施工作业面的施工道路。岸坡土方开挖采用分层横向全宽挖掘法，主要施工机械为挖掘机挖、装，</w:t>
      </w:r>
      <w:r>
        <w:rPr>
          <w:color w:val="0D0D0D" w:themeColor="text1" w:themeTint="F2"/>
          <w14:textFill>
            <w14:solidFill>
              <w14:schemeClr w14:val="tx1">
                <w14:lumMod w14:val="95000"/>
                <w14:lumOff w14:val="5000"/>
              </w14:schemeClr>
            </w14:solidFill>
          </w14:textFill>
        </w:rPr>
        <w:t>8</w:t>
      </w:r>
      <w:r>
        <w:rPr>
          <w:rFonts w:hint="eastAsia"/>
          <w:color w:val="0D0D0D" w:themeColor="text1" w:themeTint="F2"/>
          <w14:textFill>
            <w14:solidFill>
              <w14:schemeClr w14:val="tx1">
                <w14:lumMod w14:val="95000"/>
                <w14:lumOff w14:val="5000"/>
              </w14:schemeClr>
            </w14:solidFill>
          </w14:textFill>
        </w:rPr>
        <w:t>t自卸汽车运输，开挖利用料运至临时堆料场堆存。土方开挖直接采用挖掘机装车，配</w:t>
      </w:r>
      <w:r>
        <w:rPr>
          <w:color w:val="0D0D0D" w:themeColor="text1" w:themeTint="F2"/>
          <w14:textFill>
            <w14:solidFill>
              <w14:schemeClr w14:val="tx1">
                <w14:lumMod w14:val="95000"/>
                <w14:lumOff w14:val="5000"/>
              </w14:schemeClr>
            </w14:solidFill>
          </w14:textFill>
        </w:rPr>
        <w:t>8</w:t>
      </w:r>
      <w:r>
        <w:rPr>
          <w:rFonts w:hint="eastAsia"/>
          <w:color w:val="0D0D0D" w:themeColor="text1" w:themeTint="F2"/>
          <w14:textFill>
            <w14:solidFill>
              <w14:schemeClr w14:val="tx1">
                <w14:lumMod w14:val="95000"/>
                <w14:lumOff w14:val="5000"/>
              </w14:schemeClr>
            </w14:solidFill>
          </w14:textFill>
        </w:rPr>
        <w:t>t自卸汽车运输出渣，人工配合挖机集渣并清理工作面，对于量小且分散的基础开挖和槽挖可直接采用风镐清理或人工清挖。土方开挖前，首先进行测量放样，标识出开挖范围和位置，然后采用人工将开挖区域内的有碍物清理干净，清理范围延伸至开挖线外侧至少2m的距离。</w:t>
      </w:r>
    </w:p>
    <w:p>
      <w:pPr>
        <w:ind w:firstLine="464"/>
        <w:rPr>
          <w:color w:val="0D0D0D" w:themeColor="text1" w:themeTint="F2"/>
          <w:spacing w:val="-4"/>
          <w14:textFill>
            <w14:solidFill>
              <w14:schemeClr w14:val="tx1">
                <w14:lumMod w14:val="95000"/>
                <w14:lumOff w14:val="5000"/>
              </w14:schemeClr>
            </w14:solidFill>
          </w14:textFill>
        </w:rPr>
      </w:pPr>
      <w:r>
        <w:rPr>
          <w:rFonts w:hint="eastAsia"/>
          <w:color w:val="0D0D0D" w:themeColor="text1" w:themeTint="F2"/>
          <w:spacing w:val="-4"/>
          <w14:textFill>
            <w14:solidFill>
              <w14:schemeClr w14:val="tx1">
                <w14:lumMod w14:val="95000"/>
                <w14:lumOff w14:val="5000"/>
              </w14:schemeClr>
            </w14:solidFill>
          </w14:textFill>
        </w:rPr>
        <w:t>护岸基础开挖时需设置基坑，使用潜水泵将集水坑内的基坑排水泵入河道外侧的临时集水沉淀池，沉淀后用于施工区域的洒水降尘和绿化使用，不再回流进入河道。</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3、结构填筑</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生态护岸结构填筑料利用工程开挖料，开挖利用料采用挖掘机挖装，</w:t>
      </w:r>
      <w:r>
        <w:rPr>
          <w:color w:val="0D0D0D" w:themeColor="text1" w:themeTint="F2"/>
          <w14:textFill>
            <w14:solidFill>
              <w14:schemeClr w14:val="tx1">
                <w14:lumMod w14:val="95000"/>
                <w14:lumOff w14:val="5000"/>
              </w14:schemeClr>
            </w14:solidFill>
          </w14:textFill>
        </w:rPr>
        <w:t>8</w:t>
      </w:r>
      <w:r>
        <w:rPr>
          <w:rFonts w:hint="eastAsia"/>
          <w:color w:val="0D0D0D" w:themeColor="text1" w:themeTint="F2"/>
          <w14:textFill>
            <w14:solidFill>
              <w14:schemeClr w14:val="tx1">
                <w14:lumMod w14:val="95000"/>
                <w14:lumOff w14:val="5000"/>
              </w14:schemeClr>
            </w14:solidFill>
          </w14:textFill>
        </w:rPr>
        <w:t>t自卸汽车转运。部分利用料场料、拆除堡坎料与开挖土方掺和后进行生态护岸填筑，在不具备填筑条件时需在后侧沿线堆存，填筑时需采用挖掘机逐层挖运处理，确保碾压质量。施工参数（如铺料厚度、洒水量、碾压遍数、行进速度等）应根据料源、施工工艺和施工机具现场作碾压试验确定。各填筑区宜均匀上升，相邻两填筑区段高差不大于2.0m，新旧填筑搭接区和填筑边角部位以及墙后填筑料应采用夯锤夯实或削坡搭接碾压。</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4、土工膜铺设</w: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格宾笼岸坡回填土交界处铺设一层土工布，土工布规格为300g/m</w:t>
      </w:r>
      <w:r>
        <w:rPr>
          <w:color w:val="0D0D0D" w:themeColor="text1" w:themeTint="F2"/>
          <w:vertAlign w:val="superscript"/>
          <w14:textFill>
            <w14:solidFill>
              <w14:schemeClr w14:val="tx1">
                <w14:lumMod w14:val="95000"/>
                <w14:lumOff w14:val="5000"/>
              </w14:schemeClr>
            </w14:solidFill>
          </w14:textFill>
        </w:rPr>
        <w:t>2</w:t>
      </w:r>
      <w:r>
        <w:rPr>
          <w:color w:val="0D0D0D" w:themeColor="text1" w:themeTint="F2"/>
          <w14:textFill>
            <w14:solidFill>
              <w14:schemeClr w14:val="tx1">
                <w14:lumMod w14:val="95000"/>
                <w14:lumOff w14:val="5000"/>
              </w14:schemeClr>
            </w14:solidFill>
          </w14:textFill>
        </w:rPr>
        <w:t>，顶部、底部应予以防滑钉固定。</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碎石垫层</w: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采用1～4cm碎石，碎石中不得含有草根、树叶、塑料袋等有机杂物及垃圾。在料场购买，通过8t自卸汽车运至各工区堆料场，采用手推车运送至施工现场，人工抬运摊放，需进行分层铺筑碎石，然后碾压或夯实碎石，最后找平坡面。</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6、</w:t>
      </w:r>
      <w:r>
        <w:rPr>
          <w:color w:val="0D0D0D" w:themeColor="text1" w:themeTint="F2"/>
          <w14:textFill>
            <w14:solidFill>
              <w14:schemeClr w14:val="tx1">
                <w14:lumMod w14:val="95000"/>
                <w14:lumOff w14:val="5000"/>
              </w14:schemeClr>
            </w14:solidFill>
          </w14:textFill>
        </w:rPr>
        <w:t>格宾石笼</w: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石笼块石要分层铺设，石笼与石笼之间要错缝砌筑，要可靠连接（软），连接高强钢丝的直径要提高一级。装填石块前，应用脚手架固定格宾钢丝网，以免其变形，采用机械或人工进行石块填装，填充石料不得一次填满一格，每组格宾空格须同时均匀投料，以保证格宾方正。在填充过程中当填料达到箱体1/4时，用小碎石或沙粒填充空缺，并用钢钎夯密实一次，调整箱体线条。外部裸露部位，须以人工砌垒，整齐填塞密实，以求美观。并根据实际需要设置适量拉筋。</w:t>
      </w:r>
    </w:p>
    <w:p>
      <w:r>
        <w:rPr>
          <w:rFonts w:hint="eastAsia"/>
          <w:lang w:eastAsia="zh-CN"/>
        </w:rPr>
        <w:t>岸堤建设</w:t>
      </w:r>
      <w:r>
        <w:rPr>
          <w:rFonts w:hint="eastAsia"/>
        </w:rPr>
        <w:t>施工流程示意图如下：</w:t>
      </w:r>
    </w:p>
    <w:p>
      <w:pPr>
        <w:ind w:firstLine="0" w:firstLineChars="0"/>
        <w:jc w:val="center"/>
        <w:rPr>
          <w:b/>
          <w:sz w:val="21"/>
        </w:rPr>
      </w:pPr>
      <w:r>
        <w:drawing>
          <wp:inline distT="0" distB="0" distL="0" distR="0">
            <wp:extent cx="5447665" cy="647700"/>
            <wp:effectExtent l="0" t="0" r="635"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pic:cNvPicPr>
                  </pic:nvPicPr>
                  <pic:blipFill>
                    <a:blip r:embed="rId37"/>
                    <a:stretch>
                      <a:fillRect/>
                    </a:stretch>
                  </pic:blipFill>
                  <pic:spPr>
                    <a:xfrm>
                      <a:off x="0" y="0"/>
                      <a:ext cx="5447665" cy="647700"/>
                    </a:xfrm>
                    <a:prstGeom prst="rect">
                      <a:avLst/>
                    </a:prstGeom>
                  </pic:spPr>
                </pic:pic>
              </a:graphicData>
            </a:graphic>
          </wp:inline>
        </w:drawing>
      </w:r>
    </w:p>
    <w:p>
      <w:pPr>
        <w:ind w:firstLine="0" w:firstLineChars="0"/>
        <w:jc w:val="center"/>
        <w:rPr>
          <w:b/>
          <w:sz w:val="21"/>
        </w:rPr>
      </w:pPr>
      <w:r>
        <w:rPr>
          <w:rFonts w:hint="eastAsia"/>
          <w:b/>
          <w:sz w:val="21"/>
        </w:rPr>
        <w:t>（排污节点：G废气；W废水；N噪声；S固废）</w:t>
      </w:r>
    </w:p>
    <w:p>
      <w:pPr>
        <w:pStyle w:val="144"/>
        <w:numPr>
          <w:ilvl w:val="0"/>
          <w:numId w:val="0"/>
        </w:numPr>
        <w:ind w:leftChars="0"/>
        <w:jc w:val="center"/>
        <w:rPr>
          <w:b/>
          <w:bCs/>
          <w:color w:val="0D0D0D" w:themeColor="text1" w:themeTint="F2"/>
          <w:sz w:val="21"/>
          <w:szCs w:val="21"/>
          <w14:textFill>
            <w14:solidFill>
              <w14:schemeClr w14:val="tx1">
                <w14:lumMod w14:val="95000"/>
                <w14:lumOff w14:val="5000"/>
              </w14:schemeClr>
            </w14:solidFill>
          </w14:textFill>
        </w:rPr>
      </w:pPr>
      <w:r>
        <w:rPr>
          <w:rFonts w:hint="eastAsia"/>
          <w:b/>
          <w:bCs/>
          <w:color w:val="0D0D0D" w:themeColor="text1" w:themeTint="F2"/>
          <w:sz w:val="21"/>
          <w:szCs w:val="21"/>
          <w:lang w:eastAsia="zh-CN"/>
          <w14:textFill>
            <w14:solidFill>
              <w14:schemeClr w14:val="tx1">
                <w14:lumMod w14:val="95000"/>
                <w14:lumOff w14:val="5000"/>
              </w14:schemeClr>
            </w14:solidFill>
          </w14:textFill>
        </w:rPr>
        <w:t>图</w:t>
      </w:r>
      <w:r>
        <w:rPr>
          <w:rFonts w:hint="eastAsia"/>
          <w:b/>
          <w:bCs/>
          <w:color w:val="0D0D0D" w:themeColor="text1" w:themeTint="F2"/>
          <w:sz w:val="21"/>
          <w:szCs w:val="21"/>
          <w:lang w:val="en-US" w:eastAsia="zh-CN"/>
          <w14:textFill>
            <w14:solidFill>
              <w14:schemeClr w14:val="tx1">
                <w14:lumMod w14:val="95000"/>
                <w14:lumOff w14:val="5000"/>
              </w14:schemeClr>
            </w14:solidFill>
          </w14:textFill>
        </w:rPr>
        <w:t xml:space="preserve">3.3-1  </w:t>
      </w:r>
      <w:r>
        <w:rPr>
          <w:rFonts w:hint="eastAsia"/>
          <w:b/>
          <w:bCs/>
          <w:color w:val="0D0D0D" w:themeColor="text1" w:themeTint="F2"/>
          <w:sz w:val="21"/>
          <w:szCs w:val="21"/>
          <w:lang w:eastAsia="zh-CN"/>
          <w14:textFill>
            <w14:solidFill>
              <w14:schemeClr w14:val="tx1">
                <w14:lumMod w14:val="95000"/>
                <w14:lumOff w14:val="5000"/>
              </w14:schemeClr>
            </w14:solidFill>
          </w14:textFill>
        </w:rPr>
        <w:t>岸堤建设</w:t>
      </w:r>
      <w:r>
        <w:rPr>
          <w:rFonts w:hint="eastAsia"/>
          <w:b/>
          <w:bCs/>
          <w:color w:val="0D0D0D" w:themeColor="text1" w:themeTint="F2"/>
          <w:sz w:val="21"/>
          <w:szCs w:val="21"/>
          <w14:textFill>
            <w14:solidFill>
              <w14:schemeClr w14:val="tx1">
                <w14:lumMod w14:val="95000"/>
                <w14:lumOff w14:val="5000"/>
              </w14:schemeClr>
            </w14:solidFill>
          </w14:textFill>
        </w:rPr>
        <w:t>施工方案示意图</w:t>
      </w:r>
    </w:p>
    <w:p>
      <w:pPr>
        <w:pStyle w:val="6"/>
        <w:spacing w:before="0" w:beforeLines="0"/>
        <w:rPr>
          <w:rFonts w:hint="eastAsia"/>
          <w:b/>
          <w:lang w:val="en-US" w:eastAsia="zh-CN"/>
        </w:rPr>
      </w:pPr>
      <w:bookmarkStart w:id="284" w:name="_Toc4319"/>
      <w:r>
        <w:rPr>
          <w:rFonts w:hint="eastAsia"/>
          <w:b/>
          <w:lang w:val="en-US" w:eastAsia="zh-CN"/>
        </w:rPr>
        <w:t>3.3.4河岸缓冲带生态建设工程</w:t>
      </w:r>
      <w:bookmarkEnd w:id="284"/>
    </w:p>
    <w:p>
      <w:pPr>
        <w:pStyle w:val="7"/>
        <w:bidi w:val="0"/>
      </w:pPr>
      <w:r>
        <w:rPr>
          <w:rFonts w:hint="eastAsia"/>
          <w:lang w:val="en-US" w:eastAsia="zh-CN"/>
        </w:rPr>
        <w:t>3.3.4.1</w:t>
      </w:r>
      <w:r>
        <w:rPr>
          <w:rFonts w:hint="eastAsia"/>
        </w:rPr>
        <w:t>生态植物种植</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1、场地清理</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采用挖掘机、装载机联合作业并人工配合。</w:t>
      </w:r>
      <w:r>
        <w:rPr>
          <w:rFonts w:hint="eastAsia"/>
          <w:color w:val="0D0D0D" w:themeColor="text1" w:themeTint="F2"/>
          <w:lang w:eastAsia="zh-CN"/>
          <w14:textFill>
            <w14:solidFill>
              <w14:schemeClr w14:val="tx1">
                <w14:lumMod w14:val="95000"/>
                <w14:lumOff w14:val="5000"/>
              </w14:schemeClr>
            </w14:solidFill>
          </w14:textFill>
        </w:rPr>
        <w:t>在生态种植区域</w:t>
      </w:r>
      <w:r>
        <w:rPr>
          <w:rFonts w:hint="eastAsia"/>
          <w:color w:val="0D0D0D" w:themeColor="text1" w:themeTint="F2"/>
          <w14:textFill>
            <w14:solidFill>
              <w14:schemeClr w14:val="tx1">
                <w14:lumMod w14:val="95000"/>
                <w14:lumOff w14:val="5000"/>
              </w14:schemeClr>
            </w14:solidFill>
          </w14:textFill>
        </w:rPr>
        <w:t>清理杂土、树木、灌草等，对表土单独保存以便回填。</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2、土石方挖运</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河流缓冲带所需挖方工程量不大，主要是清理表层腐土，翻新，以满足能水源涵养、水土保持的植被种植。</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主要由机械施工辅以人工修整，开挖的砂卵石及素土全部用于</w:t>
      </w:r>
      <w:r>
        <w:rPr>
          <w:rFonts w:hint="eastAsia"/>
          <w:color w:val="0D0D0D" w:themeColor="text1" w:themeTint="F2"/>
          <w:lang w:eastAsia="zh-CN"/>
          <w14:textFill>
            <w14:solidFill>
              <w14:schemeClr w14:val="tx1">
                <w14:lumMod w14:val="95000"/>
                <w14:lumOff w14:val="5000"/>
              </w14:schemeClr>
            </w14:solidFill>
          </w14:textFill>
        </w:rPr>
        <w:t>生态植物种植</w:t>
      </w:r>
      <w:r>
        <w:rPr>
          <w:rFonts w:hint="eastAsia"/>
          <w:color w:val="0D0D0D" w:themeColor="text1" w:themeTint="F2"/>
          <w14:textFill>
            <w14:solidFill>
              <w14:schemeClr w14:val="tx1">
                <w14:lumMod w14:val="95000"/>
                <w14:lumOff w14:val="5000"/>
              </w14:schemeClr>
            </w14:solidFill>
          </w14:textFill>
        </w:rPr>
        <w:t>回填。基础开挖采用挖掘机开挖，推运</w:t>
      </w:r>
      <w:r>
        <w:rPr>
          <w:color w:val="0D0D0D" w:themeColor="text1" w:themeTint="F2"/>
          <w14:textFill>
            <w14:solidFill>
              <w14:schemeClr w14:val="tx1">
                <w14:lumMod w14:val="95000"/>
                <w14:lumOff w14:val="5000"/>
              </w14:schemeClr>
            </w14:solidFill>
          </w14:textFill>
        </w:rPr>
        <w:t xml:space="preserve">40m </w:t>
      </w:r>
      <w:r>
        <w:rPr>
          <w:rFonts w:hint="eastAsia"/>
          <w:color w:val="0D0D0D" w:themeColor="text1" w:themeTint="F2"/>
          <w14:textFill>
            <w14:solidFill>
              <w14:schemeClr w14:val="tx1">
                <w14:lumMod w14:val="95000"/>
                <w14:lumOff w14:val="5000"/>
              </w14:schemeClr>
            </w14:solidFill>
          </w14:textFill>
        </w:rPr>
        <w:t>以备回填。</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3、植被种植</w:t>
      </w:r>
    </w:p>
    <w:p>
      <w:pPr>
        <w:rPr>
          <w:rFonts w:hint="eastAsia"/>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生态植物种植面积共计</w:t>
      </w:r>
      <w:r>
        <w:rPr>
          <w:rFonts w:hint="eastAsia"/>
          <w:color w:val="0D0D0D" w:themeColor="text1" w:themeTint="F2"/>
          <w:lang w:eastAsia="zh-CN"/>
          <w14:textFill>
            <w14:solidFill>
              <w14:schemeClr w14:val="tx1">
                <w14:lumMod w14:val="95000"/>
                <w14:lumOff w14:val="5000"/>
              </w14:schemeClr>
            </w14:solidFill>
          </w14:textFill>
        </w:rPr>
        <w:t>5904</w:t>
      </w:r>
      <w:r>
        <w:rPr>
          <w:rFonts w:hint="eastAsia"/>
          <w:color w:val="0D0D0D" w:themeColor="text1" w:themeTint="F2"/>
          <w14:textFill>
            <w14:solidFill>
              <w14:schemeClr w14:val="tx1">
                <w14:lumMod w14:val="95000"/>
                <w14:lumOff w14:val="5000"/>
              </w14:schemeClr>
            </w14:solidFill>
          </w14:textFill>
        </w:rPr>
        <w:t xml:space="preserve"> 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主要为国槐、红花碧桃、海棠、金叶榆、暴马丁香等乔木，忍冬、紫丁香、红瑞木等灌木，沙地柏、水蜡篱、朝鲜黄杨篱等地被植物，以及冷季草坪等；植物材料的选择需要满足设计要求的规格和形状、无病虫害等要求，凡发现有伤口、树干畸形等现象的苗木不得选用，绿化植物采用人工种植。地被植物播撒草籽2</w:t>
      </w:r>
      <w:r>
        <w:rPr>
          <w:color w:val="0D0D0D" w:themeColor="text1" w:themeTint="F2"/>
          <w14:textFill>
            <w14:solidFill>
              <w14:schemeClr w14:val="tx1">
                <w14:lumMod w14:val="95000"/>
                <w14:lumOff w14:val="5000"/>
              </w14:schemeClr>
            </w14:solidFill>
          </w14:textFill>
        </w:rPr>
        <w:t>0</w:t>
      </w:r>
      <w:r>
        <w:rPr>
          <w:rFonts w:hint="eastAsia"/>
          <w:color w:val="0D0D0D" w:themeColor="text1" w:themeTint="F2"/>
          <w14:textFill>
            <w14:solidFill>
              <w14:schemeClr w14:val="tx1">
                <w14:lumMod w14:val="95000"/>
                <w14:lumOff w14:val="5000"/>
              </w14:schemeClr>
            </w14:solidFill>
          </w14:textFill>
        </w:rPr>
        <w:t>g/m</w:t>
      </w:r>
      <w:r>
        <w:rPr>
          <w:rFonts w:hint="eastAsia"/>
          <w:color w:val="0D0D0D" w:themeColor="text1" w:themeTint="F2"/>
          <w:vertAlign w:val="superscript"/>
          <w14:textFill>
            <w14:solidFill>
              <w14:schemeClr w14:val="tx1">
                <w14:lumMod w14:val="95000"/>
                <w14:lumOff w14:val="5000"/>
              </w14:schemeClr>
            </w14:solidFill>
          </w14:textFill>
        </w:rPr>
        <w:t>2</w:t>
      </w:r>
      <w:r>
        <w:rPr>
          <w:rFonts w:hint="eastAsia"/>
          <w:color w:val="0D0D0D" w:themeColor="text1" w:themeTint="F2"/>
          <w:vertAlign w:val="baseline"/>
          <w:lang w:eastAsia="zh-CN"/>
          <w14:textFill>
            <w14:solidFill>
              <w14:schemeClr w14:val="tx1">
                <w14:lumMod w14:val="95000"/>
                <w14:lumOff w14:val="5000"/>
              </w14:schemeClr>
            </w14:solidFill>
          </w14:textFill>
        </w:rPr>
        <w:t>；</w:t>
      </w:r>
      <w:r>
        <w:rPr>
          <w:color w:val="0D0D0D" w:themeColor="text1" w:themeTint="F2"/>
          <w14:textFill>
            <w14:solidFill>
              <w14:schemeClr w14:val="tx1">
                <w14:lumMod w14:val="95000"/>
                <w14:lumOff w14:val="5000"/>
              </w14:schemeClr>
            </w14:solidFill>
          </w14:textFill>
        </w:rPr>
        <w:t>灌木种植密度1丛/6</w:t>
      </w:r>
      <w:r>
        <w:rPr>
          <w:rFonts w:hint="eastAsia"/>
          <w:color w:val="0D0D0D" w:themeColor="text1" w:themeTint="F2"/>
          <w14:textFill>
            <w14:solidFill>
              <w14:schemeClr w14:val="tx1">
                <w14:lumMod w14:val="95000"/>
                <w14:lumOff w14:val="5000"/>
              </w14:schemeClr>
            </w14:solidFill>
          </w14:textFill>
        </w:rPr>
        <w:t>m</w:t>
      </w:r>
      <w:r>
        <w:rPr>
          <w:color w:val="0D0D0D" w:themeColor="text1" w:themeTint="F2"/>
          <w:vertAlign w:val="superscript"/>
          <w14:textFill>
            <w14:solidFill>
              <w14:schemeClr w14:val="tx1">
                <w14:lumMod w14:val="95000"/>
                <w14:lumOff w14:val="5000"/>
              </w14:schemeClr>
            </w14:solidFill>
          </w14:textFill>
        </w:rPr>
        <w:t>2</w:t>
      </w:r>
      <w:r>
        <w:rPr>
          <w:color w:val="0D0D0D" w:themeColor="text1" w:themeTint="F2"/>
          <w14:textFill>
            <w14:solidFill>
              <w14:schemeClr w14:val="tx1">
                <w14:lumMod w14:val="95000"/>
                <w14:lumOff w14:val="5000"/>
              </w14:schemeClr>
            </w14:solidFill>
          </w14:textFill>
        </w:rPr>
        <w:t>，穿插种植</w:t>
      </w:r>
      <w:r>
        <w:rPr>
          <w:rFonts w:hint="eastAsia"/>
          <w:color w:val="0D0D0D" w:themeColor="text1" w:themeTint="F2"/>
          <w14:textFill>
            <w14:solidFill>
              <w14:schemeClr w14:val="tx1">
                <w14:lumMod w14:val="95000"/>
                <w14:lumOff w14:val="5000"/>
              </w14:schemeClr>
            </w14:solidFill>
          </w14:textFill>
        </w:rPr>
        <w:t>。</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4</w:t>
      </w:r>
      <w:r>
        <w:rPr>
          <w:rFonts w:hint="eastAsia"/>
          <w:color w:val="0D0D0D" w:themeColor="text1" w:themeTint="F2"/>
          <w14:textFill>
            <w14:solidFill>
              <w14:schemeClr w14:val="tx1">
                <w14:lumMod w14:val="95000"/>
                <w14:lumOff w14:val="5000"/>
              </w14:schemeClr>
            </w14:solidFill>
          </w14:textFill>
        </w:rPr>
        <w:t>、土方回填</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植物栽种过程中及时回填土、压实，养护。</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施工流程示意图如下：</w:t>
      </w:r>
    </w:p>
    <w:p>
      <w:pPr>
        <w:ind w:firstLine="0" w:firstLineChars="0"/>
        <w:jc w:val="center"/>
        <w:rPr>
          <w:b/>
          <w:sz w:val="21"/>
        </w:rPr>
      </w:pPr>
      <w:r>
        <w:drawing>
          <wp:inline distT="0" distB="0" distL="114300" distR="114300">
            <wp:extent cx="5320030" cy="828040"/>
            <wp:effectExtent l="0" t="0" r="13970" b="10160"/>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38"/>
                    <a:stretch>
                      <a:fillRect/>
                    </a:stretch>
                  </pic:blipFill>
                  <pic:spPr>
                    <a:xfrm>
                      <a:off x="0" y="0"/>
                      <a:ext cx="5320030" cy="828040"/>
                    </a:xfrm>
                    <a:prstGeom prst="rect">
                      <a:avLst/>
                    </a:prstGeom>
                    <a:noFill/>
                    <a:ln>
                      <a:noFill/>
                    </a:ln>
                  </pic:spPr>
                </pic:pic>
              </a:graphicData>
            </a:graphic>
          </wp:inline>
        </w:drawing>
      </w:r>
    </w:p>
    <w:p>
      <w:pPr>
        <w:ind w:firstLine="0" w:firstLineChars="0"/>
        <w:jc w:val="center"/>
        <w:rPr>
          <w:b/>
          <w:sz w:val="21"/>
        </w:rPr>
      </w:pPr>
      <w:r>
        <w:rPr>
          <w:rFonts w:hint="eastAsia"/>
          <w:b/>
          <w:sz w:val="21"/>
        </w:rPr>
        <w:t>（排污节点：G废气；W废水；N噪声；S固废）</w:t>
      </w:r>
    </w:p>
    <w:p>
      <w:pPr>
        <w:pStyle w:val="144"/>
        <w:numPr>
          <w:ilvl w:val="0"/>
          <w:numId w:val="0"/>
        </w:numPr>
        <w:ind w:left="422" w:leftChars="0"/>
        <w:jc w:val="center"/>
        <w:rPr>
          <w:b/>
          <w:bCs/>
          <w:color w:val="0D0D0D" w:themeColor="text1" w:themeTint="F2"/>
          <w:sz w:val="21"/>
          <w:szCs w:val="21"/>
          <w14:textFill>
            <w14:solidFill>
              <w14:schemeClr w14:val="tx1">
                <w14:lumMod w14:val="95000"/>
                <w14:lumOff w14:val="5000"/>
              </w14:schemeClr>
            </w14:solidFill>
          </w14:textFill>
        </w:rPr>
      </w:pPr>
      <w:r>
        <w:rPr>
          <w:rFonts w:hint="eastAsia"/>
          <w:b/>
          <w:bCs/>
          <w:color w:val="0D0D0D" w:themeColor="text1" w:themeTint="F2"/>
          <w:sz w:val="21"/>
          <w:szCs w:val="21"/>
          <w:lang w:eastAsia="zh-CN"/>
          <w14:textFill>
            <w14:solidFill>
              <w14:schemeClr w14:val="tx1">
                <w14:lumMod w14:val="95000"/>
                <w14:lumOff w14:val="5000"/>
              </w14:schemeClr>
            </w14:solidFill>
          </w14:textFill>
        </w:rPr>
        <w:t>图</w:t>
      </w:r>
      <w:r>
        <w:rPr>
          <w:rFonts w:hint="eastAsia"/>
          <w:b/>
          <w:bCs/>
          <w:color w:val="0D0D0D" w:themeColor="text1" w:themeTint="F2"/>
          <w:sz w:val="21"/>
          <w:szCs w:val="21"/>
          <w:lang w:val="en-US" w:eastAsia="zh-CN"/>
          <w14:textFill>
            <w14:solidFill>
              <w14:schemeClr w14:val="tx1">
                <w14:lumMod w14:val="95000"/>
                <w14:lumOff w14:val="5000"/>
              </w14:schemeClr>
            </w14:solidFill>
          </w14:textFill>
        </w:rPr>
        <w:t xml:space="preserve">3.3-2  </w:t>
      </w:r>
      <w:r>
        <w:rPr>
          <w:rFonts w:hint="eastAsia"/>
          <w:b/>
          <w:bCs/>
          <w:color w:val="0D0D0D" w:themeColor="text1" w:themeTint="F2"/>
          <w:sz w:val="21"/>
          <w:szCs w:val="21"/>
          <w:lang w:eastAsia="zh-CN"/>
          <w14:textFill>
            <w14:solidFill>
              <w14:schemeClr w14:val="tx1">
                <w14:lumMod w14:val="95000"/>
                <w14:lumOff w14:val="5000"/>
              </w14:schemeClr>
            </w14:solidFill>
          </w14:textFill>
        </w:rPr>
        <w:t>生态植物种植</w:t>
      </w:r>
      <w:r>
        <w:rPr>
          <w:rFonts w:hint="eastAsia"/>
          <w:b/>
          <w:bCs/>
          <w:color w:val="0D0D0D" w:themeColor="text1" w:themeTint="F2"/>
          <w:sz w:val="21"/>
          <w:szCs w:val="21"/>
          <w14:textFill>
            <w14:solidFill>
              <w14:schemeClr w14:val="tx1">
                <w14:lumMod w14:val="95000"/>
                <w14:lumOff w14:val="5000"/>
              </w14:schemeClr>
            </w14:solidFill>
          </w14:textFill>
        </w:rPr>
        <w:t>施工方案示意图</w:t>
      </w:r>
    </w:p>
    <w:p>
      <w:pPr>
        <w:pStyle w:val="7"/>
        <w:bidi w:val="0"/>
      </w:pPr>
      <w:r>
        <w:rPr>
          <w:rFonts w:hint="eastAsia"/>
          <w:lang w:val="en-US" w:eastAsia="zh-CN"/>
        </w:rPr>
        <w:t>3.3.4.2</w:t>
      </w:r>
      <w:r>
        <w:rPr>
          <w:rFonts w:hint="eastAsia"/>
          <w:lang w:eastAsia="zh-CN"/>
        </w:rPr>
        <w:t>生态步道</w:t>
      </w:r>
    </w:p>
    <w:p>
      <w:pPr>
        <w:rPr>
          <w:rFonts w:hint="eastAsia" w:eastAsia="宋体"/>
          <w:color w:val="0D0D0D" w:themeColor="text1" w:themeTint="F2"/>
          <w:lang w:eastAsia="zh-CN"/>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w:t>
      </w:r>
      <w:r>
        <w:rPr>
          <w:rFonts w:hint="eastAsia"/>
          <w:color w:val="0D0D0D" w:themeColor="text1" w:themeTint="F2"/>
          <w:lang w:eastAsia="zh-CN"/>
          <w14:textFill>
            <w14:solidFill>
              <w14:schemeClr w14:val="tx1">
                <w14:lumMod w14:val="95000"/>
                <w14:lumOff w14:val="5000"/>
              </w14:schemeClr>
            </w14:solidFill>
          </w14:textFill>
        </w:rPr>
        <w:t>场地清理</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lang w:eastAsia="zh-CN"/>
          <w14:textFill>
            <w14:solidFill>
              <w14:schemeClr w14:val="tx1">
                <w14:lumMod w14:val="95000"/>
                <w14:lumOff w14:val="5000"/>
              </w14:schemeClr>
            </w14:solidFill>
          </w14:textFill>
        </w:rPr>
        <w:t>做好排水槽，以保证排水畅通</w:t>
      </w:r>
      <w:r>
        <w:rPr>
          <w:rFonts w:hint="eastAsia"/>
          <w:color w:val="0D0D0D" w:themeColor="text1" w:themeTint="F2"/>
          <w14:textFill>
            <w14:solidFill>
              <w14:schemeClr w14:val="tx1">
                <w14:lumMod w14:val="95000"/>
                <w14:lumOff w14:val="5000"/>
              </w14:schemeClr>
            </w14:solidFill>
          </w14:textFill>
        </w:rPr>
        <w:t>。</w:t>
      </w:r>
    </w:p>
    <w:p>
      <w:pPr>
        <w:rPr>
          <w:rFonts w:hint="eastAsia" w:eastAsia="宋体"/>
          <w:color w:val="0D0D0D" w:themeColor="text1" w:themeTint="F2"/>
          <w:lang w:eastAsia="zh-CN"/>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w:t>
      </w:r>
      <w:r>
        <w:rPr>
          <w:rFonts w:hint="eastAsia"/>
          <w:color w:val="0D0D0D" w:themeColor="text1" w:themeTint="F2"/>
          <w:lang w:eastAsia="zh-CN"/>
          <w14:textFill>
            <w14:solidFill>
              <w14:schemeClr w14:val="tx1">
                <w14:lumMod w14:val="95000"/>
                <w14:lumOff w14:val="5000"/>
              </w14:schemeClr>
            </w14:solidFill>
          </w14:textFill>
        </w:rPr>
        <w:t>构架混凝土浇筑</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lang w:eastAsia="zh-CN"/>
          <w14:textFill>
            <w14:solidFill>
              <w14:schemeClr w14:val="tx1">
                <w14:lumMod w14:val="95000"/>
                <w14:lumOff w14:val="5000"/>
              </w14:schemeClr>
            </w14:solidFill>
          </w14:textFill>
        </w:rPr>
        <w:t>底部垫层、承台立柱等混凝土浇筑</w:t>
      </w:r>
      <w:r>
        <w:rPr>
          <w:rFonts w:hint="eastAsia"/>
          <w:color w:val="0D0D0D" w:themeColor="text1" w:themeTint="F2"/>
          <w14:textFill>
            <w14:solidFill>
              <w14:schemeClr w14:val="tx1">
                <w14:lumMod w14:val="95000"/>
                <w14:lumOff w14:val="5000"/>
              </w14:schemeClr>
            </w14:solidFill>
          </w14:textFill>
        </w:rPr>
        <w:t>。</w:t>
      </w:r>
    </w:p>
    <w:p>
      <w:pPr>
        <w:rPr>
          <w:rFonts w:hint="eastAsia" w:eastAsia="宋体"/>
          <w:color w:val="0D0D0D" w:themeColor="text1" w:themeTint="F2"/>
          <w:lang w:eastAsia="zh-CN"/>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w:t>
      </w:r>
      <w:r>
        <w:rPr>
          <w:rFonts w:hint="eastAsia"/>
          <w:color w:val="0D0D0D" w:themeColor="text1" w:themeTint="F2"/>
          <w:lang w:eastAsia="zh-CN"/>
          <w14:textFill>
            <w14:solidFill>
              <w14:schemeClr w14:val="tx1">
                <w14:lumMod w14:val="95000"/>
                <w14:lumOff w14:val="5000"/>
              </w14:schemeClr>
            </w14:solidFill>
          </w14:textFill>
        </w:rPr>
        <w:t>栏杆扶手搭建</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lang w:eastAsia="zh-CN"/>
          <w14:textFill>
            <w14:solidFill>
              <w14:schemeClr w14:val="tx1">
                <w14:lumMod w14:val="95000"/>
                <w14:lumOff w14:val="5000"/>
              </w14:schemeClr>
            </w14:solidFill>
          </w14:textFill>
        </w:rPr>
        <w:t>混凝土构架养护一星期后，角铁螺丝固定栏杆</w:t>
      </w:r>
      <w:r>
        <w:rPr>
          <w:rFonts w:hint="eastAsia"/>
          <w:color w:val="0D0D0D" w:themeColor="text1" w:themeTint="F2"/>
          <w14:textFill>
            <w14:solidFill>
              <w14:schemeClr w14:val="tx1">
                <w14:lumMod w14:val="95000"/>
                <w14:lumOff w14:val="5000"/>
              </w14:schemeClr>
            </w14:solidFill>
          </w14:textFill>
        </w:rPr>
        <w:t>。</w:t>
      </w:r>
    </w:p>
    <w:p>
      <w:pPr>
        <w:numPr>
          <w:ilvl w:val="0"/>
          <w:numId w:val="0"/>
        </w:numPr>
        <w:ind w:leftChars="200"/>
        <w:rPr>
          <w:rFonts w:hint="eastAsia"/>
          <w:lang w:val="en-US" w:eastAsia="zh-CN"/>
        </w:rPr>
      </w:pPr>
      <w:r>
        <w:rPr>
          <w:rFonts w:hint="eastAsia"/>
          <w:lang w:val="en-US" w:eastAsia="zh-CN"/>
        </w:rPr>
        <w:t>4、防腐木安装</w:t>
      </w:r>
    </w:p>
    <w:p>
      <w:pPr>
        <w:rPr>
          <w:rFonts w:hint="eastAsia"/>
          <w:lang w:eastAsia="zh-CN"/>
        </w:rPr>
      </w:pPr>
      <w:r>
        <w:rPr>
          <w:rFonts w:hint="eastAsia"/>
          <w:lang w:eastAsia="zh-CN"/>
        </w:rPr>
        <w:t>注意防腐木的选材，选取不易吸水、不易变形木材，使用紧固件进行连接，预先进行钻孔，避免木材开裂，紧固件螺钉使用不锈钢材料，以抗腐蚀防生锈。安装完成后对木材进行清理、擦洗、晾干。</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施工流程示意图如下：</w:t>
      </w:r>
    </w:p>
    <w:p>
      <w:pPr>
        <w:ind w:firstLine="0" w:firstLineChars="0"/>
        <w:jc w:val="center"/>
        <w:rPr>
          <w:b/>
          <w:sz w:val="21"/>
        </w:rPr>
      </w:pPr>
      <w:r>
        <w:drawing>
          <wp:inline distT="0" distB="0" distL="114300" distR="114300">
            <wp:extent cx="5394960" cy="744220"/>
            <wp:effectExtent l="0" t="0" r="15240" b="177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9"/>
                    <a:stretch>
                      <a:fillRect/>
                    </a:stretch>
                  </pic:blipFill>
                  <pic:spPr>
                    <a:xfrm>
                      <a:off x="0" y="0"/>
                      <a:ext cx="5394960" cy="744220"/>
                    </a:xfrm>
                    <a:prstGeom prst="rect">
                      <a:avLst/>
                    </a:prstGeom>
                    <a:noFill/>
                    <a:ln>
                      <a:noFill/>
                    </a:ln>
                  </pic:spPr>
                </pic:pic>
              </a:graphicData>
            </a:graphic>
          </wp:inline>
        </w:drawing>
      </w:r>
    </w:p>
    <w:p>
      <w:pPr>
        <w:ind w:firstLine="0" w:firstLineChars="0"/>
        <w:jc w:val="center"/>
        <w:rPr>
          <w:b/>
          <w:sz w:val="21"/>
        </w:rPr>
      </w:pPr>
      <w:r>
        <w:rPr>
          <w:rFonts w:hint="eastAsia"/>
          <w:b/>
          <w:sz w:val="21"/>
        </w:rPr>
        <w:t>（排污节点：G废气；W废水；N噪声；S固废）</w:t>
      </w:r>
    </w:p>
    <w:p>
      <w:pPr>
        <w:pStyle w:val="144"/>
        <w:numPr>
          <w:ilvl w:val="0"/>
          <w:numId w:val="0"/>
        </w:numPr>
        <w:jc w:val="center"/>
        <w:rPr>
          <w:b/>
          <w:bCs/>
          <w:color w:val="0D0D0D" w:themeColor="text1" w:themeTint="F2"/>
          <w:sz w:val="21"/>
          <w:szCs w:val="21"/>
          <w14:textFill>
            <w14:solidFill>
              <w14:schemeClr w14:val="tx1">
                <w14:lumMod w14:val="95000"/>
                <w14:lumOff w14:val="5000"/>
              </w14:schemeClr>
            </w14:solidFill>
          </w14:textFill>
        </w:rPr>
      </w:pPr>
      <w:r>
        <w:rPr>
          <w:rFonts w:hint="eastAsia"/>
          <w:b/>
          <w:bCs/>
          <w:color w:val="0D0D0D" w:themeColor="text1" w:themeTint="F2"/>
          <w:sz w:val="21"/>
          <w:szCs w:val="21"/>
          <w:lang w:eastAsia="zh-CN"/>
          <w14:textFill>
            <w14:solidFill>
              <w14:schemeClr w14:val="tx1">
                <w14:lumMod w14:val="95000"/>
                <w14:lumOff w14:val="5000"/>
              </w14:schemeClr>
            </w14:solidFill>
          </w14:textFill>
        </w:rPr>
        <w:t>图</w:t>
      </w:r>
      <w:r>
        <w:rPr>
          <w:rFonts w:hint="eastAsia"/>
          <w:b/>
          <w:bCs/>
          <w:color w:val="0D0D0D" w:themeColor="text1" w:themeTint="F2"/>
          <w:sz w:val="21"/>
          <w:szCs w:val="21"/>
          <w:lang w:val="en-US" w:eastAsia="zh-CN"/>
          <w14:textFill>
            <w14:solidFill>
              <w14:schemeClr w14:val="tx1">
                <w14:lumMod w14:val="95000"/>
                <w14:lumOff w14:val="5000"/>
              </w14:schemeClr>
            </w14:solidFill>
          </w14:textFill>
        </w:rPr>
        <w:t xml:space="preserve">3.3-3  </w:t>
      </w:r>
      <w:r>
        <w:rPr>
          <w:rFonts w:hint="eastAsia"/>
          <w:b/>
          <w:bCs/>
          <w:color w:val="0D0D0D" w:themeColor="text1" w:themeTint="F2"/>
          <w:sz w:val="21"/>
          <w:szCs w:val="21"/>
          <w:lang w:eastAsia="zh-CN"/>
          <w14:textFill>
            <w14:solidFill>
              <w14:schemeClr w14:val="tx1">
                <w14:lumMod w14:val="95000"/>
                <w14:lumOff w14:val="5000"/>
              </w14:schemeClr>
            </w14:solidFill>
          </w14:textFill>
        </w:rPr>
        <w:t>生态步道</w:t>
      </w:r>
      <w:r>
        <w:rPr>
          <w:rFonts w:hint="eastAsia"/>
          <w:b/>
          <w:bCs/>
          <w:color w:val="0D0D0D" w:themeColor="text1" w:themeTint="F2"/>
          <w:sz w:val="21"/>
          <w:szCs w:val="21"/>
          <w14:textFill>
            <w14:solidFill>
              <w14:schemeClr w14:val="tx1">
                <w14:lumMod w14:val="95000"/>
                <w14:lumOff w14:val="5000"/>
              </w14:schemeClr>
            </w14:solidFill>
          </w14:textFill>
        </w:rPr>
        <w:t>施工方案示意图</w:t>
      </w:r>
    </w:p>
    <w:p>
      <w:pPr>
        <w:pStyle w:val="6"/>
        <w:spacing w:before="0" w:beforeLines="0"/>
        <w:rPr>
          <w:b/>
        </w:rPr>
      </w:pPr>
      <w:bookmarkStart w:id="285" w:name="_Toc9486"/>
      <w:r>
        <w:rPr>
          <w:rFonts w:hint="eastAsia"/>
          <w:b/>
          <w:lang w:val="en-US" w:eastAsia="zh-CN"/>
        </w:rPr>
        <w:t>3.3.5</w:t>
      </w:r>
      <w:r>
        <w:rPr>
          <w:rFonts w:hint="eastAsia"/>
          <w:b/>
        </w:rPr>
        <w:t>项目运行方式</w:t>
      </w:r>
      <w:bookmarkEnd w:id="285"/>
    </w:p>
    <w:p>
      <w:r>
        <w:rPr>
          <w:rFonts w:hint="eastAsia"/>
        </w:rPr>
        <w:t>项目属于河流水域生态保护修复类项目。各工程内容的运行方式简述如下：</w:t>
      </w:r>
    </w:p>
    <w:p>
      <w:r>
        <w:t>1</w:t>
      </w:r>
      <w:r>
        <w:rPr>
          <w:rFonts w:hint="eastAsia"/>
        </w:rPr>
        <w:t>、</w:t>
      </w:r>
      <w:r>
        <w:rPr>
          <w:rFonts w:hint="eastAsia"/>
          <w:lang w:eastAsia="zh-CN"/>
        </w:rPr>
        <w:t>河道疏浚工程、河岸岸堤建设</w:t>
      </w:r>
    </w:p>
    <w:p>
      <w:pPr>
        <w:bidi w:val="0"/>
      </w:pPr>
      <w:r>
        <w:rPr>
          <w:rFonts w:hint="eastAsia"/>
          <w:lang w:eastAsia="zh-CN"/>
        </w:rPr>
        <w:t>河流</w:t>
      </w:r>
      <w:r>
        <w:rPr>
          <w:rFonts w:hint="eastAsia"/>
        </w:rPr>
        <w:t>生态修复通过修复后的自然状态，自行实现水源涵养、水土保持等作用，从而</w:t>
      </w:r>
      <w:r>
        <w:rPr>
          <w:rFonts w:hint="eastAsia"/>
          <w:color w:val="0D0D0D" w:themeColor="text1" w:themeTint="F2"/>
          <w14:textFill>
            <w14:solidFill>
              <w14:schemeClr w14:val="tx1">
                <w14:lumMod w14:val="95000"/>
                <w14:lumOff w14:val="5000"/>
              </w14:schemeClr>
            </w14:solidFill>
          </w14:textFill>
        </w:rPr>
        <w:t>修复水体及周围缓冲带的生态环境</w:t>
      </w:r>
      <w:r>
        <w:rPr>
          <w:rFonts w:hint="eastAsia"/>
          <w:color w:val="0D0D0D" w:themeColor="text1" w:themeTint="F2"/>
          <w:lang w:eastAsia="zh-CN"/>
          <w14:textFill>
            <w14:solidFill>
              <w14:schemeClr w14:val="tx1">
                <w14:lumMod w14:val="95000"/>
                <w14:lumOff w14:val="5000"/>
              </w14:schemeClr>
            </w14:solidFill>
          </w14:textFill>
        </w:rPr>
        <w:t>，</w:t>
      </w:r>
      <w:r>
        <w:t>不进行人为干预。</w:t>
      </w:r>
      <w:r>
        <w:rPr>
          <w:rFonts w:hint="eastAsia"/>
        </w:rPr>
        <w:t>生态护岸</w:t>
      </w:r>
      <w:r>
        <w:rPr>
          <w:color w:val="0D0D0D" w:themeColor="text1" w:themeTint="F2"/>
          <w14:textFill>
            <w14:solidFill>
              <w14:schemeClr w14:val="tx1">
                <w14:lumMod w14:val="95000"/>
                <w14:lumOff w14:val="5000"/>
              </w14:schemeClr>
            </w14:solidFill>
          </w14:textFill>
        </w:rPr>
        <w:t>实现水与土体间的自然交换，为水中生物和微生物创造生存环境，</w:t>
      </w:r>
      <w:r>
        <w:rPr>
          <w:rFonts w:hint="eastAsia"/>
          <w:color w:val="0D0D0D" w:themeColor="text1" w:themeTint="F2"/>
          <w14:textFill>
            <w14:solidFill>
              <w14:schemeClr w14:val="tx1">
                <w14:lumMod w14:val="95000"/>
                <w14:lumOff w14:val="5000"/>
              </w14:schemeClr>
            </w14:solidFill>
          </w14:textFill>
        </w:rPr>
        <w:t>实现有氧交换，</w:t>
      </w:r>
      <w:r>
        <w:rPr>
          <w:color w:val="0D0D0D" w:themeColor="text1" w:themeTint="F2"/>
          <w14:textFill>
            <w14:solidFill>
              <w14:schemeClr w14:val="tx1">
                <w14:lumMod w14:val="95000"/>
                <w14:lumOff w14:val="5000"/>
              </w14:schemeClr>
            </w14:solidFill>
          </w14:textFill>
        </w:rPr>
        <w:t>从而增强了水体自净能力，保护和改善水源、水质</w:t>
      </w:r>
      <w:r>
        <w:rPr>
          <w:rFonts w:hint="eastAsia"/>
          <w:color w:val="0D0D0D" w:themeColor="text1" w:themeTint="F2"/>
          <w14:textFill>
            <w14:solidFill>
              <w14:schemeClr w14:val="tx1">
                <w14:lumMod w14:val="95000"/>
                <w14:lumOff w14:val="5000"/>
              </w14:schemeClr>
            </w14:solidFill>
          </w14:textFill>
        </w:rPr>
        <w:t>。</w:t>
      </w:r>
      <w:r>
        <w:t>不进行人为干预。</w:t>
      </w:r>
    </w:p>
    <w:p>
      <w:pPr>
        <w:numPr>
          <w:ilvl w:val="0"/>
          <w:numId w:val="0"/>
        </w:numPr>
        <w:ind w:left="480" w:leftChars="0"/>
        <w:rPr>
          <w:rFonts w:hint="eastAsia"/>
        </w:rPr>
      </w:pPr>
      <w:r>
        <w:rPr>
          <w:rFonts w:hint="eastAsia"/>
          <w:lang w:val="en-US" w:eastAsia="zh-CN"/>
        </w:rPr>
        <w:t>2、</w:t>
      </w:r>
      <w:r>
        <w:rPr>
          <w:rFonts w:hint="eastAsia"/>
        </w:rPr>
        <w:t>河岸缓冲带生态建设</w:t>
      </w: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lang w:eastAsia="zh-CN"/>
          <w14:textFill>
            <w14:solidFill>
              <w14:schemeClr w14:val="tx1">
                <w14:lumMod w14:val="95000"/>
                <w14:lumOff w14:val="5000"/>
              </w14:schemeClr>
            </w14:solidFill>
          </w14:textFill>
        </w:rPr>
        <w:t>生态植物种植工程</w:t>
      </w:r>
      <w:r>
        <w:rPr>
          <w:rFonts w:hint="eastAsia"/>
          <w:color w:val="0D0D0D" w:themeColor="text1" w:themeTint="F2"/>
          <w14:textFill>
            <w14:solidFill>
              <w14:schemeClr w14:val="tx1">
                <w14:lumMod w14:val="95000"/>
                <w14:lumOff w14:val="5000"/>
              </w14:schemeClr>
            </w14:solidFill>
          </w14:textFill>
        </w:rPr>
        <w:t>通过</w:t>
      </w:r>
      <w:r>
        <w:rPr>
          <w:rFonts w:hint="eastAsia"/>
          <w:color w:val="0D0D0D" w:themeColor="text1" w:themeTint="F2"/>
          <w:lang w:eastAsia="zh-CN"/>
          <w14:textFill>
            <w14:solidFill>
              <w14:schemeClr w14:val="tx1">
                <w14:lumMod w14:val="95000"/>
                <w14:lumOff w14:val="5000"/>
              </w14:schemeClr>
            </w14:solidFill>
          </w14:textFill>
        </w:rPr>
        <w:t>种植</w:t>
      </w:r>
      <w:r>
        <w:rPr>
          <w:rFonts w:hint="eastAsia"/>
          <w:color w:val="0D0D0D" w:themeColor="text1" w:themeTint="F2"/>
          <w14:textFill>
            <w14:solidFill>
              <w14:schemeClr w14:val="tx1">
                <w14:lumMod w14:val="95000"/>
                <w14:lumOff w14:val="5000"/>
              </w14:schemeClr>
            </w14:solidFill>
          </w14:textFill>
        </w:rPr>
        <w:t>自然植被物种</w:t>
      </w:r>
      <w:r>
        <w:rPr>
          <w:rFonts w:hint="eastAsia"/>
          <w:color w:val="0D0D0D" w:themeColor="text1" w:themeTint="F2"/>
          <w:lang w:eastAsia="zh-CN"/>
          <w14:textFill>
            <w14:solidFill>
              <w14:schemeClr w14:val="tx1">
                <w14:lumMod w14:val="95000"/>
                <w14:lumOff w14:val="5000"/>
              </w14:schemeClr>
            </w14:solidFill>
          </w14:textFill>
        </w:rPr>
        <w:t>，发挥绿色植物的景观</w:t>
      </w:r>
      <w:r>
        <w:rPr>
          <w:rFonts w:hint="eastAsia"/>
          <w:color w:val="0D0D0D" w:themeColor="text1" w:themeTint="F2"/>
          <w14:textFill>
            <w14:solidFill>
              <w14:schemeClr w14:val="tx1">
                <w14:lumMod w14:val="95000"/>
                <w14:lumOff w14:val="5000"/>
              </w14:schemeClr>
            </w14:solidFill>
          </w14:textFill>
        </w:rPr>
        <w:t>自然作用，在一定程度上</w:t>
      </w:r>
      <w:r>
        <w:rPr>
          <w:rFonts w:hint="eastAsia"/>
        </w:rPr>
        <w:t>维护良好的水生态环境。</w:t>
      </w:r>
      <w:r>
        <w:t>不进行人为干预。</w:t>
      </w:r>
    </w:p>
    <w:p>
      <w:pPr>
        <w:pStyle w:val="5"/>
        <w:keepNext/>
        <w:keepLines/>
        <w:pageBreakBefore w:val="0"/>
        <w:widowControl w:val="0"/>
        <w:kinsoku/>
        <w:wordWrap/>
        <w:overflowPunct/>
        <w:topLinePunct w:val="0"/>
        <w:autoSpaceDE/>
        <w:autoSpaceDN/>
        <w:bidi w:val="0"/>
        <w:adjustRightInd w:val="0"/>
        <w:snapToGrid w:val="0"/>
        <w:textAlignment w:val="auto"/>
      </w:pPr>
      <w:bookmarkStart w:id="286" w:name="_Toc470785855"/>
      <w:bookmarkStart w:id="287" w:name="_Toc10604"/>
      <w:r>
        <w:t>3.</w:t>
      </w:r>
      <w:r>
        <w:rPr>
          <w:rFonts w:hint="eastAsia"/>
          <w:lang w:val="en-US" w:eastAsia="zh-CN"/>
        </w:rPr>
        <w:t>4</w:t>
      </w:r>
      <w:r>
        <w:t>污染影响因素分析</w:t>
      </w:r>
      <w:bookmarkEnd w:id="286"/>
      <w:bookmarkEnd w:id="287"/>
    </w:p>
    <w:p>
      <w:pPr>
        <w:pStyle w:val="6"/>
      </w:pPr>
      <w:bookmarkStart w:id="288" w:name="_Toc389"/>
      <w:bookmarkStart w:id="289" w:name="_Toc470785856"/>
      <w:r>
        <w:rPr>
          <w:rFonts w:hint="eastAsia"/>
          <w:lang w:eastAsia="zh-CN"/>
        </w:rPr>
        <w:t>3.</w:t>
      </w:r>
      <w:r>
        <w:rPr>
          <w:rFonts w:hint="eastAsia"/>
          <w:lang w:val="en-US" w:eastAsia="zh-CN"/>
        </w:rPr>
        <w:t>4</w:t>
      </w:r>
      <w:r>
        <w:t>.1</w:t>
      </w:r>
      <w:r>
        <w:rPr>
          <w:rFonts w:hint="eastAsia"/>
          <w:lang w:eastAsia="zh-CN"/>
        </w:rPr>
        <w:t>建设</w:t>
      </w:r>
      <w:r>
        <w:t>阶段污染因素分析及治理措施</w:t>
      </w:r>
      <w:bookmarkEnd w:id="288"/>
    </w:p>
    <w:p>
      <w:pPr>
        <w:pStyle w:val="7"/>
        <w:bidi w:val="0"/>
      </w:pPr>
      <w:r>
        <w:rPr>
          <w:rFonts w:hint="eastAsia"/>
          <w:lang w:eastAsia="zh-CN"/>
        </w:rPr>
        <w:t>3.</w:t>
      </w:r>
      <w:r>
        <w:rPr>
          <w:rFonts w:hint="eastAsia"/>
          <w:lang w:val="en-US" w:eastAsia="zh-CN"/>
        </w:rPr>
        <w:t>4</w:t>
      </w:r>
      <w:r>
        <w:t>.1.1</w:t>
      </w:r>
      <w:r>
        <w:rPr>
          <w:rFonts w:hint="eastAsia"/>
          <w:lang w:eastAsia="zh-CN"/>
        </w:rPr>
        <w:t>建设</w:t>
      </w:r>
      <w:r>
        <w:t>阶段大气污染因素分析</w:t>
      </w:r>
    </w:p>
    <w:p>
      <w:pPr>
        <w:bidi w:val="0"/>
      </w:pPr>
      <w:r>
        <w:rPr>
          <w:rFonts w:hint="eastAsia"/>
        </w:rPr>
        <w:t>1、项目建设阶段产生的大气污染物</w:t>
      </w:r>
    </w:p>
    <w:p>
      <w:pPr>
        <w:bidi w:val="0"/>
      </w:pPr>
      <w:r>
        <w:rPr>
          <w:rFonts w:hint="eastAsia"/>
        </w:rPr>
        <w:t>项目建设阶段产生的大气污染物包括：场地</w:t>
      </w:r>
      <w:r>
        <w:t>平整、</w:t>
      </w:r>
      <w:r>
        <w:rPr>
          <w:rFonts w:hint="eastAsia"/>
        </w:rPr>
        <w:t>土方开挖、回填、</w:t>
      </w:r>
      <w:r>
        <w:t>建筑材料装卸及堆存、工程施工</w:t>
      </w:r>
      <w:r>
        <w:rPr>
          <w:rFonts w:hint="eastAsia"/>
        </w:rPr>
        <w:t>等工序产生的废气；运输车辆行驶产生道路扬尘；机械和车辆尾气等。</w:t>
      </w:r>
    </w:p>
    <w:p>
      <w:pPr>
        <w:bidi w:val="0"/>
      </w:pPr>
      <w:r>
        <w:rPr>
          <w:rFonts w:hint="eastAsia"/>
        </w:rPr>
        <w:t>2、拟采取的治理措施</w:t>
      </w:r>
    </w:p>
    <w:p>
      <w:pPr>
        <w:bidi w:val="0"/>
      </w:pPr>
      <w:r>
        <w:rPr>
          <w:rFonts w:hint="eastAsia"/>
        </w:rPr>
        <w:t>项目针对上述污染物拟采取的治理措施为：</w:t>
      </w:r>
    </w:p>
    <w:p>
      <w:pPr>
        <w:bidi w:val="0"/>
      </w:pPr>
      <w:r>
        <w:rPr>
          <w:rFonts w:hint="eastAsia"/>
        </w:rPr>
        <w:t>（1）</w:t>
      </w:r>
      <w:r>
        <w:t>工程施工</w:t>
      </w:r>
      <w:r>
        <w:rPr>
          <w:rFonts w:hint="eastAsia"/>
        </w:rPr>
        <w:t>等工序产生的废气：在施工现场出入口明显位置设置公示牌；对施工现场出入口、场内施工道路、材料加工堆放区进行简单</w:t>
      </w:r>
      <w:r>
        <w:rPr>
          <w:rFonts w:hint="eastAsia"/>
          <w:lang w:eastAsia="zh-CN"/>
        </w:rPr>
        <w:t>碎石铺路</w:t>
      </w:r>
      <w:r>
        <w:rPr>
          <w:rFonts w:hint="eastAsia"/>
        </w:rPr>
        <w:t>，并保持地面整洁；在施工现场出口处设置车辆清洗设施；施工建设过程中采用洒水措施；施工时减少土地开挖面积，施工后及时回填；</w:t>
      </w:r>
      <w:r>
        <w:t>粉状、粒状建筑材料应采取密闭或者遮盖等防尘措施</w:t>
      </w:r>
      <w:r>
        <w:rPr>
          <w:rFonts w:hint="eastAsia"/>
        </w:rPr>
        <w:t>；建筑垃圾当及时清运，在场地内堆存的，应当集中堆放并采取密闭或者遮盖等防尘措施；</w:t>
      </w:r>
      <w:r>
        <w:t>建</w:t>
      </w:r>
      <w:r>
        <w:rPr>
          <w:rFonts w:hint="eastAsia"/>
        </w:rPr>
        <w:t>设</w:t>
      </w:r>
      <w:r>
        <w:t>施工加强监管</w:t>
      </w:r>
      <w:r>
        <w:rPr>
          <w:rFonts w:hint="eastAsia"/>
        </w:rPr>
        <w:t>；在施工工地同步安装视频监控设备和扬尘污染物在线监测设备等；</w:t>
      </w:r>
    </w:p>
    <w:p>
      <w:pPr>
        <w:bidi w:val="0"/>
      </w:pPr>
      <w:r>
        <w:rPr>
          <w:rFonts w:hint="eastAsia"/>
        </w:rPr>
        <w:t>（2）道路扬尘：运输车辆减速慢行，蓬布遮盖，对运输道路及时进行清扫；</w:t>
      </w:r>
    </w:p>
    <w:p>
      <w:pPr>
        <w:bidi w:val="0"/>
      </w:pPr>
      <w:r>
        <w:rPr>
          <w:rFonts w:hint="eastAsia"/>
        </w:rPr>
        <w:t>（3）机械和车辆尾气：项目作业区为线状，污染源分布分散，且污染物大多为露天排放，机械和汽车尾气排放量不大且间歇排放，加强防护措施并经大气扩散和稀释；</w:t>
      </w:r>
    </w:p>
    <w:p>
      <w:pPr>
        <w:pStyle w:val="7"/>
        <w:bidi w:val="0"/>
      </w:pPr>
      <w:r>
        <w:rPr>
          <w:rFonts w:hint="eastAsia"/>
          <w:lang w:val="en-US" w:eastAsia="zh-CN"/>
        </w:rPr>
        <w:t>3.4.1.2</w:t>
      </w:r>
      <w:r>
        <w:rPr>
          <w:rFonts w:hint="eastAsia"/>
        </w:rPr>
        <w:t>建设阶段水污染影响因素分析</w:t>
      </w:r>
    </w:p>
    <w:p>
      <w:pPr>
        <w:bidi w:val="0"/>
      </w:pPr>
      <w:r>
        <w:rPr>
          <w:rFonts w:hint="eastAsia"/>
        </w:rPr>
        <w:t>1、项目建设阶段产生的水污染物</w:t>
      </w:r>
    </w:p>
    <w:p>
      <w:pPr>
        <w:bidi w:val="0"/>
      </w:pPr>
      <w:r>
        <w:rPr>
          <w:rFonts w:hint="eastAsia"/>
        </w:rPr>
        <w:t>项目建设阶段产生的水污染物包括：工程施工废水；基坑排水；施工人员的生活污水等。</w:t>
      </w:r>
    </w:p>
    <w:p>
      <w:pPr>
        <w:bidi w:val="0"/>
      </w:pPr>
      <w:r>
        <w:rPr>
          <w:rFonts w:hint="eastAsia"/>
        </w:rPr>
        <w:t>2、拟采取的治理措施</w:t>
      </w:r>
    </w:p>
    <w:p>
      <w:pPr>
        <w:bidi w:val="0"/>
      </w:pPr>
      <w:r>
        <w:rPr>
          <w:rFonts w:hint="eastAsia"/>
        </w:rPr>
        <w:t>项目针对上述污染物拟采取的治理措施为：</w:t>
      </w:r>
    </w:p>
    <w:p>
      <w:pPr>
        <w:bidi w:val="0"/>
      </w:pPr>
      <w:r>
        <w:rPr>
          <w:rFonts w:hint="eastAsia"/>
        </w:rPr>
        <w:t>（1）工程施工废水：主要包括施工场地地表径流和设备机械冲洗废水，施工场地地表径流通过临时集水沉淀池沉淀后用于洒水降尘及绿化，项目不设车辆维修站等，废水主要是机械设备简单冲洗水，拟在施工机械停放场周围布置集水沟，冲洗废水经集水沟收集进入隔油沉淀池处理后用于洒水降尘。</w:t>
      </w:r>
    </w:p>
    <w:p>
      <w:pPr>
        <w:bidi w:val="0"/>
      </w:pPr>
      <w:r>
        <w:rPr>
          <w:rFonts w:hint="eastAsia"/>
        </w:rPr>
        <w:t>（2）基坑排水经在基坑底面合理布置的排水沟槽，用水泵将少量渗出的地下水及时排出，泵入河道外侧的临时集水沉淀池，沉淀后用于施工场地洒水降尘及绿化以及区域各村道路洒水降尘及绿化等使用，不再回流进入河道，不外排。</w:t>
      </w:r>
    </w:p>
    <w:p>
      <w:pPr>
        <w:bidi w:val="0"/>
      </w:pPr>
      <w:r>
        <w:rPr>
          <w:rFonts w:hint="eastAsia"/>
        </w:rPr>
        <w:t>（3）施工人员生活污水主要是工人的盥洗废水，主要污染因子为pH、</w:t>
      </w:r>
      <w:r>
        <w:t>COD、BOD</w:t>
      </w:r>
      <w:r>
        <w:rPr>
          <w:vertAlign w:val="subscript"/>
        </w:rPr>
        <w:t>5</w:t>
      </w:r>
      <w:r>
        <w:t>、氨氮、SS等</w:t>
      </w:r>
      <w:r>
        <w:rPr>
          <w:rFonts w:hint="eastAsia"/>
        </w:rPr>
        <w:t>，水质较为清洁，泼洒至施工现场，用于施工场地降尘或绿化使用，不外排。</w:t>
      </w:r>
    </w:p>
    <w:p>
      <w:pPr>
        <w:pStyle w:val="7"/>
        <w:bidi w:val="0"/>
      </w:pPr>
      <w:r>
        <w:rPr>
          <w:rFonts w:hint="eastAsia"/>
          <w:lang w:val="en-US" w:eastAsia="zh-CN"/>
        </w:rPr>
        <w:t>3.4.1.3</w:t>
      </w:r>
      <w:r>
        <w:rPr>
          <w:rFonts w:hint="eastAsia"/>
        </w:rPr>
        <w:t>建设阶段噪声污染影响因素分析</w:t>
      </w:r>
    </w:p>
    <w:p>
      <w:pPr>
        <w:bidi w:val="0"/>
      </w:pPr>
      <w:r>
        <w:rPr>
          <w:rFonts w:hint="eastAsia"/>
        </w:rPr>
        <w:t>1、项目建设阶段产生的噪声</w:t>
      </w:r>
    </w:p>
    <w:p>
      <w:pPr>
        <w:bidi w:val="0"/>
      </w:pPr>
      <w:r>
        <w:rPr>
          <w:rFonts w:hint="eastAsia"/>
        </w:rPr>
        <w:t>项目建设阶段产生的噪声主要包括：施工机械设备噪声，主要是施工现场的各类施工机械运行时产生的噪声。以及运输车辆噪声。</w:t>
      </w:r>
    </w:p>
    <w:p>
      <w:pPr>
        <w:bidi w:val="0"/>
      </w:pPr>
      <w:r>
        <w:rPr>
          <w:rFonts w:hint="eastAsia"/>
        </w:rPr>
        <w:t>2、拟采取的治理措施</w:t>
      </w:r>
    </w:p>
    <w:p>
      <w:pPr>
        <w:bidi w:val="0"/>
      </w:pPr>
      <w:r>
        <w:rPr>
          <w:rFonts w:hint="eastAsia"/>
        </w:rPr>
        <w:t>项目针对上述污染物拟采取的治理措施为：通过选用低噪声设备和先进的工艺，规范设备操作，加强设备养护，</w:t>
      </w:r>
      <w:r>
        <w:t>夜间（22：00-次日6：00）</w:t>
      </w:r>
      <w:r>
        <w:rPr>
          <w:rFonts w:hint="eastAsia"/>
        </w:rPr>
        <w:t>禁止施工，</w:t>
      </w:r>
      <w:r>
        <w:t>合理安排施工进度，加强施工期环境</w:t>
      </w:r>
      <w:r>
        <w:rPr>
          <w:rFonts w:hint="eastAsia"/>
        </w:rPr>
        <w:t>管</w:t>
      </w:r>
      <w:r>
        <w:t>理，</w:t>
      </w:r>
      <w:r>
        <w:rPr>
          <w:rFonts w:hint="eastAsia"/>
        </w:rPr>
        <w:t>车辆减速行驶，不鸣笛等措施降低噪声的排放。项目选址施工场地距离周边环境保护目标较远，通过距离衰减，进一步降低噪声的影响。</w:t>
      </w:r>
    </w:p>
    <w:p>
      <w:pPr>
        <w:pStyle w:val="7"/>
        <w:bidi w:val="0"/>
      </w:pPr>
      <w:r>
        <w:rPr>
          <w:rFonts w:hint="eastAsia"/>
          <w:lang w:val="en-US" w:eastAsia="zh-CN"/>
        </w:rPr>
        <w:t>3.4.1.4</w:t>
      </w:r>
      <w:r>
        <w:rPr>
          <w:rFonts w:hint="eastAsia"/>
        </w:rPr>
        <w:t>建设阶段固体废物影响因素分析</w:t>
      </w:r>
    </w:p>
    <w:p>
      <w:pPr>
        <w:bidi w:val="0"/>
      </w:pPr>
      <w:r>
        <w:rPr>
          <w:rFonts w:hint="eastAsia"/>
        </w:rPr>
        <w:t>1、项目建设阶段产生的固体废物</w:t>
      </w:r>
    </w:p>
    <w:p>
      <w:pPr>
        <w:bidi w:val="0"/>
      </w:pPr>
      <w:r>
        <w:rPr>
          <w:rFonts w:hint="eastAsia"/>
        </w:rPr>
        <w:t>项目建设阶段产生的固废主要包括：表土、</w:t>
      </w:r>
      <w:r>
        <w:t>开挖的土石方</w:t>
      </w:r>
      <w:r>
        <w:rPr>
          <w:rFonts w:hint="eastAsia"/>
        </w:rPr>
        <w:t>、</w:t>
      </w:r>
      <w:r>
        <w:t>沉淀</w:t>
      </w:r>
      <w:r>
        <w:rPr>
          <w:rFonts w:hint="eastAsia"/>
        </w:rPr>
        <w:t>集水</w:t>
      </w:r>
      <w:r>
        <w:t>池底泥</w:t>
      </w:r>
      <w:r>
        <w:rPr>
          <w:rFonts w:hint="eastAsia"/>
        </w:rPr>
        <w:t>、</w:t>
      </w:r>
      <w:r>
        <w:t>生活垃圾。</w:t>
      </w:r>
    </w:p>
    <w:p>
      <w:pPr>
        <w:bidi w:val="0"/>
      </w:pPr>
      <w:r>
        <w:rPr>
          <w:rFonts w:hint="eastAsia"/>
        </w:rPr>
        <w:t>2、拟采取的治理措施</w:t>
      </w:r>
    </w:p>
    <w:p>
      <w:pPr>
        <w:bidi w:val="0"/>
      </w:pPr>
      <w:r>
        <w:rPr>
          <w:rFonts w:hint="eastAsia"/>
        </w:rPr>
        <w:t>项目针对上述污染物拟采取的治理措施为：</w:t>
      </w:r>
    </w:p>
    <w:p>
      <w:pPr>
        <w:bidi w:val="0"/>
      </w:pPr>
      <w:r>
        <w:rPr>
          <w:rFonts w:hint="eastAsia"/>
        </w:rPr>
        <w:t>（1）表土：项目表土集中收集，在设置的表土场单独贮存，表土贮存顶部采用编织布覆盖，四周设简易排水沟，防治水土流失；表土用于土方回填使用。施工结束后对表土场生态恢复；</w:t>
      </w:r>
    </w:p>
    <w:p>
      <w:pPr>
        <w:bidi w:val="0"/>
        <w:rPr>
          <w:highlight w:val="none"/>
        </w:rPr>
      </w:pPr>
      <w:r>
        <w:rPr>
          <w:rFonts w:hint="eastAsia"/>
          <w:highlight w:val="none"/>
        </w:rPr>
        <w:t>（</w:t>
      </w:r>
      <w:r>
        <w:rPr>
          <w:highlight w:val="none"/>
        </w:rPr>
        <w:t>2</w:t>
      </w:r>
      <w:r>
        <w:rPr>
          <w:rFonts w:hint="eastAsia"/>
          <w:highlight w:val="none"/>
        </w:rPr>
        <w:t>）开挖的土石方：</w:t>
      </w:r>
      <w:r>
        <w:rPr>
          <w:rFonts w:hint="eastAsia"/>
          <w:highlight w:val="none"/>
          <w:lang w:eastAsia="zh-CN"/>
        </w:rPr>
        <w:t>河道淤泥</w:t>
      </w:r>
      <w:r>
        <w:rPr>
          <w:rFonts w:hint="eastAsia"/>
          <w:highlight w:val="none"/>
        </w:rPr>
        <w:t>用于河滩地低洼地区回填，河流冲积物用于附近村镇乡路垫道；</w:t>
      </w:r>
      <w:r>
        <w:rPr>
          <w:rFonts w:hint="eastAsia"/>
          <w:highlight w:val="none"/>
          <w:lang w:eastAsia="zh-CN"/>
        </w:rPr>
        <w:t>岸堤建设工程</w:t>
      </w:r>
      <w:r>
        <w:rPr>
          <w:rFonts w:hint="eastAsia"/>
          <w:highlight w:val="none"/>
        </w:rPr>
        <w:t>不产生弃方；生态步道</w:t>
      </w:r>
      <w:r>
        <w:rPr>
          <w:rFonts w:hint="eastAsia"/>
          <w:highlight w:val="none"/>
          <w:lang w:eastAsia="zh-CN"/>
        </w:rPr>
        <w:t>工程</w:t>
      </w:r>
      <w:r>
        <w:rPr>
          <w:rFonts w:hint="eastAsia"/>
          <w:highlight w:val="none"/>
        </w:rPr>
        <w:t>不产生弃方</w:t>
      </w:r>
      <w:r>
        <w:rPr>
          <w:rFonts w:hint="eastAsia"/>
          <w:highlight w:val="none"/>
          <w:lang w:eastAsia="zh-CN"/>
        </w:rPr>
        <w:t>，项目</w:t>
      </w:r>
      <w:r>
        <w:rPr>
          <w:rFonts w:hint="eastAsia"/>
          <w:highlight w:val="none"/>
        </w:rPr>
        <w:t>不产生弃土，因此不设弃土场；</w:t>
      </w:r>
    </w:p>
    <w:p>
      <w:pPr>
        <w:bidi w:val="0"/>
      </w:pPr>
      <w:r>
        <w:rPr>
          <w:rFonts w:hint="eastAsia"/>
        </w:rPr>
        <w:t>（</w:t>
      </w:r>
      <w:r>
        <w:t>3</w:t>
      </w:r>
      <w:r>
        <w:rPr>
          <w:rFonts w:hint="eastAsia"/>
        </w:rPr>
        <w:t>）临时沉淀集水池等底泥，定期清运至临时堆土场干化后用于</w:t>
      </w:r>
      <w:r>
        <w:rPr>
          <w:rFonts w:hint="eastAsia"/>
          <w:lang w:eastAsia="zh-CN"/>
        </w:rPr>
        <w:t>岸堤建设</w:t>
      </w:r>
      <w:r>
        <w:rPr>
          <w:rFonts w:hint="eastAsia"/>
        </w:rPr>
        <w:t>工程回填使用；</w:t>
      </w:r>
    </w:p>
    <w:p>
      <w:pPr>
        <w:bidi w:val="0"/>
      </w:pPr>
      <w:r>
        <w:rPr>
          <w:rFonts w:hint="eastAsia"/>
        </w:rPr>
        <w:t>（</w:t>
      </w:r>
      <w:r>
        <w:t>4</w:t>
      </w:r>
      <w:r>
        <w:rPr>
          <w:rFonts w:hint="eastAsia"/>
        </w:rPr>
        <w:t>）施工人员生活垃圾分类收集，送至区域指定生活垃圾集中堆存点，由区域环卫部门统一负责处置。</w:t>
      </w:r>
    </w:p>
    <w:p>
      <w:pPr>
        <w:pStyle w:val="6"/>
        <w:bidi w:val="0"/>
        <w:rPr>
          <w:highlight w:val="none"/>
        </w:rPr>
      </w:pPr>
      <w:bookmarkStart w:id="290" w:name="_Toc4556"/>
      <w:r>
        <w:rPr>
          <w:rFonts w:hint="eastAsia"/>
          <w:highlight w:val="none"/>
          <w:lang w:eastAsia="zh-CN"/>
        </w:rPr>
        <w:t>3.</w:t>
      </w:r>
      <w:r>
        <w:rPr>
          <w:rFonts w:hint="eastAsia"/>
          <w:highlight w:val="none"/>
          <w:lang w:val="en-US" w:eastAsia="zh-CN"/>
        </w:rPr>
        <w:t>4</w:t>
      </w:r>
      <w:r>
        <w:rPr>
          <w:highlight w:val="none"/>
        </w:rPr>
        <w:t>.2</w:t>
      </w:r>
      <w:r>
        <w:rPr>
          <w:rFonts w:hint="eastAsia"/>
          <w:highlight w:val="none"/>
        </w:rPr>
        <w:t>建设阶段生态影响因素分析</w:t>
      </w:r>
      <w:bookmarkEnd w:id="290"/>
    </w:p>
    <w:p>
      <w:pPr>
        <w:bidi w:val="0"/>
        <w:rPr>
          <w:rFonts w:hint="eastAsia"/>
          <w:highlight w:val="none"/>
        </w:rPr>
      </w:pPr>
      <w:r>
        <w:rPr>
          <w:rFonts w:hint="eastAsia"/>
          <w:highlight w:val="none"/>
        </w:rPr>
        <w:t>1、项目建设阶段的影响</w:t>
      </w:r>
    </w:p>
    <w:p>
      <w:pPr>
        <w:bidi w:val="0"/>
        <w:rPr>
          <w:rFonts w:hint="eastAsia"/>
        </w:rPr>
      </w:pPr>
      <w:r>
        <w:rPr>
          <w:rFonts w:hint="eastAsia"/>
        </w:rPr>
        <w:t>（1）对陆生动、植物的影响</w:t>
      </w:r>
    </w:p>
    <w:p>
      <w:pPr>
        <w:bidi w:val="0"/>
        <w:rPr>
          <w:rFonts w:hint="eastAsia"/>
        </w:rPr>
      </w:pPr>
      <w:r>
        <w:rPr>
          <w:rFonts w:hint="eastAsia"/>
        </w:rPr>
        <w:t>项目临时占地区域主要为内陆滩涂、农用地（非基本农田）、空闲地等，不涉及占用基本农田，不在规划的防洪治导线范围内。植被稀疏，主要为杂草、灌丛植被和少量农作物等，项目临时占地对当地植被破坏程度轻微。建设阶段后期，随着生态恢复工程的实施，项目的建设施工对植物造成的不利影响将逐步恢复。同时，项目还实施</w:t>
      </w:r>
      <w:r>
        <w:rPr>
          <w:rFonts w:hint="eastAsia"/>
          <w:lang w:eastAsia="zh-CN"/>
        </w:rPr>
        <w:t>河岸岸堤建设</w:t>
      </w:r>
      <w:r>
        <w:rPr>
          <w:rFonts w:hint="eastAsia"/>
        </w:rPr>
        <w:t>、河流缓冲带生态修复、岸上隔离带等工程，有利于促进区域水源涵养、维护区域生物多样性，有利于区域的土壤保持、生态恢复。区域植被状况将得到较大修复与改善。项目的建设施工对地表植被影响较小。</w:t>
      </w:r>
    </w:p>
    <w:p>
      <w:pPr>
        <w:bidi w:val="0"/>
        <w:rPr>
          <w:rFonts w:hint="eastAsia"/>
        </w:rPr>
      </w:pPr>
      <w:r>
        <w:rPr>
          <w:rFonts w:hint="eastAsia"/>
        </w:rPr>
        <w:t>项目沿线无大型陆生野生动物存在，因此不存在对沿线大型陆生野生动物生存产生影响的问题；项目沿线主要分布有野兔、蛇、山鸡、麻雀、喜鹊等，均属于本地区广布物种，对环境的适应性相对较强。项目建设阶段对动物的影响，主要是运输、施工噪声和人为活动，迫使动物离开施工附近区域。因此，在施工过程中应加强对施工人员活动的控制，减少对动物的干扰，夜间尽量减少活动；合理安排施工时间，在动物活动频繁季节停止施工。在此基础上，工程建设对动物的影响小。</w:t>
      </w:r>
    </w:p>
    <w:p>
      <w:pPr>
        <w:bidi w:val="0"/>
        <w:rPr>
          <w:rFonts w:hint="eastAsia"/>
        </w:rPr>
      </w:pPr>
      <w:r>
        <w:rPr>
          <w:rFonts w:hint="eastAsia"/>
        </w:rPr>
        <w:t>（2）对浮游植物、动物的影响</w:t>
      </w:r>
    </w:p>
    <w:p>
      <w:pPr>
        <w:bidi w:val="0"/>
        <w:rPr>
          <w:rFonts w:hint="eastAsia"/>
        </w:rPr>
      </w:pPr>
      <w:r>
        <w:rPr>
          <w:rFonts w:hint="eastAsia"/>
        </w:rPr>
        <w:t>项目建设阶段，拟建工程生态透水过滤坝的建设将扰动局部水体，导致局部水体浑浊、悬浮物含量高、水体透明度下降、光照强度不充足，可能会使水中溶解氧降低，对浮游植物的光合作用产生一定的不利影响。由于项目建设阶段短暂，受影响的区域范围较小，建设阶段对上游浮游植物不产生影响，在建设阶段结束后，河流迅速澄清，浮游植物的生境通过上游补充等途径可得到较快恢复。</w:t>
      </w:r>
    </w:p>
    <w:p>
      <w:pPr>
        <w:bidi w:val="0"/>
        <w:rPr>
          <w:rFonts w:hint="eastAsia"/>
        </w:rPr>
      </w:pPr>
      <w:r>
        <w:rPr>
          <w:rFonts w:hint="eastAsia"/>
        </w:rPr>
        <w:t>项目建设阶段造成局部悬浮物含量增高，对滤食性浮游动物产生一定影响。一般在水下构筑物周围50m范围内的水体中悬浮物有较为显著的增加，约2000mg/L左右，随着距离的增加、影响逐步减小并恢复到河流的本底状况。但随着施工的结束，影响很快消失。</w:t>
      </w:r>
    </w:p>
    <w:p>
      <w:pPr>
        <w:bidi w:val="0"/>
        <w:rPr>
          <w:rFonts w:hint="eastAsia"/>
        </w:rPr>
      </w:pPr>
      <w:r>
        <w:rPr>
          <w:rFonts w:hint="eastAsia"/>
        </w:rPr>
        <w:t>（3）对底栖动物的影响</w:t>
      </w:r>
    </w:p>
    <w:p>
      <w:pPr>
        <w:bidi w:val="0"/>
        <w:rPr>
          <w:rFonts w:hint="eastAsia"/>
        </w:rPr>
      </w:pPr>
      <w:r>
        <w:rPr>
          <w:rFonts w:hint="eastAsia"/>
        </w:rPr>
        <w:t>项目生态透水过滤坝工程的建设会扰动河道底质，对在施工河段内栖息的底栖动物影响显著，但对蜉蝣目等游动类底栖动物影响较小。</w:t>
      </w:r>
    </w:p>
    <w:p>
      <w:pPr>
        <w:bidi w:val="0"/>
        <w:rPr>
          <w:rFonts w:hint="eastAsia"/>
        </w:rPr>
      </w:pPr>
      <w:r>
        <w:rPr>
          <w:rFonts w:hint="eastAsia"/>
        </w:rPr>
        <w:t>（4）对鱼类的影响</w:t>
      </w:r>
    </w:p>
    <w:p>
      <w:pPr>
        <w:bidi w:val="0"/>
        <w:rPr>
          <w:rFonts w:hint="eastAsia"/>
        </w:rPr>
      </w:pPr>
      <w:r>
        <w:rPr>
          <w:rFonts w:hint="eastAsia"/>
        </w:rPr>
        <w:t>由于浮游生物、底栖动物等饵料生物量的减少及建设施工造成的水质的恶化，局部范围内改变了原有鱼类的生存、生长和繁衍条件，鱼类将择水而栖迁到其它地方，建设施工区域河道内鱼类密度有所降低。但由于影响区域较小、影响时间较短，该影响较轻。</w:t>
      </w:r>
    </w:p>
    <w:p>
      <w:pPr>
        <w:bidi w:val="0"/>
        <w:rPr>
          <w:rFonts w:hint="eastAsia"/>
        </w:rPr>
      </w:pPr>
      <w:r>
        <w:rPr>
          <w:rFonts w:hint="eastAsia"/>
        </w:rPr>
        <w:t>（5）水土流失影响</w:t>
      </w:r>
    </w:p>
    <w:p>
      <w:pPr>
        <w:bidi w:val="0"/>
        <w:rPr>
          <w:rFonts w:hint="eastAsia"/>
        </w:rPr>
      </w:pPr>
      <w:r>
        <w:rPr>
          <w:rFonts w:hint="eastAsia"/>
        </w:rPr>
        <w:t>项目建设施工过程中对生态护岸、河流缓冲带、岸上生态隔离带等区域进行开挖等施工作业，改变了原有地表形态，临时增加了建设阶段内水土流失机会，尤其是在暴雨条件下更容易造成水土流失。</w:t>
      </w:r>
    </w:p>
    <w:p>
      <w:pPr>
        <w:bidi w:val="0"/>
        <w:rPr>
          <w:rFonts w:hint="eastAsia"/>
        </w:rPr>
      </w:pPr>
      <w:r>
        <w:rPr>
          <w:rFonts w:hint="eastAsia"/>
        </w:rPr>
        <w:t>2、拟采取的生态保护措施</w:t>
      </w:r>
    </w:p>
    <w:p>
      <w:pPr>
        <w:bidi w:val="0"/>
        <w:rPr>
          <w:rFonts w:hint="eastAsia"/>
        </w:rPr>
      </w:pPr>
      <w:r>
        <w:rPr>
          <w:rFonts w:hint="eastAsia"/>
        </w:rPr>
        <w:t>（1）拟采取的浮游生物和底栖动物、鱼类的生态保护措施</w:t>
      </w:r>
    </w:p>
    <w:p>
      <w:pPr>
        <w:bidi w:val="0"/>
        <w:rPr>
          <w:rFonts w:hint="eastAsia"/>
        </w:rPr>
      </w:pPr>
      <w:r>
        <w:rPr>
          <w:rFonts w:hint="eastAsia"/>
        </w:rPr>
        <w:t>项目建设施工区域总体属于河道行洪区，由于水体条件所限，河段内仅有少量低级鱼类存在，施工范围内无重点保护野生植物生长繁殖地、非重要水生生物的自然产卵场、无水生生物索饵场、非水生生物的越冬场和洄游通道，无天然渔场。工程建设过程对河道的扰动，将使区域内的生物量有一定的减少，待工程完成后，水域水量充沛，水质逐渐清洁，河道内水生生物的生境相较建设施工前有较大的改善，评价范围内水生生物生物量相较建设施工前有一定的提升。总体来说项目的建设对水质的影响是暂时的，不会导致严重的水质恶化，对水生生态环境影响可接受。</w:t>
      </w:r>
    </w:p>
    <w:p>
      <w:pPr>
        <w:bidi w:val="0"/>
        <w:rPr>
          <w:rFonts w:hint="eastAsia"/>
        </w:rPr>
      </w:pPr>
      <w:r>
        <w:rPr>
          <w:rFonts w:hint="eastAsia"/>
        </w:rPr>
        <w:t>（2）拟采取的水土流失防治措施</w:t>
      </w:r>
    </w:p>
    <w:p>
      <w:pPr>
        <w:bidi w:val="0"/>
        <w:rPr>
          <w:rFonts w:hint="eastAsia"/>
        </w:rPr>
      </w:pPr>
      <w:r>
        <w:rPr>
          <w:rFonts w:hint="eastAsia"/>
        </w:rPr>
        <w:t>水土保持主要措施有工程措施、临时措施，植物措施。施工场地及施工道路种植灌草；临时措施包括对施工场地的料堆等进行苫盖等，防止料堆等水土流失；表土堆场顶部采用编织布覆盖，四周设简易排水沟，防治水土流失；临时堆土场设置围挡措施，地面铺设高密度聚乙烯防渗膜，四周设导流槽。施工结束后返还表土，生态恢复；</w:t>
      </w:r>
    </w:p>
    <w:p>
      <w:pPr>
        <w:bidi w:val="0"/>
        <w:rPr>
          <w:rFonts w:hint="eastAsia"/>
        </w:rPr>
      </w:pPr>
      <w:r>
        <w:rPr>
          <w:rFonts w:hint="eastAsia"/>
        </w:rPr>
        <w:t>②工程分段治理修复，先结束的施工场地及时平整清理并覆土绿化，减少占地的水土流失情况；</w:t>
      </w:r>
    </w:p>
    <w:p>
      <w:pPr>
        <w:bidi w:val="0"/>
        <w:rPr>
          <w:rFonts w:hint="eastAsia"/>
        </w:rPr>
      </w:pPr>
      <w:r>
        <w:rPr>
          <w:rFonts w:hint="eastAsia"/>
        </w:rPr>
        <w:t>③工程结束后，临时用地进行植被恢复；</w:t>
      </w:r>
    </w:p>
    <w:p>
      <w:pPr>
        <w:bidi w:val="0"/>
        <w:rPr>
          <w:rFonts w:hint="eastAsia"/>
        </w:rPr>
      </w:pPr>
      <w:r>
        <w:rPr>
          <w:rFonts w:hint="eastAsia"/>
        </w:rPr>
        <w:t>④项目分段建设施工，施工段总长度较短，随着建设阶段结束，项目河道内施工对水生生态环境的影响也随着结束，项目施工结束后对临时占地和施工临时道路进行植被恢复，对破坏的植被进行重建。</w:t>
      </w:r>
    </w:p>
    <w:p>
      <w:pPr>
        <w:ind w:firstLine="480"/>
      </w:pPr>
      <w:r>
        <w:rPr>
          <w:rFonts w:hint="eastAsia"/>
        </w:rPr>
        <w:t>随着建设期的结束，对施工扰动较大的区域首先进行场地清理，然后进行全面平整，河道内占地采取疏松、平整、迹地恢复，河道外占地采取土地整治绿化、生态恢复等措施。在采取相应的建设期水土保持措施后可最大限度的降低水土流失。</w:t>
      </w:r>
    </w:p>
    <w:p>
      <w:pPr>
        <w:pStyle w:val="6"/>
        <w:rPr>
          <w:rFonts w:hint="default" w:ascii="Times New Roman" w:hAnsi="Times New Roman" w:eastAsia="宋体" w:cs="Times New Roman"/>
          <w:highlight w:val="none"/>
          <w:lang w:val="en-US" w:eastAsia="zh-CN"/>
        </w:rPr>
      </w:pPr>
      <w:bookmarkStart w:id="291" w:name="_Toc32430"/>
      <w:r>
        <w:rPr>
          <w:rFonts w:hint="default" w:ascii="Times New Roman" w:hAnsi="Times New Roman" w:eastAsia="宋体" w:cs="Times New Roman"/>
          <w:highlight w:val="none"/>
          <w:lang w:val="en-US" w:eastAsia="zh-CN"/>
        </w:rPr>
        <w:t>3.</w:t>
      </w:r>
      <w:r>
        <w:rPr>
          <w:rFonts w:hint="eastAsia" w:cs="Times New Roman"/>
          <w:highlight w:val="none"/>
          <w:lang w:val="en-US" w:eastAsia="zh-CN"/>
        </w:rPr>
        <w:t>4.3</w:t>
      </w:r>
      <w:r>
        <w:rPr>
          <w:rFonts w:hint="default" w:ascii="Times New Roman" w:hAnsi="Times New Roman" w:eastAsia="宋体" w:cs="Times New Roman"/>
          <w:highlight w:val="none"/>
          <w:lang w:val="en-US" w:eastAsia="zh-CN"/>
        </w:rPr>
        <w:t>运行阶段污染影响因素分析</w:t>
      </w:r>
      <w:bookmarkEnd w:id="291"/>
    </w:p>
    <w:p>
      <w:pPr>
        <w:bidi w:val="0"/>
        <w:rPr>
          <w:rFonts w:hint="default"/>
          <w:lang w:val="en-US" w:eastAsia="zh-CN"/>
        </w:rPr>
      </w:pPr>
      <w:r>
        <w:rPr>
          <w:rFonts w:hint="default"/>
          <w:lang w:val="en-US" w:eastAsia="zh-CN"/>
        </w:rPr>
        <w:t>项目</w:t>
      </w:r>
      <w:r>
        <w:rPr>
          <w:rFonts w:hint="eastAsia"/>
          <w:lang w:val="en-US" w:eastAsia="zh-CN"/>
        </w:rPr>
        <w:t>河道疏浚工程、河岸岸堤建设、河岸缓冲带生态建设工程</w:t>
      </w:r>
      <w:r>
        <w:rPr>
          <w:rFonts w:hint="default"/>
          <w:lang w:val="en-US" w:eastAsia="zh-CN"/>
        </w:rPr>
        <w:t>全部结束</w:t>
      </w:r>
      <w:r>
        <w:rPr>
          <w:rFonts w:hint="eastAsia"/>
          <w:lang w:val="en-US" w:eastAsia="zh-CN"/>
        </w:rPr>
        <w:t>后</w:t>
      </w:r>
      <w:r>
        <w:rPr>
          <w:rFonts w:hint="default"/>
          <w:lang w:val="en-US" w:eastAsia="zh-CN"/>
        </w:rPr>
        <w:t>，建设阶段污染源随之消失。</w:t>
      </w:r>
    </w:p>
    <w:p>
      <w:pPr>
        <w:bidi w:val="0"/>
        <w:rPr>
          <w:rFonts w:hint="default"/>
          <w:lang w:val="en-US" w:eastAsia="zh-CN"/>
        </w:rPr>
      </w:pPr>
      <w:r>
        <w:rPr>
          <w:rFonts w:hint="default"/>
          <w:lang w:val="en-US" w:eastAsia="zh-CN"/>
        </w:rPr>
        <w:t>项目运行过程中：</w:t>
      </w:r>
      <w:r>
        <w:rPr>
          <w:rFonts w:hint="eastAsia"/>
          <w:lang w:val="en-US" w:eastAsia="zh-CN"/>
        </w:rPr>
        <w:t>河道疏浚工程、河岸岸堤建设</w:t>
      </w:r>
      <w:r>
        <w:rPr>
          <w:rFonts w:hint="default"/>
          <w:lang w:val="en-US" w:eastAsia="zh-CN"/>
        </w:rPr>
        <w:t>既可以维持良好的水生态环境，也有利于防治水土流失，缓解河岸两侧冲刷污染物入河造成的水质不利影响，有利于水土保持，促进区域水源涵养。</w:t>
      </w:r>
      <w:r>
        <w:rPr>
          <w:rFonts w:hint="eastAsia"/>
          <w:lang w:val="en-US" w:eastAsia="zh-CN"/>
        </w:rPr>
        <w:t>河岸缓冲带生态建设工程</w:t>
      </w:r>
      <w:r>
        <w:rPr>
          <w:rFonts w:hint="default"/>
          <w:lang w:val="en-US" w:eastAsia="zh-CN"/>
        </w:rPr>
        <w:t>有利于降低水土流失，降低一定范围的岸边垃圾等污染物入河，维护良好的水生态环境，修复水体及周围缓冲带的生态环境，加强水土保持，促进区域水源涵养。</w:t>
      </w:r>
    </w:p>
    <w:p>
      <w:pPr>
        <w:bidi w:val="0"/>
        <w:rPr>
          <w:rFonts w:hint="default"/>
          <w:lang w:val="en-US" w:eastAsia="zh-CN"/>
        </w:rPr>
      </w:pPr>
      <w:r>
        <w:rPr>
          <w:rFonts w:hint="default"/>
          <w:lang w:val="en-US" w:eastAsia="zh-CN"/>
        </w:rPr>
        <w:t>项目各工程实施后，在运行阶段，有利于维护</w:t>
      </w:r>
      <w:r>
        <w:rPr>
          <w:rFonts w:hint="eastAsia"/>
          <w:lang w:val="en-US" w:eastAsia="zh-CN"/>
        </w:rPr>
        <w:t>柳河</w:t>
      </w:r>
      <w:r>
        <w:rPr>
          <w:rFonts w:hint="default"/>
          <w:lang w:val="en-US" w:eastAsia="zh-CN"/>
        </w:rPr>
        <w:t>良好的水生态环境，对区域水环境质量、监控断面环境质量、河流水域生态环境及生态保护红线的提升和修复都能起到正面的、长远的积极作用。</w:t>
      </w:r>
    </w:p>
    <w:p>
      <w:pPr>
        <w:bidi w:val="0"/>
        <w:rPr>
          <w:rFonts w:hint="default"/>
          <w:lang w:val="en-US" w:eastAsia="zh-CN"/>
        </w:rPr>
      </w:pPr>
      <w:r>
        <w:rPr>
          <w:rFonts w:hint="default"/>
          <w:lang w:val="en-US" w:eastAsia="zh-CN"/>
        </w:rPr>
        <w:t>项目运行阶段不存在其他污染源，因此，项目运行阶段基本对区域环境空气、地表水、地下水、声、土壤等环境要素无不良影响。</w:t>
      </w:r>
    </w:p>
    <w:p>
      <w:pPr>
        <w:pStyle w:val="6"/>
        <w:rPr>
          <w:rFonts w:hint="default" w:ascii="Times New Roman" w:hAnsi="Times New Roman" w:eastAsia="宋体" w:cs="Times New Roman"/>
          <w:highlight w:val="none"/>
          <w:lang w:val="en-US" w:eastAsia="zh-CN"/>
        </w:rPr>
      </w:pPr>
      <w:bookmarkStart w:id="292" w:name="_Toc26771"/>
      <w:r>
        <w:rPr>
          <w:rFonts w:hint="default" w:ascii="Times New Roman" w:hAnsi="Times New Roman" w:eastAsia="宋体" w:cs="Times New Roman"/>
          <w:highlight w:val="none"/>
          <w:lang w:val="en-US" w:eastAsia="zh-CN"/>
        </w:rPr>
        <w:t>3.</w:t>
      </w:r>
      <w:r>
        <w:rPr>
          <w:rFonts w:hint="eastAsia" w:cs="Times New Roman"/>
          <w:highlight w:val="none"/>
          <w:lang w:val="en-US" w:eastAsia="zh-CN"/>
        </w:rPr>
        <w:t>4</w:t>
      </w:r>
      <w:r>
        <w:rPr>
          <w:rFonts w:hint="default" w:ascii="Times New Roman" w:hAnsi="Times New Roman" w:eastAsia="宋体" w:cs="Times New Roman"/>
          <w:highlight w:val="none"/>
          <w:lang w:val="en-US" w:eastAsia="zh-CN"/>
        </w:rPr>
        <w:t>.4产排污环节情况分析汇总</w:t>
      </w:r>
      <w:bookmarkEnd w:id="292"/>
    </w:p>
    <w:p>
      <w:pPr>
        <w:bidi w:val="0"/>
        <w:rPr>
          <w:rFonts w:hint="default"/>
          <w:lang w:val="en-US" w:eastAsia="zh-CN"/>
        </w:rPr>
        <w:sectPr>
          <w:pgSz w:w="11906" w:h="16838"/>
          <w:pgMar w:top="1701" w:right="1701" w:bottom="1701" w:left="1701" w:header="1020" w:footer="992" w:gutter="0"/>
          <w:cols w:space="720" w:num="1"/>
          <w:docGrid w:type="linesAndChars" w:linePitch="312" w:charSpace="0"/>
        </w:sectPr>
      </w:pPr>
      <w:r>
        <w:rPr>
          <w:rFonts w:hint="default"/>
          <w:lang w:val="en-US" w:eastAsia="zh-CN"/>
        </w:rPr>
        <w:t>结合项目施工方案、运行方式、污染影响因素分析等内容，给出项目的产排污环节分析汇总情况一览表，详见下表：</w:t>
      </w:r>
    </w:p>
    <w:p>
      <w:pPr>
        <w:pStyle w:val="131"/>
        <w:numPr>
          <w:ilvl w:val="0"/>
          <w:numId w:val="0"/>
        </w:numPr>
        <w:spacing w:line="360" w:lineRule="auto"/>
        <w:jc w:val="center"/>
        <w:rPr>
          <w:rFonts w:eastAsia="宋体"/>
          <w:b/>
          <w:color w:val="000000" w:themeColor="text1"/>
          <w14:textFill>
            <w14:solidFill>
              <w14:schemeClr w14:val="tx1"/>
            </w14:solidFill>
          </w14:textFill>
        </w:rPr>
      </w:pPr>
      <w:r>
        <w:rPr>
          <w:rFonts w:hint="eastAsia"/>
          <w:b/>
          <w:sz w:val="21"/>
          <w:szCs w:val="21"/>
        </w:rPr>
        <w:t>表</w:t>
      </w:r>
      <w:r>
        <w:rPr>
          <w:b/>
          <w:sz w:val="21"/>
          <w:szCs w:val="21"/>
        </w:rPr>
        <w:t>3</w:t>
      </w:r>
      <w:r>
        <w:rPr>
          <w:rFonts w:hint="eastAsia"/>
          <w:b/>
          <w:sz w:val="21"/>
          <w:szCs w:val="21"/>
          <w:lang w:val="en-US" w:eastAsia="zh-CN"/>
        </w:rPr>
        <w:t>.4-1</w:t>
      </w:r>
      <w:r>
        <w:rPr>
          <w:b/>
          <w:sz w:val="21"/>
          <w:szCs w:val="21"/>
        </w:rPr>
        <w:t xml:space="preserve">  </w:t>
      </w:r>
      <w:r>
        <w:rPr>
          <w:rFonts w:eastAsia="宋体"/>
          <w:b/>
          <w:color w:val="000000" w:themeColor="text1"/>
          <w14:textFill>
            <w14:solidFill>
              <w14:schemeClr w14:val="tx1"/>
            </w14:solidFill>
          </w14:textFill>
        </w:rPr>
        <w:t>项目产</w:t>
      </w:r>
      <w:r>
        <w:rPr>
          <w:rFonts w:hint="eastAsia" w:eastAsia="宋体"/>
          <w:b/>
          <w:color w:val="000000" w:themeColor="text1"/>
          <w14:textFill>
            <w14:solidFill>
              <w14:schemeClr w14:val="tx1"/>
            </w14:solidFill>
          </w14:textFill>
        </w:rPr>
        <w:t>排</w:t>
      </w:r>
      <w:r>
        <w:rPr>
          <w:rFonts w:eastAsia="宋体"/>
          <w:b/>
          <w:color w:val="000000" w:themeColor="text1"/>
          <w14:textFill>
            <w14:solidFill>
              <w14:schemeClr w14:val="tx1"/>
            </w14:solidFill>
          </w14:textFill>
        </w:rPr>
        <w:t>污</w:t>
      </w:r>
      <w:r>
        <w:rPr>
          <w:rFonts w:hint="eastAsia" w:eastAsia="宋体"/>
          <w:b/>
          <w:color w:val="000000" w:themeColor="text1"/>
          <w14:textFill>
            <w14:solidFill>
              <w14:schemeClr w14:val="tx1"/>
            </w14:solidFill>
          </w14:textFill>
        </w:rPr>
        <w:t>环节分析</w:t>
      </w:r>
      <w:r>
        <w:rPr>
          <w:rFonts w:eastAsia="宋体"/>
          <w:b/>
          <w:color w:val="000000" w:themeColor="text1"/>
          <w14:textFill>
            <w14:solidFill>
              <w14:schemeClr w14:val="tx1"/>
            </w14:solidFill>
          </w14:textFill>
        </w:rPr>
        <w:t>一览表</w:t>
      </w:r>
    </w:p>
    <w:tbl>
      <w:tblPr>
        <w:tblStyle w:val="39"/>
        <w:tblW w:w="13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09"/>
        <w:gridCol w:w="1701"/>
        <w:gridCol w:w="709"/>
        <w:gridCol w:w="1134"/>
        <w:gridCol w:w="1559"/>
        <w:gridCol w:w="803"/>
        <w:gridCol w:w="54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pStyle w:val="93"/>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rPr>
                <w:rFonts w:hint="default" w:eastAsia="宋体"/>
                <w:b/>
                <w:sz w:val="21"/>
                <w:szCs w:val="21"/>
              </w:rPr>
            </w:pPr>
            <w:r>
              <w:rPr>
                <w:rFonts w:hint="eastAsia" w:eastAsia="宋体"/>
                <w:b/>
                <w:sz w:val="21"/>
                <w:szCs w:val="21"/>
              </w:rPr>
              <w:t>类别</w:t>
            </w:r>
          </w:p>
        </w:tc>
        <w:tc>
          <w:tcPr>
            <w:tcW w:w="709" w:type="dxa"/>
            <w:vAlign w:val="center"/>
          </w:tcPr>
          <w:p>
            <w:pPr>
              <w:pStyle w:val="93"/>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rPr>
                <w:rFonts w:hint="default" w:eastAsia="宋体"/>
                <w:b/>
                <w:sz w:val="21"/>
                <w:szCs w:val="21"/>
              </w:rPr>
            </w:pPr>
            <w:r>
              <w:rPr>
                <w:rFonts w:hint="default" w:eastAsia="宋体"/>
                <w:b/>
                <w:sz w:val="21"/>
                <w:szCs w:val="21"/>
              </w:rPr>
              <w:t>阶段</w:t>
            </w:r>
          </w:p>
        </w:tc>
        <w:tc>
          <w:tcPr>
            <w:tcW w:w="1701" w:type="dxa"/>
            <w:vAlign w:val="center"/>
          </w:tcPr>
          <w:p>
            <w:pPr>
              <w:pStyle w:val="93"/>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rPr>
                <w:rFonts w:hint="default" w:eastAsia="宋体"/>
                <w:b/>
                <w:sz w:val="21"/>
                <w:szCs w:val="21"/>
              </w:rPr>
            </w:pPr>
            <w:r>
              <w:rPr>
                <w:rFonts w:hint="default" w:eastAsia="宋体"/>
                <w:b/>
                <w:sz w:val="21"/>
                <w:szCs w:val="21"/>
              </w:rPr>
              <w:t>污染工序或源</w:t>
            </w:r>
          </w:p>
        </w:tc>
        <w:tc>
          <w:tcPr>
            <w:tcW w:w="709" w:type="dxa"/>
            <w:vAlign w:val="center"/>
          </w:tcPr>
          <w:p>
            <w:pPr>
              <w:pStyle w:val="93"/>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rPr>
                <w:rFonts w:hint="default" w:eastAsia="宋体"/>
                <w:b/>
                <w:sz w:val="21"/>
                <w:szCs w:val="21"/>
              </w:rPr>
            </w:pPr>
            <w:r>
              <w:rPr>
                <w:rFonts w:hint="eastAsia" w:eastAsia="宋体"/>
                <w:b/>
                <w:sz w:val="21"/>
                <w:szCs w:val="21"/>
              </w:rPr>
              <w:t>编号</w:t>
            </w:r>
          </w:p>
        </w:tc>
        <w:tc>
          <w:tcPr>
            <w:tcW w:w="1134" w:type="dxa"/>
            <w:vAlign w:val="center"/>
          </w:tcPr>
          <w:p>
            <w:pPr>
              <w:pStyle w:val="93"/>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rPr>
                <w:rFonts w:hint="default" w:eastAsia="宋体"/>
                <w:b/>
                <w:sz w:val="21"/>
                <w:szCs w:val="21"/>
              </w:rPr>
            </w:pPr>
            <w:r>
              <w:rPr>
                <w:rFonts w:hint="eastAsia" w:eastAsia="宋体"/>
                <w:b/>
                <w:sz w:val="21"/>
                <w:szCs w:val="21"/>
              </w:rPr>
              <w:t>污染物</w:t>
            </w:r>
          </w:p>
        </w:tc>
        <w:tc>
          <w:tcPr>
            <w:tcW w:w="1559" w:type="dxa"/>
            <w:vAlign w:val="center"/>
          </w:tcPr>
          <w:p>
            <w:pPr>
              <w:pStyle w:val="93"/>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rPr>
                <w:rFonts w:hint="default" w:eastAsia="宋体"/>
                <w:b/>
                <w:sz w:val="21"/>
                <w:szCs w:val="21"/>
              </w:rPr>
            </w:pPr>
            <w:r>
              <w:rPr>
                <w:rFonts w:hint="default" w:eastAsia="宋体"/>
                <w:b/>
                <w:sz w:val="21"/>
                <w:szCs w:val="21"/>
              </w:rPr>
              <w:t>主要污染因子</w:t>
            </w:r>
          </w:p>
        </w:tc>
        <w:tc>
          <w:tcPr>
            <w:tcW w:w="803" w:type="dxa"/>
            <w:vAlign w:val="center"/>
          </w:tcPr>
          <w:p>
            <w:pPr>
              <w:pStyle w:val="93"/>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rPr>
                <w:rFonts w:hint="default" w:eastAsia="宋体"/>
                <w:b/>
                <w:sz w:val="21"/>
                <w:szCs w:val="21"/>
              </w:rPr>
            </w:pPr>
            <w:r>
              <w:rPr>
                <w:rFonts w:hint="default" w:eastAsia="宋体"/>
                <w:b/>
                <w:sz w:val="21"/>
                <w:szCs w:val="21"/>
              </w:rPr>
              <w:t>产生特征</w:t>
            </w:r>
          </w:p>
        </w:tc>
        <w:tc>
          <w:tcPr>
            <w:tcW w:w="5434" w:type="dxa"/>
            <w:vAlign w:val="center"/>
          </w:tcPr>
          <w:p>
            <w:pPr>
              <w:pStyle w:val="93"/>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rPr>
                <w:rFonts w:hint="default" w:eastAsia="宋体"/>
                <w:b/>
                <w:sz w:val="21"/>
                <w:szCs w:val="21"/>
              </w:rPr>
            </w:pPr>
            <w:r>
              <w:rPr>
                <w:rFonts w:hint="eastAsia" w:eastAsia="宋体"/>
                <w:b/>
                <w:sz w:val="21"/>
                <w:szCs w:val="21"/>
              </w:rPr>
              <w:t>拟采取的治理措施</w:t>
            </w:r>
          </w:p>
        </w:tc>
        <w:tc>
          <w:tcPr>
            <w:tcW w:w="1134" w:type="dxa"/>
            <w:vAlign w:val="center"/>
          </w:tcPr>
          <w:p>
            <w:pPr>
              <w:pStyle w:val="93"/>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rPr>
                <w:rFonts w:hint="default" w:eastAsia="宋体"/>
                <w:b/>
                <w:sz w:val="21"/>
                <w:szCs w:val="21"/>
              </w:rPr>
            </w:pPr>
            <w:r>
              <w:rPr>
                <w:rFonts w:hint="default" w:eastAsia="宋体"/>
                <w:b/>
                <w:sz w:val="21"/>
                <w:szCs w:val="21"/>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jc w:val="center"/>
        </w:trPr>
        <w:tc>
          <w:tcPr>
            <w:tcW w:w="704" w:type="dxa"/>
            <w:vMerge w:val="restart"/>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废气</w:t>
            </w:r>
          </w:p>
        </w:tc>
        <w:tc>
          <w:tcPr>
            <w:tcW w:w="709" w:type="dxa"/>
            <w:vMerge w:val="restart"/>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建设</w:t>
            </w: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场地</w:t>
            </w:r>
            <w:r>
              <w:rPr>
                <w:rFonts w:hint="default"/>
                <w:sz w:val="21"/>
                <w:szCs w:val="21"/>
              </w:rPr>
              <w:t>平整、</w:t>
            </w:r>
            <w:r>
              <w:rPr>
                <w:rFonts w:hint="eastAsia"/>
                <w:sz w:val="21"/>
                <w:szCs w:val="21"/>
              </w:rPr>
              <w:t>土方开挖、回填、</w:t>
            </w:r>
            <w:r>
              <w:rPr>
                <w:rFonts w:hint="default"/>
                <w:sz w:val="21"/>
                <w:szCs w:val="21"/>
              </w:rPr>
              <w:t>建筑材料装卸及堆存、工程施工</w:t>
            </w:r>
            <w:r>
              <w:rPr>
                <w:rFonts w:hint="eastAsia"/>
                <w:sz w:val="21"/>
                <w:szCs w:val="21"/>
              </w:rPr>
              <w:t>等工序</w:t>
            </w:r>
          </w:p>
        </w:tc>
        <w:tc>
          <w:tcPr>
            <w:tcW w:w="70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施工扬尘</w:t>
            </w:r>
          </w:p>
        </w:tc>
        <w:tc>
          <w:tcPr>
            <w:tcW w:w="155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颗粒物</w:t>
            </w:r>
          </w:p>
        </w:tc>
        <w:tc>
          <w:tcPr>
            <w:tcW w:w="803"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间断</w:t>
            </w:r>
          </w:p>
        </w:tc>
        <w:tc>
          <w:tcPr>
            <w:tcW w:w="54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在施工现场出入口明显位置设置公示牌；对施工现场出入口、场内施工道路、材料加工堆放区进行简单硬化处理，并保持地面整洁；在施工现场出口处设置车辆清洗设施；施工建设过程中采用洒水措施；施工时减少土地开挖面积，施工后及时回填；</w:t>
            </w:r>
            <w:r>
              <w:rPr>
                <w:rFonts w:hint="default"/>
                <w:sz w:val="21"/>
                <w:szCs w:val="21"/>
              </w:rPr>
              <w:t>粉状、粒状建筑材料应采取密闭或者遮盖等防尘措施</w:t>
            </w:r>
            <w:r>
              <w:rPr>
                <w:rFonts w:hint="eastAsia"/>
                <w:sz w:val="21"/>
                <w:szCs w:val="21"/>
              </w:rPr>
              <w:t>；建筑垃圾当及时清运，在场地内堆存的，应当集中堆放并采取密闭或者遮盖等防尘措施；</w:t>
            </w:r>
            <w:r>
              <w:rPr>
                <w:rFonts w:hint="default"/>
                <w:sz w:val="21"/>
                <w:szCs w:val="21"/>
              </w:rPr>
              <w:t>建</w:t>
            </w:r>
            <w:r>
              <w:rPr>
                <w:rFonts w:hint="eastAsia"/>
                <w:sz w:val="21"/>
                <w:szCs w:val="21"/>
              </w:rPr>
              <w:t>设</w:t>
            </w:r>
            <w:r>
              <w:rPr>
                <w:rFonts w:hint="default"/>
                <w:sz w:val="21"/>
                <w:szCs w:val="21"/>
              </w:rPr>
              <w:t>施工加强监管</w:t>
            </w:r>
            <w:r>
              <w:rPr>
                <w:rFonts w:hint="eastAsia"/>
                <w:sz w:val="21"/>
                <w:szCs w:val="21"/>
              </w:rPr>
              <w:t>；在施工工地同步安装视频监控设备和扬尘污染物在线监测设备等</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车辆运输</w:t>
            </w:r>
          </w:p>
        </w:tc>
        <w:tc>
          <w:tcPr>
            <w:tcW w:w="70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道路扬尘</w:t>
            </w:r>
          </w:p>
        </w:tc>
        <w:tc>
          <w:tcPr>
            <w:tcW w:w="155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颗粒物</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间断</w:t>
            </w:r>
          </w:p>
        </w:tc>
        <w:tc>
          <w:tcPr>
            <w:tcW w:w="54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运输车辆减速慢行，蓬布遮盖，对运输道路及时进行清扫</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施工机械及车辆</w:t>
            </w:r>
          </w:p>
        </w:tc>
        <w:tc>
          <w:tcPr>
            <w:tcW w:w="70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尾气</w:t>
            </w:r>
          </w:p>
        </w:tc>
        <w:tc>
          <w:tcPr>
            <w:tcW w:w="155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CO、THC、NO</w:t>
            </w:r>
            <w:r>
              <w:rPr>
                <w:rFonts w:hint="eastAsia"/>
                <w:sz w:val="21"/>
                <w:szCs w:val="21"/>
                <w:vertAlign w:val="subscript"/>
              </w:rPr>
              <w:t>x</w:t>
            </w:r>
            <w:r>
              <w:rPr>
                <w:rFonts w:hint="eastAsia"/>
                <w:sz w:val="21"/>
                <w:szCs w:val="21"/>
              </w:rPr>
              <w:t>等</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间断</w:t>
            </w:r>
          </w:p>
        </w:tc>
        <w:tc>
          <w:tcPr>
            <w:tcW w:w="54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项目作业区为线状，污染源分布分散，且污染物大多为露天排放，机械和汽车尾气排放量不大且间歇排放，加强防护措施并经大气扩散和稀释</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运行</w:t>
            </w: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70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55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54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04" w:type="dxa"/>
            <w:vMerge w:val="restart"/>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废水</w:t>
            </w:r>
          </w:p>
        </w:tc>
        <w:tc>
          <w:tcPr>
            <w:tcW w:w="709" w:type="dxa"/>
            <w:vMerge w:val="restart"/>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建设</w:t>
            </w:r>
          </w:p>
        </w:tc>
        <w:tc>
          <w:tcPr>
            <w:tcW w:w="1701" w:type="dxa"/>
            <w:vMerge w:val="restart"/>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建设</w:t>
            </w:r>
            <w:r>
              <w:rPr>
                <w:rFonts w:hint="default"/>
                <w:sz w:val="21"/>
                <w:szCs w:val="21"/>
              </w:rPr>
              <w:t>施工</w:t>
            </w: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施工场地地表径流</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SS</w:t>
            </w:r>
            <w:r>
              <w:rPr>
                <w:rFonts w:hint="eastAsia"/>
                <w:sz w:val="21"/>
                <w:szCs w:val="21"/>
              </w:rPr>
              <w:t>等</w:t>
            </w:r>
          </w:p>
        </w:tc>
        <w:tc>
          <w:tcPr>
            <w:tcW w:w="803"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间断</w:t>
            </w:r>
          </w:p>
        </w:tc>
        <w:tc>
          <w:tcPr>
            <w:tcW w:w="54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项目建设阶段在防洪治导线线外修建临时沉淀集水池，通过临时集水沉淀池沉淀后用于洒水降尘及绿化</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Merge w:val="continue"/>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1701" w:type="dxa"/>
            <w:vMerge w:val="continue"/>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设备机械冲洗废水</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p</w:t>
            </w:r>
            <w:r>
              <w:rPr>
                <w:rFonts w:hint="default"/>
                <w:sz w:val="21"/>
                <w:szCs w:val="21"/>
              </w:rPr>
              <w:t>H</w:t>
            </w:r>
            <w:r>
              <w:rPr>
                <w:rFonts w:hint="eastAsia"/>
                <w:sz w:val="21"/>
                <w:szCs w:val="21"/>
              </w:rPr>
              <w:t>、</w:t>
            </w:r>
            <w:r>
              <w:rPr>
                <w:rFonts w:hint="default"/>
                <w:sz w:val="21"/>
                <w:szCs w:val="21"/>
              </w:rPr>
              <w:t>COD、BOD</w:t>
            </w:r>
            <w:r>
              <w:rPr>
                <w:rFonts w:hint="default"/>
                <w:sz w:val="21"/>
                <w:szCs w:val="21"/>
                <w:vertAlign w:val="subscript"/>
              </w:rPr>
              <w:t>5</w:t>
            </w:r>
            <w:r>
              <w:rPr>
                <w:rFonts w:hint="default"/>
                <w:sz w:val="21"/>
                <w:szCs w:val="21"/>
              </w:rPr>
              <w:t>、SS、氨氮</w:t>
            </w:r>
            <w:r>
              <w:rPr>
                <w:rFonts w:hint="eastAsia"/>
                <w:sz w:val="21"/>
                <w:szCs w:val="21"/>
              </w:rPr>
              <w:t>、石油类</w:t>
            </w:r>
            <w:r>
              <w:rPr>
                <w:rFonts w:hint="default"/>
                <w:sz w:val="21"/>
                <w:szCs w:val="21"/>
              </w:rPr>
              <w:t>等</w:t>
            </w:r>
          </w:p>
        </w:tc>
        <w:tc>
          <w:tcPr>
            <w:tcW w:w="803"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间断</w:t>
            </w:r>
          </w:p>
        </w:tc>
        <w:tc>
          <w:tcPr>
            <w:tcW w:w="54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项目不设车辆维修站等，废水主要是机械设备简单冲洗水，拟在施工机械停放场周围布置集水沟，冲洗废水经集水沟收集进入隔油沉淀池处理后用于洒水降尘</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Merge w:val="continue"/>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基坑</w:t>
            </w: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基坑排水</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S</w:t>
            </w:r>
            <w:r>
              <w:rPr>
                <w:rFonts w:hint="default"/>
                <w:sz w:val="21"/>
                <w:szCs w:val="21"/>
              </w:rPr>
              <w:t>S</w:t>
            </w:r>
            <w:r>
              <w:rPr>
                <w:rFonts w:hint="eastAsia"/>
                <w:sz w:val="21"/>
                <w:szCs w:val="21"/>
              </w:rPr>
              <w:t>等</w:t>
            </w:r>
          </w:p>
        </w:tc>
        <w:tc>
          <w:tcPr>
            <w:tcW w:w="803"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间断</w:t>
            </w:r>
          </w:p>
        </w:tc>
        <w:tc>
          <w:tcPr>
            <w:tcW w:w="54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在基坑底面合理布置的排水沟槽，用水泵将少量渗出的地下水及时排出，泵入河道外侧的临时集水沉淀池，沉淀后用于施工场地洒水降尘及绿化以及区域各村道路洒水降尘及绿化等使用，不再回流进入河道，不外排</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施工人员</w:t>
            </w: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生活污水</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COD、BOD</w:t>
            </w:r>
            <w:r>
              <w:rPr>
                <w:rFonts w:hint="default"/>
                <w:sz w:val="21"/>
                <w:szCs w:val="21"/>
                <w:vertAlign w:val="subscript"/>
              </w:rPr>
              <w:t>5</w:t>
            </w:r>
            <w:r>
              <w:rPr>
                <w:rFonts w:hint="default"/>
                <w:sz w:val="21"/>
                <w:szCs w:val="21"/>
              </w:rPr>
              <w:t>、SS、氨氮等</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间断</w:t>
            </w:r>
          </w:p>
        </w:tc>
        <w:tc>
          <w:tcPr>
            <w:tcW w:w="54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施工现场</w:t>
            </w:r>
            <w:r>
              <w:rPr>
                <w:rFonts w:hint="default"/>
                <w:sz w:val="21"/>
                <w:szCs w:val="21"/>
              </w:rPr>
              <w:t>主要是工人的盥洗</w:t>
            </w:r>
            <w:r>
              <w:rPr>
                <w:rFonts w:hint="eastAsia"/>
                <w:sz w:val="21"/>
                <w:szCs w:val="21"/>
              </w:rPr>
              <w:t>废</w:t>
            </w:r>
            <w:r>
              <w:rPr>
                <w:rFonts w:hint="default"/>
                <w:sz w:val="21"/>
                <w:szCs w:val="21"/>
              </w:rPr>
              <w:t>水，</w:t>
            </w:r>
            <w:r>
              <w:rPr>
                <w:rFonts w:hint="eastAsia"/>
                <w:sz w:val="21"/>
                <w:szCs w:val="21"/>
              </w:rPr>
              <w:t>主要污染因子为</w:t>
            </w:r>
            <w:r>
              <w:rPr>
                <w:rFonts w:hint="default"/>
                <w:sz w:val="21"/>
                <w:szCs w:val="21"/>
              </w:rPr>
              <w:t>COD、BOD</w:t>
            </w:r>
            <w:r>
              <w:rPr>
                <w:rFonts w:hint="default"/>
                <w:sz w:val="21"/>
                <w:szCs w:val="21"/>
                <w:vertAlign w:val="subscript"/>
              </w:rPr>
              <w:t>5</w:t>
            </w:r>
            <w:r>
              <w:rPr>
                <w:rFonts w:hint="default"/>
                <w:sz w:val="21"/>
                <w:szCs w:val="21"/>
              </w:rPr>
              <w:t>、氨氮、SS等</w:t>
            </w:r>
            <w:r>
              <w:rPr>
                <w:rFonts w:hint="eastAsia"/>
                <w:sz w:val="21"/>
                <w:szCs w:val="21"/>
              </w:rPr>
              <w:t>，</w:t>
            </w:r>
            <w:r>
              <w:rPr>
                <w:rFonts w:hint="default"/>
                <w:sz w:val="21"/>
                <w:szCs w:val="21"/>
              </w:rPr>
              <w:t>水质较为清洁</w:t>
            </w:r>
            <w:r>
              <w:rPr>
                <w:rFonts w:hint="eastAsia"/>
                <w:sz w:val="21"/>
                <w:szCs w:val="21"/>
              </w:rPr>
              <w:t>，</w:t>
            </w:r>
            <w:r>
              <w:rPr>
                <w:rFonts w:hint="default"/>
                <w:sz w:val="21"/>
                <w:szCs w:val="21"/>
              </w:rPr>
              <w:t>泼洒至施工现场</w:t>
            </w:r>
            <w:r>
              <w:rPr>
                <w:rFonts w:hint="eastAsia"/>
                <w:sz w:val="21"/>
                <w:szCs w:val="21"/>
              </w:rPr>
              <w:t>，</w:t>
            </w:r>
            <w:r>
              <w:rPr>
                <w:rFonts w:hint="default"/>
                <w:sz w:val="21"/>
                <w:szCs w:val="21"/>
              </w:rPr>
              <w:t>用于降尘</w:t>
            </w:r>
            <w:r>
              <w:rPr>
                <w:rFonts w:hint="eastAsia"/>
                <w:sz w:val="21"/>
                <w:szCs w:val="21"/>
              </w:rPr>
              <w:t>或周边植被绿化</w:t>
            </w:r>
            <w:r>
              <w:rPr>
                <w:rFonts w:hint="default"/>
                <w:sz w:val="21"/>
                <w:szCs w:val="21"/>
              </w:rPr>
              <w:t>使用</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运行</w:t>
            </w: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54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04" w:type="dxa"/>
            <w:vMerge w:val="restart"/>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噪声</w:t>
            </w:r>
          </w:p>
        </w:tc>
        <w:tc>
          <w:tcPr>
            <w:tcW w:w="709" w:type="dxa"/>
            <w:vMerge w:val="restart"/>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建设</w:t>
            </w: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建设施工</w:t>
            </w:r>
          </w:p>
        </w:tc>
        <w:tc>
          <w:tcPr>
            <w:tcW w:w="70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施工机械噪声</w:t>
            </w:r>
          </w:p>
        </w:tc>
        <w:tc>
          <w:tcPr>
            <w:tcW w:w="155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L</w:t>
            </w:r>
            <w:r>
              <w:rPr>
                <w:rFonts w:hint="eastAsia"/>
                <w:sz w:val="21"/>
                <w:szCs w:val="21"/>
              </w:rPr>
              <w:t>eq（A）</w:t>
            </w:r>
          </w:p>
        </w:tc>
        <w:tc>
          <w:tcPr>
            <w:tcW w:w="803"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间断</w:t>
            </w:r>
          </w:p>
        </w:tc>
        <w:tc>
          <w:tcPr>
            <w:tcW w:w="54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选用低噪声设备和先进的工艺，规范设备操作，加强设备养护，</w:t>
            </w:r>
            <w:r>
              <w:rPr>
                <w:rFonts w:hint="default"/>
                <w:sz w:val="21"/>
                <w:szCs w:val="21"/>
              </w:rPr>
              <w:t>夜间（22：00-次日6：00）</w:t>
            </w:r>
            <w:r>
              <w:rPr>
                <w:rFonts w:hint="eastAsia"/>
                <w:sz w:val="21"/>
                <w:szCs w:val="21"/>
              </w:rPr>
              <w:t>禁止施工，</w:t>
            </w:r>
            <w:r>
              <w:rPr>
                <w:rFonts w:hint="default"/>
                <w:sz w:val="21"/>
                <w:szCs w:val="21"/>
              </w:rPr>
              <w:t>合理安排施工进度，加强施工期环境</w:t>
            </w:r>
            <w:r>
              <w:rPr>
                <w:rFonts w:hint="eastAsia"/>
                <w:sz w:val="21"/>
                <w:szCs w:val="21"/>
              </w:rPr>
              <w:t>管</w:t>
            </w:r>
            <w:r>
              <w:rPr>
                <w:rFonts w:hint="default"/>
                <w:sz w:val="21"/>
                <w:szCs w:val="21"/>
              </w:rPr>
              <w:t>理</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车辆运输</w:t>
            </w:r>
          </w:p>
        </w:tc>
        <w:tc>
          <w:tcPr>
            <w:tcW w:w="70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车辆噪声</w:t>
            </w:r>
          </w:p>
        </w:tc>
        <w:tc>
          <w:tcPr>
            <w:tcW w:w="155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L</w:t>
            </w:r>
            <w:r>
              <w:rPr>
                <w:rFonts w:hint="eastAsia"/>
                <w:sz w:val="21"/>
                <w:szCs w:val="21"/>
              </w:rPr>
              <w:t>eq（A）</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间断</w:t>
            </w:r>
          </w:p>
        </w:tc>
        <w:tc>
          <w:tcPr>
            <w:tcW w:w="54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车辆减速慢行，不鸣笛</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运行</w:t>
            </w: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70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559"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54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04" w:type="dxa"/>
            <w:vMerge w:val="restart"/>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固废</w:t>
            </w:r>
          </w:p>
        </w:tc>
        <w:tc>
          <w:tcPr>
            <w:tcW w:w="709" w:type="dxa"/>
            <w:vMerge w:val="restart"/>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建设</w:t>
            </w:r>
          </w:p>
        </w:tc>
        <w:tc>
          <w:tcPr>
            <w:tcW w:w="1701" w:type="dxa"/>
            <w:vMerge w:val="restart"/>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建设施工</w:t>
            </w: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施工固废</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表土</w:t>
            </w:r>
          </w:p>
        </w:tc>
        <w:tc>
          <w:tcPr>
            <w:tcW w:w="803"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间断</w:t>
            </w:r>
          </w:p>
        </w:tc>
        <w:tc>
          <w:tcPr>
            <w:tcW w:w="54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集中收集，设置临时表土堆场暂存，表土堆场顶部采用编织布覆盖，四周设置截洪沟，防治水土流失；表土用于土方回填使用；</w:t>
            </w:r>
            <w:r>
              <w:rPr>
                <w:rFonts w:hint="eastAsia"/>
                <w:bCs/>
                <w:kern w:val="44"/>
                <w:sz w:val="21"/>
                <w:szCs w:val="21"/>
              </w:rPr>
              <w:t>施工结束后对表土场生态恢复</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Merge w:val="continue"/>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1701" w:type="dxa"/>
            <w:vMerge w:val="continue"/>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施工固废</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开挖的土石方</w:t>
            </w:r>
          </w:p>
        </w:tc>
        <w:tc>
          <w:tcPr>
            <w:tcW w:w="803"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间断</w:t>
            </w:r>
          </w:p>
        </w:tc>
        <w:tc>
          <w:tcPr>
            <w:tcW w:w="54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highlight w:val="none"/>
                <w:lang w:eastAsia="zh-CN"/>
              </w:rPr>
              <w:t>河道淤泥</w:t>
            </w:r>
            <w:r>
              <w:rPr>
                <w:rFonts w:hint="eastAsia"/>
                <w:highlight w:val="none"/>
              </w:rPr>
              <w:t>用于河滩地低洼地区回填，河流冲积物用于附近村镇乡路垫道；生态护岸</w:t>
            </w:r>
            <w:r>
              <w:rPr>
                <w:rFonts w:hint="eastAsia"/>
                <w:highlight w:val="none"/>
                <w:lang w:eastAsia="zh-CN"/>
              </w:rPr>
              <w:t>工程</w:t>
            </w:r>
            <w:r>
              <w:rPr>
                <w:rFonts w:hint="eastAsia"/>
                <w:highlight w:val="none"/>
              </w:rPr>
              <w:t>不产生弃方；生态步道</w:t>
            </w:r>
            <w:r>
              <w:rPr>
                <w:rFonts w:hint="eastAsia"/>
                <w:highlight w:val="none"/>
                <w:lang w:eastAsia="zh-CN"/>
              </w:rPr>
              <w:t>工程</w:t>
            </w:r>
            <w:r>
              <w:rPr>
                <w:rFonts w:hint="eastAsia"/>
                <w:highlight w:val="none"/>
              </w:rPr>
              <w:t>不产生弃方</w:t>
            </w:r>
            <w:r>
              <w:rPr>
                <w:rFonts w:hint="eastAsia"/>
                <w:highlight w:val="none"/>
                <w:lang w:eastAsia="zh-CN"/>
              </w:rPr>
              <w:t>，项目</w:t>
            </w:r>
            <w:r>
              <w:rPr>
                <w:rFonts w:hint="eastAsia"/>
                <w:highlight w:val="none"/>
              </w:rPr>
              <w:t>不产生弃土，不设弃土场</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妥善</w:t>
            </w:r>
            <w:r>
              <w:rPr>
                <w:rFonts w:hint="default"/>
                <w:sz w:val="21"/>
                <w:szCs w:val="21"/>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Merge w:val="continue"/>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1701" w:type="dxa"/>
            <w:vMerge w:val="continue"/>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施工固废</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pacing w:val="-20"/>
                <w:sz w:val="21"/>
                <w:szCs w:val="21"/>
              </w:rPr>
            </w:pPr>
            <w:r>
              <w:rPr>
                <w:rFonts w:hint="default"/>
                <w:spacing w:val="-20"/>
                <w:sz w:val="21"/>
                <w:szCs w:val="21"/>
              </w:rPr>
              <w:t>沉淀</w:t>
            </w:r>
            <w:r>
              <w:rPr>
                <w:rFonts w:hint="eastAsia"/>
                <w:spacing w:val="-20"/>
                <w:sz w:val="21"/>
                <w:szCs w:val="21"/>
              </w:rPr>
              <w:t>集水</w:t>
            </w:r>
            <w:r>
              <w:rPr>
                <w:rFonts w:hint="default"/>
                <w:spacing w:val="-20"/>
                <w:sz w:val="21"/>
                <w:szCs w:val="21"/>
              </w:rPr>
              <w:t>池底泥</w:t>
            </w:r>
          </w:p>
        </w:tc>
        <w:tc>
          <w:tcPr>
            <w:tcW w:w="803"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间断</w:t>
            </w:r>
          </w:p>
        </w:tc>
        <w:tc>
          <w:tcPr>
            <w:tcW w:w="54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定期清运至临时堆土场干化后用于生态护岸回填使用</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妥善</w:t>
            </w:r>
            <w:r>
              <w:rPr>
                <w:rFonts w:hint="default"/>
                <w:sz w:val="21"/>
                <w:szCs w:val="21"/>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施工人员</w:t>
            </w: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生活垃圾</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生活垃圾</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间断</w:t>
            </w:r>
          </w:p>
        </w:tc>
        <w:tc>
          <w:tcPr>
            <w:tcW w:w="54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集中收集，送至区域指定生活垃圾集中堆存点，由区域环卫部门统一负责处置</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妥善</w:t>
            </w:r>
            <w:r>
              <w:rPr>
                <w:rFonts w:hint="default"/>
                <w:sz w:val="21"/>
                <w:szCs w:val="21"/>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运行</w:t>
            </w: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54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704" w:type="dxa"/>
            <w:vMerge w:val="restart"/>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生态</w:t>
            </w:r>
          </w:p>
        </w:tc>
        <w:tc>
          <w:tcPr>
            <w:tcW w:w="709" w:type="dxa"/>
            <w:vMerge w:val="restart"/>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建设</w:t>
            </w: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建设施工（对陆生动、植物）</w:t>
            </w: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5434" w:type="dxa"/>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项目临时占地对当地植被破坏程度轻微。</w:t>
            </w:r>
            <w:r>
              <w:rPr>
                <w:rFonts w:hint="eastAsia"/>
                <w:sz w:val="21"/>
                <w:szCs w:val="21"/>
              </w:rPr>
              <w:t>建设阶段</w:t>
            </w:r>
            <w:r>
              <w:rPr>
                <w:rFonts w:hint="default"/>
                <w:sz w:val="21"/>
                <w:szCs w:val="21"/>
              </w:rPr>
              <w:t>后期，随着</w:t>
            </w:r>
            <w:r>
              <w:rPr>
                <w:rFonts w:hint="eastAsia"/>
                <w:sz w:val="21"/>
                <w:szCs w:val="21"/>
              </w:rPr>
              <w:t>生态恢复</w:t>
            </w:r>
            <w:r>
              <w:rPr>
                <w:rFonts w:hint="default"/>
                <w:sz w:val="21"/>
                <w:szCs w:val="21"/>
              </w:rPr>
              <w:t>工程的实施，</w:t>
            </w:r>
            <w:r>
              <w:rPr>
                <w:rFonts w:hint="eastAsia"/>
                <w:sz w:val="21"/>
                <w:szCs w:val="21"/>
              </w:rPr>
              <w:t>项目的建设施工</w:t>
            </w:r>
            <w:r>
              <w:rPr>
                <w:rFonts w:hint="default"/>
                <w:sz w:val="21"/>
                <w:szCs w:val="21"/>
              </w:rPr>
              <w:t>对植物造成的不利影响将逐步恢复</w:t>
            </w:r>
            <w:r>
              <w:rPr>
                <w:rFonts w:hint="eastAsia"/>
                <w:sz w:val="21"/>
                <w:szCs w:val="21"/>
                <w:lang w:eastAsia="zh-CN"/>
              </w:rPr>
              <w:t>；</w:t>
            </w:r>
            <w:r>
              <w:rPr>
                <w:rFonts w:hint="default"/>
                <w:sz w:val="21"/>
                <w:szCs w:val="21"/>
              </w:rPr>
              <w:t>在施工过程中应加强对施工人员活动的控制，减少对动物的干扰，夜间尽量减少活动；合理安排施工时间，在动物活动频繁季节停止施工。在此基础上，工程建设对动物的影响小</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Merge w:val="continue"/>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建设施工（对</w:t>
            </w:r>
            <w:r>
              <w:rPr>
                <w:rFonts w:hint="default"/>
                <w:sz w:val="21"/>
                <w:szCs w:val="21"/>
              </w:rPr>
              <w:t>浮游</w:t>
            </w:r>
            <w:r>
              <w:rPr>
                <w:rFonts w:hint="eastAsia"/>
                <w:sz w:val="21"/>
                <w:szCs w:val="21"/>
              </w:rPr>
              <w:t>植物、动物等）</w:t>
            </w: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54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项目</w:t>
            </w:r>
            <w:r>
              <w:rPr>
                <w:rFonts w:hint="eastAsia"/>
                <w:sz w:val="21"/>
                <w:szCs w:val="21"/>
              </w:rPr>
              <w:t>建设阶段</w:t>
            </w:r>
            <w:r>
              <w:rPr>
                <w:rFonts w:hint="default"/>
                <w:sz w:val="21"/>
                <w:szCs w:val="21"/>
              </w:rPr>
              <w:t>短暂，受影响的区域范围较小，</w:t>
            </w:r>
            <w:r>
              <w:rPr>
                <w:rFonts w:hint="eastAsia"/>
                <w:sz w:val="21"/>
                <w:szCs w:val="21"/>
              </w:rPr>
              <w:t>建设阶段</w:t>
            </w:r>
            <w:r>
              <w:rPr>
                <w:rFonts w:hint="default"/>
                <w:sz w:val="21"/>
                <w:szCs w:val="21"/>
              </w:rPr>
              <w:t>对上游浮游植物不产生影响，在</w:t>
            </w:r>
            <w:r>
              <w:rPr>
                <w:rFonts w:hint="eastAsia"/>
                <w:sz w:val="21"/>
                <w:szCs w:val="21"/>
              </w:rPr>
              <w:t>建设阶段</w:t>
            </w:r>
            <w:r>
              <w:rPr>
                <w:rFonts w:hint="default"/>
                <w:sz w:val="21"/>
                <w:szCs w:val="21"/>
              </w:rPr>
              <w:t>结束后，河流迅速澄清，浮游植物的生境通过上游补充等途径可得到较快恢复</w:t>
            </w:r>
            <w:r>
              <w:rPr>
                <w:rFonts w:hint="eastAsia"/>
                <w:sz w:val="21"/>
                <w:szCs w:val="21"/>
              </w:rPr>
              <w:t>；项目建设阶段</w:t>
            </w:r>
            <w:r>
              <w:rPr>
                <w:rFonts w:hint="default"/>
                <w:sz w:val="21"/>
                <w:szCs w:val="21"/>
              </w:rPr>
              <w:t>造成局部悬浮物含量增高，对滤食性浮游动物产生一定影响。一般在水下构筑物周围50m范围内的水体中悬浮物有较为显著的增加，约2000mg/L左右，随着距离的增加、影响逐步减小并恢复到河流的本底状况。</w:t>
            </w:r>
            <w:r>
              <w:rPr>
                <w:rFonts w:hint="eastAsia"/>
                <w:sz w:val="21"/>
                <w:szCs w:val="21"/>
              </w:rPr>
              <w:t>但</w:t>
            </w:r>
            <w:r>
              <w:rPr>
                <w:rFonts w:hint="default"/>
                <w:sz w:val="21"/>
                <w:szCs w:val="21"/>
              </w:rPr>
              <w:t>随着施工的结束，影响很快消失</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Merge w:val="continue"/>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建设施工（对底栖动物等）</w:t>
            </w: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54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项目</w:t>
            </w:r>
            <w:r>
              <w:rPr>
                <w:rFonts w:hint="eastAsia"/>
                <w:sz w:val="21"/>
                <w:szCs w:val="21"/>
              </w:rPr>
              <w:t>生态透水过滤坝工程</w:t>
            </w:r>
            <w:r>
              <w:rPr>
                <w:rFonts w:hint="default"/>
                <w:sz w:val="21"/>
                <w:szCs w:val="21"/>
              </w:rPr>
              <w:t>的建设会扰动河道底质，对在施工河段内栖息的底栖动物影响显著，但对蜉蝣目等游动类底栖动物影响较小</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Merge w:val="continue"/>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建设施工（对鱼类等）</w:t>
            </w: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54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由于浮游生物、底栖动物等饵料生物量的减少及建设施工造成的水质的恶化，局部范围内改变了原有鱼类的生存、生长和繁衍条件，鱼类将择水而栖迁到其它地方，建设施工区域河道内鱼类密度有所降低。</w:t>
            </w:r>
            <w:r>
              <w:rPr>
                <w:rFonts w:hint="default"/>
                <w:sz w:val="21"/>
                <w:szCs w:val="21"/>
              </w:rPr>
              <w:t>但由于影响区域较小、影响时间较短，该影响较轻</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Merge w:val="continue"/>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建设施工（水土流失）</w:t>
            </w: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5434" w:type="dxa"/>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水土保持主要措施有工程措施、临时措施，植物措施。施工场地及施工道路种植灌草；临时措施包括对施工场地的料堆等进行苫盖等，防止料堆等水土流失；表土堆场</w:t>
            </w:r>
            <w:r>
              <w:rPr>
                <w:rFonts w:hint="eastAsia"/>
                <w:bCs/>
                <w:sz w:val="21"/>
                <w:szCs w:val="21"/>
              </w:rPr>
              <w:t>顶部采用编织布覆盖，四周设简易排水沟，防治水土流失；</w:t>
            </w:r>
            <w:r>
              <w:rPr>
                <w:rFonts w:hint="eastAsia"/>
                <w:sz w:val="21"/>
                <w:szCs w:val="21"/>
              </w:rPr>
              <w:t>临时堆土场设置围挡措施，地面铺设高密度聚乙烯防渗膜，四周设导流槽。施工结束后返还表土，生态恢复；</w:t>
            </w:r>
            <w:r>
              <w:rPr>
                <w:rFonts w:hint="default"/>
                <w:sz w:val="21"/>
                <w:szCs w:val="21"/>
              </w:rPr>
              <w:t>工程分段治理修复，先结束的施工场地及时平整清理并覆土绿化，减少占地的水土流失情况；工程结束后，临时用地进行植被恢复；项目分段建设施工，施工段总长度较短，随着建设阶段结束，项目河道内施工对水生生态环境的影响也随着结束，项目施工结束后对临时占地和施工临时道路进行植被恢复，对破坏的植被进行重建。</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04" w:type="dxa"/>
            <w:vMerge w:val="continue"/>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运行</w:t>
            </w:r>
          </w:p>
        </w:tc>
        <w:tc>
          <w:tcPr>
            <w:tcW w:w="1701"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70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134"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1559" w:type="dxa"/>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803"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c>
          <w:tcPr>
            <w:tcW w:w="5434" w:type="dxa"/>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default"/>
                <w:sz w:val="21"/>
                <w:szCs w:val="21"/>
              </w:rPr>
              <w:t>项目</w:t>
            </w:r>
            <w:r>
              <w:rPr>
                <w:rFonts w:hint="eastAsia"/>
                <w:sz w:val="21"/>
                <w:szCs w:val="21"/>
              </w:rPr>
              <w:t>各工程实施后，在运行阶段，将有利于改善河流水质，有利于维护良好的水生态环境，</w:t>
            </w:r>
            <w:r>
              <w:rPr>
                <w:rFonts w:hint="default"/>
                <w:sz w:val="21"/>
                <w:szCs w:val="21"/>
              </w:rPr>
              <w:t>对区域</w:t>
            </w:r>
            <w:r>
              <w:rPr>
                <w:rFonts w:hint="eastAsia"/>
                <w:sz w:val="21"/>
                <w:szCs w:val="21"/>
              </w:rPr>
              <w:t>水</w:t>
            </w:r>
            <w:r>
              <w:rPr>
                <w:rFonts w:hint="default"/>
                <w:sz w:val="21"/>
                <w:szCs w:val="21"/>
              </w:rPr>
              <w:t>环境质量</w:t>
            </w:r>
            <w:r>
              <w:rPr>
                <w:rFonts w:hint="eastAsia"/>
                <w:sz w:val="21"/>
                <w:szCs w:val="21"/>
              </w:rPr>
              <w:t>、监控断面环境质量、河流水域生态环境及生态保护红线的提升和修复都能起到正面的、长远的积极作用</w:t>
            </w:r>
            <w:r>
              <w:rPr>
                <w:rFonts w:hint="default"/>
                <w:sz w:val="21"/>
                <w:szCs w:val="21"/>
              </w:rPr>
              <w:t>。</w:t>
            </w:r>
          </w:p>
        </w:tc>
        <w:tc>
          <w:tcPr>
            <w:tcW w:w="1134" w:type="dxa"/>
            <w:vAlign w:val="center"/>
          </w:tcPr>
          <w:p>
            <w:pPr>
              <w:pStyle w:val="13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sz w:val="21"/>
                <w:szCs w:val="21"/>
              </w:rPr>
            </w:pPr>
            <w:r>
              <w:rPr>
                <w:rFonts w:hint="eastAsia"/>
                <w:sz w:val="21"/>
                <w:szCs w:val="21"/>
              </w:rPr>
              <w:t>/</w:t>
            </w:r>
          </w:p>
        </w:tc>
      </w:tr>
    </w:tbl>
    <w:p>
      <w:pPr>
        <w:pStyle w:val="12"/>
        <w:rPr>
          <w:rFonts w:hint="default"/>
          <w:lang w:val="en-US" w:eastAsia="zh-CN"/>
        </w:rPr>
        <w:sectPr>
          <w:pgSz w:w="16838" w:h="11906" w:orient="landscape"/>
          <w:pgMar w:top="1701" w:right="1701" w:bottom="1701" w:left="1701" w:header="1020" w:footer="992" w:gutter="0"/>
          <w:cols w:space="720" w:num="1"/>
          <w:docGrid w:type="linesAndChars" w:linePitch="312" w:charSpace="0"/>
        </w:sectPr>
      </w:pPr>
    </w:p>
    <w:p>
      <w:pPr>
        <w:pStyle w:val="5"/>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b/>
          <w:szCs w:val="22"/>
          <w:highlight w:val="none"/>
          <w:lang w:val="en-US" w:eastAsia="zh-CN"/>
        </w:rPr>
      </w:pPr>
      <w:bookmarkStart w:id="293" w:name="_Toc11067"/>
      <w:bookmarkStart w:id="294" w:name="_Toc7021"/>
      <w:bookmarkStart w:id="295" w:name="_Toc15409"/>
      <w:bookmarkStart w:id="296" w:name="_Toc14842"/>
      <w:r>
        <w:rPr>
          <w:rFonts w:hint="default" w:ascii="Times New Roman" w:hAnsi="Times New Roman" w:cs="Times New Roman"/>
          <w:b/>
          <w:szCs w:val="22"/>
          <w:highlight w:val="none"/>
          <w:lang w:val="en-US" w:eastAsia="zh-CN"/>
        </w:rPr>
        <w:t>3.</w:t>
      </w:r>
      <w:r>
        <w:rPr>
          <w:rFonts w:hint="eastAsia" w:cs="Times New Roman"/>
          <w:b/>
          <w:szCs w:val="22"/>
          <w:highlight w:val="none"/>
          <w:lang w:val="en-US" w:eastAsia="zh-CN"/>
        </w:rPr>
        <w:t>5</w:t>
      </w:r>
      <w:r>
        <w:rPr>
          <w:rFonts w:hint="default" w:ascii="Times New Roman" w:hAnsi="Times New Roman" w:cs="Times New Roman"/>
          <w:b/>
          <w:szCs w:val="22"/>
          <w:highlight w:val="none"/>
          <w:lang w:val="en-US" w:eastAsia="zh-CN"/>
        </w:rPr>
        <w:t xml:space="preserve"> 污染源源强核算</w:t>
      </w:r>
      <w:bookmarkEnd w:id="293"/>
      <w:bookmarkEnd w:id="294"/>
      <w:bookmarkEnd w:id="295"/>
    </w:p>
    <w:p>
      <w:pPr>
        <w:pStyle w:val="6"/>
        <w:bidi w:val="0"/>
        <w:rPr>
          <w:rFonts w:hint="default"/>
        </w:rPr>
      </w:pPr>
      <w:bookmarkStart w:id="297" w:name="_Toc25765"/>
      <w:bookmarkStart w:id="298" w:name="_Toc8415"/>
      <w:r>
        <w:rPr>
          <w:rFonts w:hint="default"/>
          <w:lang w:eastAsia="zh-CN"/>
        </w:rPr>
        <w:t>3.</w:t>
      </w:r>
      <w:r>
        <w:rPr>
          <w:rFonts w:hint="eastAsia"/>
          <w:lang w:val="en-US" w:eastAsia="zh-CN"/>
        </w:rPr>
        <w:t>5</w:t>
      </w:r>
      <w:r>
        <w:rPr>
          <w:rFonts w:hint="default"/>
        </w:rPr>
        <w:t>.1 建设阶段污染源源强核算</w:t>
      </w:r>
      <w:bookmarkEnd w:id="297"/>
      <w:bookmarkEnd w:id="298"/>
    </w:p>
    <w:p>
      <w:pPr>
        <w:pStyle w:val="7"/>
        <w:ind w:firstLine="0" w:firstLineChars="0"/>
        <w:jc w:val="both"/>
        <w:rPr>
          <w:rFonts w:hint="default" w:ascii="Times New Roman" w:hAnsi="Times New Roman" w:eastAsia="黑体" w:cs="Times New Roman"/>
          <w:highlight w:val="none"/>
        </w:rPr>
      </w:pPr>
      <w:r>
        <w:rPr>
          <w:rFonts w:hint="default" w:ascii="Times New Roman" w:hAnsi="Times New Roman" w:cs="Times New Roman"/>
          <w:highlight w:val="none"/>
          <w:lang w:eastAsia="zh-CN"/>
        </w:rPr>
        <w:t>3.</w:t>
      </w:r>
      <w:r>
        <w:rPr>
          <w:rFonts w:hint="eastAsia" w:cs="Times New Roman"/>
          <w:highlight w:val="none"/>
          <w:lang w:val="en-US" w:eastAsia="zh-CN"/>
        </w:rPr>
        <w:t>5</w:t>
      </w:r>
      <w:r>
        <w:rPr>
          <w:rFonts w:hint="default" w:ascii="Times New Roman" w:hAnsi="Times New Roman" w:cs="Times New Roman"/>
          <w:highlight w:val="none"/>
        </w:rPr>
        <w:t>.1.1</w:t>
      </w:r>
      <w:bookmarkEnd w:id="296"/>
      <w:r>
        <w:rPr>
          <w:rFonts w:hint="default" w:ascii="Times New Roman" w:hAnsi="Times New Roman" w:cs="Times New Roman"/>
          <w:highlight w:val="none"/>
        </w:rPr>
        <w:t>建设阶段大气污染源强核算</w:t>
      </w:r>
    </w:p>
    <w:p>
      <w:pPr>
        <w:bidi w:val="0"/>
      </w:pPr>
      <w:r>
        <w:rPr>
          <w:rFonts w:hint="eastAsia"/>
        </w:rPr>
        <w:t>1、</w:t>
      </w:r>
      <w:r>
        <w:t>工程施工</w:t>
      </w:r>
      <w:r>
        <w:rPr>
          <w:rFonts w:hint="eastAsia"/>
        </w:rPr>
        <w:t>扬尘</w:t>
      </w:r>
    </w:p>
    <w:p>
      <w:r>
        <w:t>按</w:t>
      </w:r>
      <w:r>
        <w:rPr>
          <w:rFonts w:hint="eastAsia"/>
        </w:rPr>
        <w:t>照</w:t>
      </w:r>
      <w:r>
        <w:t>起尘的原因可分为风力起尘和动力起尘。其中风力起尘主要是由于露天堆放材料的表层干化颗粒物以及施工区裸露地表的表层干化浮土在有风条件下产生的扬尘；动力起尘主要产生在土方工程、建筑施工、物料的装卸、运输等过程，由于物料受外力冲击而激起的扬尘。类比其它施工场地，建设阶段无组织扬尘</w:t>
      </w:r>
      <w:r>
        <w:rPr>
          <w:rFonts w:hint="eastAsia"/>
        </w:rPr>
        <w:t>浓度</w:t>
      </w:r>
      <w:r>
        <w:t>为4-6mg/m</w:t>
      </w:r>
      <w:r>
        <w:rPr>
          <w:vertAlign w:val="superscript"/>
        </w:rPr>
        <w:t>3</w:t>
      </w:r>
      <w:r>
        <w:t>。</w:t>
      </w:r>
    </w:p>
    <w:p>
      <w:r>
        <w:t>建设过程中严格落实《河北省扬尘污染防治办法》、《河北省建筑施工扬尘防治强化措施18条》及《承德市人民政府办公室关于印发承德市建筑施工现场管理暂行办法的通知》（承市政办字[2010]150号）</w:t>
      </w:r>
      <w:r>
        <w:rPr>
          <w:rFonts w:hint="eastAsia"/>
        </w:rPr>
        <w:t>等</w:t>
      </w:r>
      <w:r>
        <w:t>相关要求，主要通过采取以下措施降低扬尘产生量：</w:t>
      </w:r>
    </w:p>
    <w:p>
      <w:r>
        <w:rPr>
          <w:rFonts w:hint="eastAsia"/>
        </w:rPr>
        <w:t>（1）</w:t>
      </w:r>
      <w:r>
        <w:t>在施工现场出入口明显位置设置公示牌，公示施工现场负责人、环保监督员、防尘措施、扬尘监督管理部门、举报投诉电话等信息；</w:t>
      </w:r>
    </w:p>
    <w:p>
      <w:pPr>
        <w:rPr>
          <w:kern w:val="0"/>
          <w:szCs w:val="21"/>
        </w:rPr>
      </w:pPr>
      <w:r>
        <w:rPr>
          <w:rFonts w:hint="eastAsia"/>
          <w:kern w:val="0"/>
          <w:szCs w:val="21"/>
        </w:rPr>
        <w:t>（2）</w:t>
      </w:r>
      <w:r>
        <w:rPr>
          <w:kern w:val="0"/>
          <w:szCs w:val="21"/>
        </w:rPr>
        <w:t>对施工现场出入口、场内施工道路、材料加工堆放区进行简单硬化处理，并保持地面整洁；</w:t>
      </w:r>
    </w:p>
    <w:p>
      <w:pPr>
        <w:rPr>
          <w:kern w:val="0"/>
          <w:szCs w:val="21"/>
        </w:rPr>
      </w:pPr>
      <w:r>
        <w:rPr>
          <w:rFonts w:hint="eastAsia"/>
        </w:rPr>
        <w:t>（3）在</w:t>
      </w:r>
      <w:r>
        <w:t>施工现场出口处设置车辆清洗设施并配套设置排水、泥浆沉淀设施，车辆冲洗干净后方可驶出；</w:t>
      </w:r>
    </w:p>
    <w:p>
      <w:pPr>
        <w:rPr>
          <w:kern w:val="0"/>
          <w:szCs w:val="21"/>
        </w:rPr>
      </w:pPr>
      <w:r>
        <w:rPr>
          <w:rFonts w:hint="eastAsia"/>
        </w:rPr>
        <w:t>（4）</w:t>
      </w:r>
      <w:r>
        <w:t>土地挖掘、平整及施工建设过程中采用洒水措施，及时向易产生扬尘的施工厂地、路面洒水，大风天增加洒水量及洒水次数，减少扬尘产生；</w:t>
      </w:r>
    </w:p>
    <w:p>
      <w:pPr>
        <w:rPr>
          <w:kern w:val="0"/>
          <w:szCs w:val="21"/>
        </w:rPr>
      </w:pPr>
      <w:r>
        <w:rPr>
          <w:rFonts w:hint="eastAsia"/>
        </w:rPr>
        <w:t>（5）</w:t>
      </w:r>
      <w:r>
        <w:t>施工时减少土地开挖面积，降低开挖土量，施工后及时回填，可有效地减少施工扬尘量；</w:t>
      </w:r>
    </w:p>
    <w:p>
      <w:pPr>
        <w:rPr>
          <w:kern w:val="0"/>
          <w:szCs w:val="21"/>
        </w:rPr>
      </w:pPr>
      <w:r>
        <w:rPr>
          <w:rFonts w:hint="eastAsia"/>
          <w:kern w:val="0"/>
          <w:szCs w:val="21"/>
        </w:rPr>
        <w:t>（6）不在施工</w:t>
      </w:r>
      <w:r>
        <w:rPr>
          <w:kern w:val="0"/>
          <w:szCs w:val="21"/>
        </w:rPr>
        <w:t>现场搅拌，</w:t>
      </w:r>
      <w:r>
        <w:rPr>
          <w:rFonts w:hint="eastAsia"/>
          <w:kern w:val="0"/>
          <w:szCs w:val="21"/>
        </w:rPr>
        <w:t>外购成品施工料；</w:t>
      </w:r>
    </w:p>
    <w:p>
      <w:r>
        <w:rPr>
          <w:rFonts w:hint="eastAsia"/>
        </w:rPr>
        <w:t>（7）</w:t>
      </w:r>
      <w:r>
        <w:t>在施工工地内堆放砂石、建筑土方等易产生扬尘的粉状、粒状建筑材料的，应采取密闭或者遮盖等防尘措施，装卸、搬运时应当采取防尘措施；</w:t>
      </w:r>
    </w:p>
    <w:p>
      <w:r>
        <w:rPr>
          <w:rFonts w:hint="eastAsia"/>
        </w:rPr>
        <w:t>（8）</w:t>
      </w:r>
      <w:r>
        <w:t>建筑垃圾应当及时清运，建筑垃圾在场地内堆存的，应当集中堆放并采取密闭或者遮盖等防尘措施；运输车辆应减速慢行，运输建筑垃圾及土方时应采用蓬布遮盖，以避免沿途洒落，减少运输扬尘；</w:t>
      </w:r>
      <w:r>
        <w:rPr>
          <w:rFonts w:hint="eastAsia"/>
        </w:rPr>
        <w:t>对运输道路及时进行清扫；</w:t>
      </w:r>
    </w:p>
    <w:p>
      <w:r>
        <w:rPr>
          <w:rFonts w:hint="eastAsia"/>
        </w:rPr>
        <w:t>（9）</w:t>
      </w:r>
      <w:r>
        <w:t>建</w:t>
      </w:r>
      <w:r>
        <w:rPr>
          <w:rFonts w:hint="eastAsia"/>
        </w:rPr>
        <w:t>设</w:t>
      </w:r>
      <w:r>
        <w:t>施工单位加强监管，对现场作业人员进行环境保护方面的培训教育，严格按照《河北省扬尘污染防治办法》（河北省人民政府令〔2020〕第1号）要求进行施工作业</w:t>
      </w:r>
      <w:r>
        <w:rPr>
          <w:rFonts w:hint="eastAsia"/>
        </w:rPr>
        <w:t>；</w:t>
      </w:r>
    </w:p>
    <w:p>
      <w:pPr>
        <w:rPr>
          <w:kern w:val="0"/>
          <w:szCs w:val="21"/>
        </w:rPr>
      </w:pPr>
      <w:r>
        <w:rPr>
          <w:rFonts w:hint="eastAsia"/>
        </w:rPr>
        <w:t>（1</w:t>
      </w:r>
      <w:r>
        <w:t>0</w:t>
      </w:r>
      <w:r>
        <w:rPr>
          <w:rFonts w:hint="eastAsia"/>
        </w:rPr>
        <w:t>）</w:t>
      </w:r>
      <w:r>
        <w:t>在施工工地同步安装视频监控设备和扬尘污染物在线监测设备，分别与建设主管部门、生态环境主管部门的监控设备联网，并保证系统正常运行，发生故障应当在二十四小时内修复。</w:t>
      </w:r>
    </w:p>
    <w:p>
      <w:r>
        <w:t>通过采取以上措施后，</w:t>
      </w:r>
      <w:r>
        <w:rPr>
          <w:rFonts w:hint="eastAsia"/>
        </w:rPr>
        <w:t>建设</w:t>
      </w:r>
      <w:r>
        <w:t>施工场地周界外扬尘浓度最高点≤80ug/m</w:t>
      </w:r>
      <w:r>
        <w:rPr>
          <w:vertAlign w:val="superscript"/>
        </w:rPr>
        <w:t>3</w:t>
      </w:r>
      <w:r>
        <w:t>，施工期大气污染物中颗粒物满足《施工场地扬尘排放标准》（DB 13/2934-2019）表1中扬尘排放浓度限值要求。</w:t>
      </w:r>
    </w:p>
    <w:p>
      <w:r>
        <w:t>综上，</w:t>
      </w:r>
      <w:r>
        <w:rPr>
          <w:rFonts w:hint="eastAsia"/>
        </w:rPr>
        <w:t>通过</w:t>
      </w:r>
      <w:r>
        <w:t>落实有效措施，</w:t>
      </w:r>
      <w:r>
        <w:rPr>
          <w:rFonts w:hint="eastAsia"/>
        </w:rPr>
        <w:t>建设阶段施工</w:t>
      </w:r>
      <w:r>
        <w:t>扬尘对</w:t>
      </w:r>
      <w:r>
        <w:rPr>
          <w:rFonts w:hint="eastAsia"/>
        </w:rPr>
        <w:t>周边</w:t>
      </w:r>
      <w:r>
        <w:t>环境影响将会大大降低，</w:t>
      </w:r>
      <w:r>
        <w:rPr>
          <w:rFonts w:hint="eastAsia"/>
        </w:rPr>
        <w:t>同时</w:t>
      </w:r>
      <w:r>
        <w:t>建设阶段的扬尘污染具有临时性，当建设阶段结束后，</w:t>
      </w:r>
      <w:r>
        <w:rPr>
          <w:rFonts w:hint="eastAsia"/>
        </w:rPr>
        <w:t>施工</w:t>
      </w:r>
      <w:r>
        <w:t>扬尘所带来的污染也将随之结束。</w:t>
      </w:r>
    </w:p>
    <w:p>
      <w:pPr>
        <w:bidi w:val="0"/>
      </w:pPr>
      <w:r>
        <w:rPr>
          <w:rFonts w:hint="eastAsia"/>
        </w:rPr>
        <w:t>2、道路扬尘</w:t>
      </w:r>
    </w:p>
    <w:p>
      <w:r>
        <w:rPr>
          <w:rFonts w:hint="eastAsia"/>
        </w:rPr>
        <w:t>施工过程中，各种施工材料的运输，尤其土石料等松散物料的运输将给运输道路沿线带来一定的扬尘污染。车辆道路扬尘为线源污染，扬尘在道路两侧扩散，最大起尘浓度易出现在道路两侧，随离散距离的增加浓度逐渐降低，最终可达背景值。虽然是间歇性的，但是对沿线道路两侧及整个施工区环境空气质量将产生不利影响。为进一步了解交通运输扬尘的产生情况，评价采用以下经验公式进行估算。</w:t>
      </w:r>
    </w:p>
    <w:p>
      <w:pPr>
        <w:ind w:firstLine="0" w:firstLineChars="0"/>
        <w:jc w:val="center"/>
      </w:pPr>
      <w:r>
        <w:drawing>
          <wp:inline distT="0" distB="0" distL="0" distR="0">
            <wp:extent cx="2517140" cy="539750"/>
            <wp:effectExtent l="0" t="0" r="1651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a:stretch>
                      <a:fillRect/>
                    </a:stretch>
                  </pic:blipFill>
                  <pic:spPr>
                    <a:xfrm>
                      <a:off x="0" y="0"/>
                      <a:ext cx="2517140" cy="539750"/>
                    </a:xfrm>
                    <a:prstGeom prst="rect">
                      <a:avLst/>
                    </a:prstGeom>
                  </pic:spPr>
                </pic:pic>
              </a:graphicData>
            </a:graphic>
          </wp:inline>
        </w:drawing>
      </w:r>
    </w:p>
    <w:p>
      <w:r>
        <w:rPr>
          <w:rFonts w:hint="eastAsia"/>
        </w:rPr>
        <w:t>式中：Q—汽车行驶的扬尘，kg/km·辆；</w:t>
      </w:r>
    </w:p>
    <w:p>
      <w:pPr>
        <w:ind w:firstLine="1200" w:firstLineChars="500"/>
      </w:pPr>
      <w:r>
        <w:rPr>
          <w:rFonts w:hint="eastAsia"/>
        </w:rPr>
        <w:t>v—汽车速度，km/h；</w:t>
      </w:r>
    </w:p>
    <w:p>
      <w:pPr>
        <w:ind w:firstLine="1200" w:firstLineChars="500"/>
      </w:pPr>
      <w:r>
        <w:rPr>
          <w:rFonts w:hint="eastAsia"/>
        </w:rPr>
        <w:t>W—汽车载重量，t；</w:t>
      </w:r>
    </w:p>
    <w:p>
      <w:pPr>
        <w:ind w:firstLine="1200" w:firstLineChars="500"/>
      </w:pPr>
      <w:r>
        <w:rPr>
          <w:rFonts w:hint="eastAsia"/>
        </w:rPr>
        <w:t>P—道路表面粉尘量，kg/m</w:t>
      </w:r>
      <w:r>
        <w:rPr>
          <w:rFonts w:hint="eastAsia"/>
          <w:vertAlign w:val="superscript"/>
        </w:rPr>
        <w:t>2</w:t>
      </w:r>
      <w:r>
        <w:rPr>
          <w:rFonts w:hint="eastAsia"/>
        </w:rPr>
        <w:t>。</w:t>
      </w:r>
    </w:p>
    <w:p>
      <w:r>
        <w:rPr>
          <w:rFonts w:hint="eastAsia"/>
        </w:rPr>
        <w:t>一辆载重8t的卡车，通过一段长度为500m的路面时，不同表面清洁程度，不同行驶速度情况下产生的扬尘量如下表所示：</w:t>
      </w:r>
    </w:p>
    <w:p>
      <w:pPr>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rFonts w:hint="eastAsia"/>
          <w:b/>
          <w:bCs/>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ind w:leftChars="0"/>
        <w:jc w:val="center"/>
        <w:textAlignment w:val="auto"/>
        <w:rPr>
          <w:b/>
          <w:bCs/>
          <w:sz w:val="21"/>
          <w:szCs w:val="21"/>
        </w:rPr>
      </w:pPr>
      <w:r>
        <w:rPr>
          <w:rFonts w:hint="eastAsia"/>
          <w:b/>
          <w:bCs/>
          <w:sz w:val="21"/>
          <w:szCs w:val="21"/>
          <w:lang w:eastAsia="zh-CN"/>
        </w:rPr>
        <w:t>表</w:t>
      </w:r>
      <w:r>
        <w:rPr>
          <w:rFonts w:hint="eastAsia"/>
          <w:b/>
          <w:bCs/>
          <w:sz w:val="21"/>
          <w:szCs w:val="21"/>
          <w:lang w:val="en-US" w:eastAsia="zh-CN"/>
        </w:rPr>
        <w:t xml:space="preserve">3.5-1  </w:t>
      </w:r>
      <w:r>
        <w:rPr>
          <w:rFonts w:hint="eastAsia"/>
          <w:b/>
          <w:bCs/>
          <w:sz w:val="21"/>
          <w:szCs w:val="21"/>
        </w:rPr>
        <w:t>不同车速和地面清洁程度时的汽车扬尘</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1134"/>
        <w:gridCol w:w="992"/>
        <w:gridCol w:w="992"/>
        <w:gridCol w:w="993"/>
        <w:gridCol w:w="992"/>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47" w:type="dxa"/>
            <w:tcBorders>
              <w:tl2br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right"/>
              <w:rPr>
                <w:rFonts w:hint="default"/>
                <w:b/>
                <w:sz w:val="21"/>
                <w:szCs w:val="20"/>
              </w:rPr>
            </w:pPr>
            <w:r>
              <w:rPr>
                <w:rFonts w:hint="eastAsia"/>
                <w:b/>
                <w:sz w:val="21"/>
                <w:szCs w:val="20"/>
              </w:rPr>
              <w:t>P（kg/m</w:t>
            </w:r>
            <w:r>
              <w:rPr>
                <w:rFonts w:hint="eastAsia"/>
                <w:b/>
                <w:sz w:val="21"/>
                <w:szCs w:val="20"/>
                <w:vertAlign w:val="superscript"/>
              </w:rPr>
              <w:t>2</w:t>
            </w:r>
            <w:r>
              <w:rPr>
                <w:rFonts w:hint="eastAsia"/>
                <w:b/>
                <w:sz w:val="21"/>
                <w:szCs w:val="20"/>
              </w:rPr>
              <w:t>）</w:t>
            </w:r>
          </w:p>
          <w:p>
            <w:pPr>
              <w:keepNext w:val="0"/>
              <w:keepLines w:val="0"/>
              <w:suppressLineNumbers w:val="0"/>
              <w:spacing w:before="0" w:beforeAutospacing="0" w:after="0" w:afterAutospacing="0" w:line="240" w:lineRule="auto"/>
              <w:ind w:left="0" w:right="0" w:firstLine="0" w:firstLineChars="0"/>
              <w:jc w:val="left"/>
              <w:rPr>
                <w:rFonts w:hint="default"/>
                <w:b/>
                <w:sz w:val="21"/>
                <w:szCs w:val="20"/>
              </w:rPr>
            </w:pPr>
            <w:r>
              <w:rPr>
                <w:rFonts w:hint="eastAsia"/>
                <w:b/>
                <w:sz w:val="21"/>
                <w:szCs w:val="20"/>
              </w:rPr>
              <w:t>车速（km/h）</w:t>
            </w: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0"/>
              </w:rPr>
            </w:pPr>
            <w:r>
              <w:rPr>
                <w:rFonts w:hint="eastAsia"/>
                <w:b/>
                <w:sz w:val="21"/>
                <w:szCs w:val="20"/>
              </w:rPr>
              <w:t>0</w:t>
            </w:r>
            <w:r>
              <w:rPr>
                <w:rFonts w:hint="default"/>
                <w:b/>
                <w:sz w:val="21"/>
                <w:szCs w:val="20"/>
              </w:rPr>
              <w:t>.1</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0"/>
              </w:rPr>
            </w:pPr>
            <w:r>
              <w:rPr>
                <w:rFonts w:hint="eastAsia"/>
                <w:b/>
                <w:sz w:val="21"/>
                <w:szCs w:val="20"/>
              </w:rPr>
              <w:t>0</w:t>
            </w:r>
            <w:r>
              <w:rPr>
                <w:rFonts w:hint="default"/>
                <w:b/>
                <w:sz w:val="21"/>
                <w:szCs w:val="20"/>
              </w:rPr>
              <w:t>.2</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0"/>
              </w:rPr>
            </w:pPr>
            <w:r>
              <w:rPr>
                <w:rFonts w:hint="eastAsia"/>
                <w:b/>
                <w:sz w:val="21"/>
                <w:szCs w:val="20"/>
              </w:rPr>
              <w:t>0</w:t>
            </w:r>
            <w:r>
              <w:rPr>
                <w:rFonts w:hint="default"/>
                <w:b/>
                <w:sz w:val="21"/>
                <w:szCs w:val="20"/>
              </w:rPr>
              <w:t>.3</w:t>
            </w:r>
          </w:p>
        </w:tc>
        <w:tc>
          <w:tcPr>
            <w:tcW w:w="99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0"/>
              </w:rPr>
            </w:pPr>
            <w:r>
              <w:rPr>
                <w:rFonts w:hint="eastAsia"/>
                <w:b/>
                <w:sz w:val="21"/>
                <w:szCs w:val="20"/>
              </w:rPr>
              <w:t>0</w:t>
            </w:r>
            <w:r>
              <w:rPr>
                <w:rFonts w:hint="default"/>
                <w:b/>
                <w:sz w:val="21"/>
                <w:szCs w:val="20"/>
              </w:rPr>
              <w:t>.4</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0"/>
              </w:rPr>
            </w:pPr>
            <w:r>
              <w:rPr>
                <w:rFonts w:hint="eastAsia"/>
                <w:b/>
                <w:sz w:val="21"/>
                <w:szCs w:val="20"/>
              </w:rPr>
              <w:t>0</w:t>
            </w:r>
            <w:r>
              <w:rPr>
                <w:rFonts w:hint="default"/>
                <w:b/>
                <w:sz w:val="21"/>
                <w:szCs w:val="20"/>
              </w:rPr>
              <w:t>.5</w:t>
            </w:r>
          </w:p>
        </w:tc>
        <w:tc>
          <w:tcPr>
            <w:tcW w:w="84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0"/>
              </w:rPr>
            </w:pPr>
            <w:r>
              <w:rPr>
                <w:rFonts w:hint="eastAsia"/>
                <w:b/>
                <w:sz w:val="21"/>
                <w:szCs w:val="20"/>
              </w:rPr>
              <w:t>1</w:t>
            </w:r>
            <w:r>
              <w:rPr>
                <w:rFonts w:hint="default"/>
                <w:b/>
                <w:sz w:val="21"/>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5</w:t>
            </w: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0.042</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0.071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0.096 </w:t>
            </w:r>
          </w:p>
        </w:tc>
        <w:tc>
          <w:tcPr>
            <w:tcW w:w="99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0.119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0.141 </w:t>
            </w:r>
          </w:p>
        </w:tc>
        <w:tc>
          <w:tcPr>
            <w:tcW w:w="84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0.238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1</w:t>
            </w:r>
            <w:r>
              <w:rPr>
                <w:rFonts w:hint="default"/>
                <w:sz w:val="21"/>
                <w:szCs w:val="20"/>
              </w:rPr>
              <w:t>0</w:t>
            </w: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0.084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0.142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0193 </w:t>
            </w:r>
          </w:p>
        </w:tc>
        <w:tc>
          <w:tcPr>
            <w:tcW w:w="99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0.239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0.282 </w:t>
            </w:r>
          </w:p>
        </w:tc>
        <w:tc>
          <w:tcPr>
            <w:tcW w:w="84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0.475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1</w:t>
            </w:r>
            <w:r>
              <w:rPr>
                <w:rFonts w:hint="default"/>
                <w:sz w:val="21"/>
                <w:szCs w:val="20"/>
              </w:rPr>
              <w:t>5</w:t>
            </w: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0.127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0.213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0.289 </w:t>
            </w:r>
          </w:p>
        </w:tc>
        <w:tc>
          <w:tcPr>
            <w:tcW w:w="99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0.358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0.424 </w:t>
            </w:r>
          </w:p>
        </w:tc>
        <w:tc>
          <w:tcPr>
            <w:tcW w:w="84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0.713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2</w:t>
            </w:r>
            <w:r>
              <w:rPr>
                <w:rFonts w:hint="default"/>
                <w:sz w:val="21"/>
                <w:szCs w:val="20"/>
              </w:rPr>
              <w:t>0</w:t>
            </w: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0.169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0.284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0.385 </w:t>
            </w:r>
          </w:p>
        </w:tc>
        <w:tc>
          <w:tcPr>
            <w:tcW w:w="99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0.478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0.565 </w:t>
            </w:r>
          </w:p>
        </w:tc>
        <w:tc>
          <w:tcPr>
            <w:tcW w:w="84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0.950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4</w:t>
            </w:r>
            <w:r>
              <w:rPr>
                <w:rFonts w:hint="default"/>
                <w:sz w:val="21"/>
                <w:szCs w:val="20"/>
              </w:rPr>
              <w:t>0</w:t>
            </w:r>
          </w:p>
        </w:tc>
        <w:tc>
          <w:tcPr>
            <w:tcW w:w="113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0.338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0.568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0.770 </w:t>
            </w:r>
          </w:p>
        </w:tc>
        <w:tc>
          <w:tcPr>
            <w:tcW w:w="99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 xml:space="preserve">0.956 </w:t>
            </w:r>
          </w:p>
        </w:tc>
        <w:tc>
          <w:tcPr>
            <w:tcW w:w="99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1.130</w:t>
            </w:r>
          </w:p>
        </w:tc>
        <w:tc>
          <w:tcPr>
            <w:tcW w:w="84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default"/>
                <w:sz w:val="21"/>
                <w:szCs w:val="20"/>
              </w:rPr>
              <w:t>1.9</w:t>
            </w:r>
          </w:p>
        </w:tc>
      </w:tr>
    </w:tbl>
    <w:p>
      <w:pPr>
        <w:spacing w:before="156" w:beforeLines="50"/>
      </w:pPr>
      <w:r>
        <w:rPr>
          <w:rFonts w:hint="eastAsia"/>
        </w:rPr>
        <w:t>由上表可见，在同样路面清洁情况下，车速越快，扬尘量越大；而在同样车速情况下，路面清洁度越差，则扬尘量越大。根据类比调查，一般情况下，施工场地、施工道路在自然风力作用下产生的扬尘所影响的范围一般在100m以内。</w:t>
      </w:r>
    </w:p>
    <w:p>
      <w:r>
        <w:rPr>
          <w:rFonts w:hint="eastAsia"/>
        </w:rPr>
        <w:t>抑制扬尘的一个简洁有效的措施是洒水。在建设阶段内对车辆行驶的路面实施洒水抑尘，每天洒水4、5次，可使扬尘减少70%左右。有关施工场地洒水抑尘的试验结果见下表。</w:t>
      </w:r>
    </w:p>
    <w:p>
      <w:pPr>
        <w:pStyle w:val="13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jc w:val="center"/>
        <w:textAlignment w:val="auto"/>
        <w:rPr>
          <w:rFonts w:eastAsia="宋体"/>
          <w:b/>
          <w:color w:val="000000" w:themeColor="text1"/>
          <w14:textFill>
            <w14:solidFill>
              <w14:schemeClr w14:val="tx1"/>
            </w14:solidFill>
          </w14:textFill>
        </w:rPr>
      </w:pPr>
      <w:r>
        <w:rPr>
          <w:rFonts w:hint="eastAsia"/>
          <w:b/>
          <w:bCs/>
          <w:sz w:val="21"/>
          <w:szCs w:val="21"/>
          <w:lang w:eastAsia="zh-CN"/>
        </w:rPr>
        <w:t>表</w:t>
      </w:r>
      <w:r>
        <w:rPr>
          <w:rFonts w:hint="eastAsia"/>
          <w:b/>
          <w:bCs/>
          <w:sz w:val="21"/>
          <w:szCs w:val="21"/>
          <w:lang w:val="en-US" w:eastAsia="zh-CN"/>
        </w:rPr>
        <w:t xml:space="preserve">3.5-2  </w:t>
      </w:r>
      <w:r>
        <w:rPr>
          <w:rFonts w:hint="eastAsia" w:eastAsia="宋体"/>
          <w:b/>
          <w:color w:val="000000" w:themeColor="text1"/>
          <w14:textFill>
            <w14:solidFill>
              <w14:schemeClr w14:val="tx1"/>
            </w14:solidFill>
          </w14:textFill>
        </w:rPr>
        <w:t>施工场地洒水抑尘试验结果（单位：mg/m</w:t>
      </w:r>
      <w:r>
        <w:rPr>
          <w:rFonts w:hint="eastAsia" w:eastAsia="宋体"/>
          <w:b/>
          <w:color w:val="000000" w:themeColor="text1"/>
          <w:vertAlign w:val="superscript"/>
          <w14:textFill>
            <w14:solidFill>
              <w14:schemeClr w14:val="tx1"/>
            </w14:solidFill>
          </w14:textFill>
        </w:rPr>
        <w:t>3</w:t>
      </w:r>
      <w:r>
        <w:rPr>
          <w:rFonts w:hint="eastAsia" w:eastAsia="宋体"/>
          <w:b/>
          <w:color w:val="000000" w:themeColor="text1"/>
          <w14:textFill>
            <w14:solidFill>
              <w14:schemeClr w14:val="tx1"/>
            </w14:solidFill>
          </w14:textFill>
        </w:rPr>
        <w:t>）</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415"/>
        <w:gridCol w:w="1416"/>
        <w:gridCol w:w="1416"/>
        <w:gridCol w:w="1416"/>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0"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0"/>
              </w:rPr>
            </w:pPr>
            <w:r>
              <w:rPr>
                <w:rFonts w:hint="eastAsia"/>
                <w:b/>
                <w:sz w:val="21"/>
                <w:szCs w:val="20"/>
              </w:rPr>
              <w:t>距离</w:t>
            </w:r>
          </w:p>
        </w:tc>
        <w:tc>
          <w:tcPr>
            <w:tcW w:w="14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0"/>
              </w:rPr>
            </w:pPr>
            <w:r>
              <w:rPr>
                <w:rFonts w:hint="eastAsia"/>
                <w:b/>
                <w:sz w:val="21"/>
                <w:szCs w:val="20"/>
              </w:rPr>
              <w:t>5m</w:t>
            </w:r>
          </w:p>
        </w:tc>
        <w:tc>
          <w:tcPr>
            <w:tcW w:w="14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0"/>
              </w:rPr>
            </w:pPr>
            <w:r>
              <w:rPr>
                <w:rFonts w:hint="eastAsia"/>
                <w:b/>
                <w:sz w:val="21"/>
                <w:szCs w:val="20"/>
              </w:rPr>
              <w:t>20m</w:t>
            </w:r>
          </w:p>
        </w:tc>
        <w:tc>
          <w:tcPr>
            <w:tcW w:w="14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0"/>
              </w:rPr>
            </w:pPr>
            <w:r>
              <w:rPr>
                <w:rFonts w:hint="eastAsia"/>
                <w:b/>
                <w:sz w:val="21"/>
                <w:szCs w:val="20"/>
              </w:rPr>
              <w:t>50m</w:t>
            </w:r>
          </w:p>
        </w:tc>
        <w:tc>
          <w:tcPr>
            <w:tcW w:w="14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1"/>
                <w:szCs w:val="20"/>
              </w:rPr>
            </w:pPr>
            <w:r>
              <w:rPr>
                <w:rFonts w:hint="eastAsia"/>
                <w:b/>
                <w:sz w:val="21"/>
                <w:szCs w:val="20"/>
              </w:rPr>
              <w:t>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5"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TSP小时平均浓度</w:t>
            </w:r>
          </w:p>
        </w:tc>
        <w:tc>
          <w:tcPr>
            <w:tcW w:w="141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不洒水</w:t>
            </w:r>
          </w:p>
        </w:tc>
        <w:tc>
          <w:tcPr>
            <w:tcW w:w="14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10.14</w:t>
            </w:r>
          </w:p>
        </w:tc>
        <w:tc>
          <w:tcPr>
            <w:tcW w:w="14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2.89</w:t>
            </w:r>
          </w:p>
        </w:tc>
        <w:tc>
          <w:tcPr>
            <w:tcW w:w="14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1.15</w:t>
            </w:r>
          </w:p>
        </w:tc>
        <w:tc>
          <w:tcPr>
            <w:tcW w:w="14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p>
        </w:tc>
        <w:tc>
          <w:tcPr>
            <w:tcW w:w="141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洒水</w:t>
            </w:r>
          </w:p>
        </w:tc>
        <w:tc>
          <w:tcPr>
            <w:tcW w:w="14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2.01</w:t>
            </w:r>
          </w:p>
        </w:tc>
        <w:tc>
          <w:tcPr>
            <w:tcW w:w="14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1.40</w:t>
            </w:r>
          </w:p>
        </w:tc>
        <w:tc>
          <w:tcPr>
            <w:tcW w:w="14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0.67</w:t>
            </w:r>
          </w:p>
        </w:tc>
        <w:tc>
          <w:tcPr>
            <w:tcW w:w="14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0"/>
              </w:rPr>
            </w:pPr>
            <w:r>
              <w:rPr>
                <w:rFonts w:hint="eastAsia"/>
                <w:sz w:val="21"/>
                <w:szCs w:val="20"/>
              </w:rPr>
              <w:t>0.60</w:t>
            </w:r>
          </w:p>
        </w:tc>
      </w:tr>
    </w:tbl>
    <w:p>
      <w:pPr>
        <w:spacing w:before="156" w:beforeLines="50"/>
      </w:pPr>
      <w:r>
        <w:rPr>
          <w:rFonts w:hint="eastAsia"/>
        </w:rPr>
        <w:t>从以上数据可看出对施工场地车辆行驶的路面实施每天洒水4次～5次进行抑尘，可有效控制道路扬尘，并可将TSP污染距离缩小到20m～50m范围。</w:t>
      </w:r>
    </w:p>
    <w:p>
      <w:pPr>
        <w:bidi w:val="0"/>
      </w:pPr>
      <w:r>
        <w:t>3</w:t>
      </w:r>
      <w:r>
        <w:rPr>
          <w:rFonts w:hint="eastAsia"/>
        </w:rPr>
        <w:t>、机械设备及汽车尾气</w:t>
      </w:r>
    </w:p>
    <w:p>
      <w:r>
        <w:rPr>
          <w:rFonts w:hint="eastAsia"/>
        </w:rPr>
        <w:t>项目施工需要使用的燃油机械设备一般有推土机、挖掘机、自卸汽车等，燃料以柴油为主，会产生一定量的废气。机械尾气中主要含CO、THC、NO</w:t>
      </w:r>
      <w:r>
        <w:rPr>
          <w:rFonts w:hint="eastAsia"/>
          <w:vertAlign w:val="subscript"/>
        </w:rPr>
        <w:t>x</w:t>
      </w:r>
      <w:r>
        <w:rPr>
          <w:rFonts w:hint="eastAsia"/>
        </w:rPr>
        <w:t>等污染物。由于项目作业区为线状，污染源分布分散，且污染物大多为露天排放，废气排放量不大且间歇排放，加强防护措施以及经大气扩散和稀释，对区域环境空气质量影响不大。</w:t>
      </w:r>
    </w:p>
    <w:p>
      <w:pPr>
        <w:pStyle w:val="7"/>
        <w:bidi w:val="0"/>
      </w:pPr>
      <w:r>
        <w:rPr>
          <w:rFonts w:hint="eastAsia"/>
          <w:lang w:val="en-US" w:eastAsia="zh-CN"/>
        </w:rPr>
        <w:t>3.5.1.2</w:t>
      </w:r>
      <w:r>
        <w:rPr>
          <w:rFonts w:hint="eastAsia"/>
        </w:rPr>
        <w:t>建设阶段水污染源源强核算</w:t>
      </w:r>
    </w:p>
    <w:p>
      <w:pPr>
        <w:bidi w:val="0"/>
      </w:pPr>
      <w:r>
        <w:rPr>
          <w:rFonts w:hint="eastAsia"/>
        </w:rPr>
        <w:t>项目建设阶段产生的水污染物包括：工程施工废水、基坑排水、临时堆土场尾水、施工人员的生活污水等。</w:t>
      </w:r>
    </w:p>
    <w:p>
      <w:pPr>
        <w:bidi w:val="0"/>
      </w:pPr>
      <w:r>
        <w:rPr>
          <w:rFonts w:hint="eastAsia"/>
        </w:rPr>
        <w:t>1、施工废水</w:t>
      </w:r>
    </w:p>
    <w:p>
      <w:pPr>
        <w:bidi w:val="0"/>
      </w:pPr>
      <w:r>
        <w:rPr>
          <w:rFonts w:hint="eastAsia"/>
        </w:rPr>
        <w:t>雨季施工场地地表径流产生量不易确定，雨水中主要污染物为SS，通过临时集水沉淀池沉淀后用于场地抑尘。项目在施工场地分别设1座临时集水沉淀池，沉淀池设计为砖砌结构，砂浆抹面，池壁均为直立式，沉淀池底宽采用</w:t>
      </w:r>
      <w:r>
        <w:rPr>
          <w:rFonts w:hint="eastAsia"/>
          <w:lang w:val="en-US" w:eastAsia="zh-CN"/>
        </w:rPr>
        <w:t>2</w:t>
      </w:r>
      <w:r>
        <w:t>.0</w:t>
      </w:r>
      <w:r>
        <w:rPr>
          <w:rFonts w:hint="eastAsia"/>
        </w:rPr>
        <w:t>m×</w:t>
      </w:r>
      <w:r>
        <w:rPr>
          <w:rFonts w:hint="eastAsia"/>
          <w:lang w:val="en-US" w:eastAsia="zh-CN"/>
        </w:rPr>
        <w:t>1.5</w:t>
      </w:r>
      <w:r>
        <w:rPr>
          <w:rFonts w:hint="eastAsia"/>
        </w:rPr>
        <w:t>m，池深2.0m。</w:t>
      </w:r>
    </w:p>
    <w:p>
      <w:pPr>
        <w:bidi w:val="0"/>
      </w:pPr>
      <w:r>
        <w:rPr>
          <w:rFonts w:hint="eastAsia"/>
        </w:rPr>
        <w:t>2、基坑排水</w:t>
      </w:r>
    </w:p>
    <w:p>
      <w:pPr>
        <w:bidi w:val="0"/>
      </w:pPr>
      <w:r>
        <w:t>项目河道工程建设时，在基础开挖后，基坑内会有一定量的渗出水产生</w:t>
      </w:r>
      <w:r>
        <w:rPr>
          <w:rFonts w:hint="eastAsia"/>
        </w:rPr>
        <w:t>。基坑排水包括围堰施工所形成的基坑明水以及河道开挖产生的基坑渗水，该水产生量相对较小，主要是悬浮物含量较高，其悬浮物浓度为2000mg/L左右，pH值为</w:t>
      </w:r>
      <w:r>
        <w:t>6</w:t>
      </w:r>
      <w:r>
        <w:rPr>
          <w:rFonts w:hint="eastAsia"/>
        </w:rPr>
        <w:t>～</w:t>
      </w:r>
      <w:r>
        <w:t>9</w:t>
      </w:r>
      <w:r>
        <w:rPr>
          <w:rFonts w:hint="eastAsia"/>
        </w:rPr>
        <w:t>，开挖过程中在基坑四周设置排水沟，将坑内地下渗水进行收集，经收集的基坑排水经泵抽出，并控制水位下降速率，避免泥浆水外排，基坑排水水质与河流水质基本相当，因此基坑排水不会对河流水质产生明显影响。</w:t>
      </w:r>
      <w:r>
        <w:t>项目基坑开挖深度较浅，基坑渗水量较浅，无需进行大范围的高强度的地下水降水位操作，仅进行少量基坑排水即可满足施工要求。</w:t>
      </w:r>
      <w:r>
        <w:rPr>
          <w:rFonts w:hint="eastAsia"/>
        </w:rPr>
        <w:t>项目分段施工，不集中布设基坑，根据类比，</w:t>
      </w:r>
      <w:r>
        <w:t>施工时的基坑排水量</w:t>
      </w:r>
      <w:r>
        <w:rPr>
          <w:rFonts w:hint="eastAsia"/>
        </w:rPr>
        <w:t>约</w:t>
      </w:r>
      <w:r>
        <w:t>为40m</w:t>
      </w:r>
      <w:r>
        <w:rPr>
          <w:vertAlign w:val="superscript"/>
        </w:rPr>
        <w:t>3</w:t>
      </w:r>
      <w:r>
        <w:t>/d。</w:t>
      </w:r>
    </w:p>
    <w:p>
      <w:pPr>
        <w:bidi w:val="0"/>
        <w:rPr>
          <w:highlight w:val="none"/>
        </w:rPr>
      </w:pPr>
      <w:r>
        <w:rPr>
          <w:rFonts w:hint="eastAsia"/>
        </w:rPr>
        <w:t>3、生活污水</w:t>
      </w:r>
    </w:p>
    <w:p>
      <w:pPr>
        <w:bidi w:val="0"/>
        <w:rPr>
          <w:highlight w:val="none"/>
        </w:rPr>
      </w:pPr>
      <w:r>
        <w:rPr>
          <w:rFonts w:hint="eastAsia"/>
          <w:highlight w:val="none"/>
        </w:rPr>
        <w:t>项目</w:t>
      </w:r>
      <w:r>
        <w:rPr>
          <w:highlight w:val="none"/>
        </w:rPr>
        <w:t>施工人员以日均</w:t>
      </w:r>
      <w:r>
        <w:rPr>
          <w:rFonts w:hint="eastAsia"/>
          <w:highlight w:val="none"/>
          <w:lang w:val="en-US" w:eastAsia="zh-CN"/>
        </w:rPr>
        <w:t>3</w:t>
      </w:r>
      <w:r>
        <w:rPr>
          <w:highlight w:val="none"/>
        </w:rPr>
        <w:t>0人计算，主要为生活盥洗污水，每人日均污水产生量以40L计，</w:t>
      </w:r>
      <w:r>
        <w:rPr>
          <w:rFonts w:hint="eastAsia"/>
          <w:highlight w:val="none"/>
        </w:rPr>
        <w:t>则</w:t>
      </w:r>
      <w:r>
        <w:rPr>
          <w:highlight w:val="none"/>
        </w:rPr>
        <w:t>单日污水产生量为</w:t>
      </w:r>
      <w:r>
        <w:rPr>
          <w:rFonts w:hint="eastAsia"/>
          <w:highlight w:val="none"/>
          <w:lang w:val="en-US" w:eastAsia="zh-CN"/>
        </w:rPr>
        <w:t>1.2</w:t>
      </w:r>
      <w:r>
        <w:rPr>
          <w:highlight w:val="none"/>
        </w:rPr>
        <w:t>m</w:t>
      </w:r>
      <w:r>
        <w:rPr>
          <w:highlight w:val="none"/>
          <w:vertAlign w:val="superscript"/>
        </w:rPr>
        <w:t>3</w:t>
      </w:r>
      <w:r>
        <w:rPr>
          <w:highlight w:val="none"/>
        </w:rPr>
        <w:t>/</w:t>
      </w:r>
      <w:r>
        <w:rPr>
          <w:rFonts w:hint="eastAsia"/>
          <w:highlight w:val="none"/>
        </w:rPr>
        <w:t>d</w:t>
      </w:r>
      <w:r>
        <w:rPr>
          <w:highlight w:val="none"/>
        </w:rPr>
        <w:t>。</w:t>
      </w:r>
    </w:p>
    <w:p>
      <w:pPr>
        <w:pStyle w:val="7"/>
        <w:bidi w:val="0"/>
      </w:pPr>
      <w:r>
        <w:rPr>
          <w:rFonts w:hint="eastAsia"/>
          <w:lang w:val="en-US" w:eastAsia="zh-CN"/>
        </w:rPr>
        <w:t>3.5.1.3</w:t>
      </w:r>
      <w:r>
        <w:rPr>
          <w:rFonts w:hint="eastAsia"/>
        </w:rPr>
        <w:t>建设阶段噪声污染影响因素分析</w:t>
      </w:r>
    </w:p>
    <w:p>
      <w:pPr>
        <w:bidi w:val="0"/>
      </w:pPr>
      <w:r>
        <w:t>项目建设阶段噪声主要为施工机械设备噪声、运输车辆噪声</w:t>
      </w:r>
      <w:r>
        <w:rPr>
          <w:rFonts w:hint="eastAsia"/>
        </w:rPr>
        <w:t>。</w:t>
      </w:r>
    </w:p>
    <w:p>
      <w:pPr>
        <w:bidi w:val="0"/>
      </w:pPr>
      <w:r>
        <w:rPr>
          <w:rFonts w:hint="eastAsia"/>
        </w:rPr>
        <w:t>项目施工机械主要涉及：推土机、挖掘机、平地机、压路机、拖拉机、泵车、自卸车、夯机、拌合机、振捣器等，</w:t>
      </w:r>
      <w:r>
        <w:t>噪声源强为85~95dB（A）；</w:t>
      </w:r>
      <w:r>
        <w:rPr>
          <w:rFonts w:hint="eastAsia"/>
        </w:rPr>
        <w:t>项目</w:t>
      </w:r>
      <w:r>
        <w:t>运输车辆，噪声源强为70~85dB（A）。建设阶段各种机械设备情况及其噪声值见下表。</w:t>
      </w:r>
    </w:p>
    <w:p>
      <w:pPr>
        <w:bidi w:val="0"/>
        <w:ind w:left="0" w:leftChars="0" w:firstLine="0" w:firstLineChars="0"/>
        <w:jc w:val="center"/>
        <w:rPr>
          <w:b/>
          <w:bCs/>
          <w:sz w:val="21"/>
          <w:szCs w:val="21"/>
        </w:rPr>
      </w:pPr>
      <w:r>
        <w:rPr>
          <w:rFonts w:hint="eastAsia"/>
          <w:b/>
          <w:bCs/>
          <w:sz w:val="21"/>
          <w:szCs w:val="21"/>
          <w:lang w:eastAsia="zh-CN"/>
        </w:rPr>
        <w:t>表</w:t>
      </w:r>
      <w:r>
        <w:rPr>
          <w:rFonts w:hint="eastAsia"/>
          <w:b/>
          <w:bCs/>
          <w:sz w:val="21"/>
          <w:szCs w:val="21"/>
          <w:lang w:val="en-US" w:eastAsia="zh-CN"/>
        </w:rPr>
        <w:t xml:space="preserve">3.5-3  </w:t>
      </w:r>
      <w:r>
        <w:rPr>
          <w:b/>
          <w:bCs/>
          <w:sz w:val="21"/>
          <w:szCs w:val="21"/>
        </w:rPr>
        <w:t>建设阶段主要噪声源强一览表</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42"/>
        <w:gridCol w:w="3075"/>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80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设备名称</w:t>
            </w:r>
          </w:p>
        </w:tc>
        <w:tc>
          <w:tcPr>
            <w:tcW w:w="25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噪声源强dB（A）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80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推土机</w:t>
            </w:r>
          </w:p>
        </w:tc>
        <w:tc>
          <w:tcPr>
            <w:tcW w:w="25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80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挖掘机</w:t>
            </w:r>
          </w:p>
        </w:tc>
        <w:tc>
          <w:tcPr>
            <w:tcW w:w="25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180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履带拖拉机</w:t>
            </w:r>
          </w:p>
        </w:tc>
        <w:tc>
          <w:tcPr>
            <w:tcW w:w="25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p>
        </w:tc>
        <w:tc>
          <w:tcPr>
            <w:tcW w:w="180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打夯机</w:t>
            </w:r>
          </w:p>
        </w:tc>
        <w:tc>
          <w:tcPr>
            <w:tcW w:w="25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5</w:t>
            </w:r>
          </w:p>
        </w:tc>
        <w:tc>
          <w:tcPr>
            <w:tcW w:w="180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载重汽车</w:t>
            </w:r>
          </w:p>
        </w:tc>
        <w:tc>
          <w:tcPr>
            <w:tcW w:w="25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70~85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6</w:t>
            </w:r>
          </w:p>
        </w:tc>
        <w:tc>
          <w:tcPr>
            <w:tcW w:w="180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自卸汽车</w:t>
            </w:r>
          </w:p>
        </w:tc>
        <w:tc>
          <w:tcPr>
            <w:tcW w:w="25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70~85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7</w:t>
            </w:r>
          </w:p>
        </w:tc>
        <w:tc>
          <w:tcPr>
            <w:tcW w:w="180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空压机</w:t>
            </w:r>
          </w:p>
        </w:tc>
        <w:tc>
          <w:tcPr>
            <w:tcW w:w="25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8</w:t>
            </w:r>
          </w:p>
        </w:tc>
        <w:tc>
          <w:tcPr>
            <w:tcW w:w="180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柴油发电机</w:t>
            </w:r>
          </w:p>
        </w:tc>
        <w:tc>
          <w:tcPr>
            <w:tcW w:w="25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9</w:t>
            </w:r>
          </w:p>
        </w:tc>
        <w:tc>
          <w:tcPr>
            <w:tcW w:w="1806"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振捣器</w:t>
            </w:r>
          </w:p>
        </w:tc>
        <w:tc>
          <w:tcPr>
            <w:tcW w:w="2581"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85</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pPr>
      <w:r>
        <w:t>主要通过采取以下措施降低</w:t>
      </w:r>
      <w:r>
        <w:rPr>
          <w:rFonts w:hint="eastAsia"/>
        </w:rPr>
        <w:t>噪声</w:t>
      </w:r>
      <w:r>
        <w:t>产生量</w:t>
      </w:r>
      <w:r>
        <w:rPr>
          <w:rFonts w:hint="eastAsia"/>
        </w:rPr>
        <w:t>：通过选用低噪声设备和先进的工艺，规范设备操作，加强设备养护，</w:t>
      </w:r>
      <w:r>
        <w:t>夜间（22：00-次日6：00）</w:t>
      </w:r>
      <w:r>
        <w:rPr>
          <w:rFonts w:hint="eastAsia"/>
        </w:rPr>
        <w:t>禁止施工，</w:t>
      </w:r>
      <w:r>
        <w:t>合理安排施工进度，加强施工期环境</w:t>
      </w:r>
      <w:r>
        <w:rPr>
          <w:rFonts w:hint="eastAsia"/>
        </w:rPr>
        <w:t>管</w:t>
      </w:r>
      <w:r>
        <w:t>理，</w:t>
      </w:r>
      <w:r>
        <w:rPr>
          <w:rFonts w:hint="eastAsia"/>
        </w:rPr>
        <w:t>车辆减速行驶，不鸣笛等措施降低噪声的排放。</w:t>
      </w:r>
    </w:p>
    <w:p>
      <w:pPr>
        <w:bidi w:val="0"/>
      </w:pPr>
      <w:r>
        <w:rPr>
          <w:rFonts w:hint="eastAsia"/>
        </w:rPr>
        <w:t>采取以上措施后，施工场界噪声排放满足《建筑施工场界环境噪声排放标准》（GB12523-2011）的要求，达标排放。</w:t>
      </w:r>
    </w:p>
    <w:p>
      <w:pPr>
        <w:pStyle w:val="7"/>
        <w:bidi w:val="0"/>
      </w:pPr>
      <w:r>
        <w:rPr>
          <w:rFonts w:hint="eastAsia"/>
          <w:lang w:val="en-US" w:eastAsia="zh-CN"/>
        </w:rPr>
        <w:t>3.5.1.4</w:t>
      </w:r>
      <w:r>
        <w:rPr>
          <w:rFonts w:hint="eastAsia"/>
        </w:rPr>
        <w:t>建设阶段固体废物影响因素分析</w:t>
      </w:r>
    </w:p>
    <w:p>
      <w:r>
        <w:rPr>
          <w:rFonts w:hint="eastAsia"/>
        </w:rPr>
        <w:t>项目建设阶段产生的固废主要包括：表土、工程</w:t>
      </w:r>
      <w:r>
        <w:t>建设时开挖的土石方</w:t>
      </w:r>
      <w:r>
        <w:rPr>
          <w:rFonts w:hint="eastAsia"/>
        </w:rPr>
        <w:t>、</w:t>
      </w:r>
      <w:r>
        <w:t>沉淀</w:t>
      </w:r>
      <w:r>
        <w:rPr>
          <w:rFonts w:hint="eastAsia"/>
        </w:rPr>
        <w:t>集水</w:t>
      </w:r>
      <w:r>
        <w:t>池</w:t>
      </w:r>
      <w:r>
        <w:rPr>
          <w:rFonts w:hint="eastAsia"/>
        </w:rPr>
        <w:t>等</w:t>
      </w:r>
      <w:r>
        <w:t>底泥</w:t>
      </w:r>
      <w:r>
        <w:rPr>
          <w:rFonts w:hint="eastAsia"/>
        </w:rPr>
        <w:t>、</w:t>
      </w:r>
      <w:r>
        <w:t>施工人员产生的生活垃圾</w:t>
      </w:r>
      <w:r>
        <w:rPr>
          <w:rFonts w:hint="eastAsia"/>
        </w:rPr>
        <w:t>等</w:t>
      </w:r>
      <w:r>
        <w:t>。</w:t>
      </w:r>
    </w:p>
    <w:p>
      <w:pPr>
        <w:bidi w:val="0"/>
        <w:rPr>
          <w:highlight w:val="none"/>
        </w:rPr>
      </w:pPr>
      <w:r>
        <w:rPr>
          <w:rFonts w:hint="eastAsia"/>
          <w:highlight w:val="none"/>
        </w:rPr>
        <w:t>1、表土</w:t>
      </w:r>
    </w:p>
    <w:p>
      <w:pPr>
        <w:rPr>
          <w:highlight w:val="none"/>
        </w:rPr>
      </w:pPr>
      <w:r>
        <w:rPr>
          <w:rFonts w:hint="eastAsia"/>
          <w:highlight w:val="none"/>
        </w:rPr>
        <w:t>项目建设阶段</w:t>
      </w:r>
      <w:r>
        <w:rPr>
          <w:highlight w:val="none"/>
        </w:rPr>
        <w:t>部分临时占地区域</w:t>
      </w:r>
      <w:r>
        <w:rPr>
          <w:rFonts w:hint="eastAsia"/>
          <w:highlight w:val="none"/>
        </w:rPr>
        <w:t>及主体工程施工</w:t>
      </w:r>
      <w:r>
        <w:rPr>
          <w:highlight w:val="none"/>
        </w:rPr>
        <w:t>需进行表土剥离，</w:t>
      </w:r>
      <w:r>
        <w:rPr>
          <w:rFonts w:hint="eastAsia"/>
          <w:bCs/>
          <w:kern w:val="44"/>
          <w:highlight w:val="none"/>
        </w:rPr>
        <w:t>表土集中收集，单独贮存，表土贮存顶部采用编织布覆盖，四周设简易排水沟，防治水土流失；表土用于土方回填使用。施工结束后对表土场生态恢复</w:t>
      </w:r>
      <w:r>
        <w:rPr>
          <w:rFonts w:hint="eastAsia"/>
          <w:highlight w:val="none"/>
        </w:rPr>
        <w:t>。</w:t>
      </w:r>
    </w:p>
    <w:p>
      <w:pPr>
        <w:bidi w:val="0"/>
        <w:rPr>
          <w:highlight w:val="none"/>
        </w:rPr>
      </w:pPr>
      <w:r>
        <w:rPr>
          <w:rFonts w:hint="eastAsia"/>
        </w:rPr>
        <w:t>2、弃土石方</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拟清理河流冲击物3598.5m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（干方），冲积物多为块石、石子，集中收集用于附近村镇乡路垫道；清理河道淤泥7045m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湿</w:t>
      </w:r>
      <w:r>
        <w:rPr>
          <w:rFonts w:hint="eastAsia"/>
          <w:color w:val="000000" w:themeColor="text1"/>
          <w:highlight w:val="none"/>
          <w14:textFill>
            <w14:solidFill>
              <w14:schemeClr w14:val="tx1"/>
            </w14:solidFill>
          </w14:textFill>
        </w:rPr>
        <w:t>方），按含水率80%干化后含水率</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，4227</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干</w:t>
      </w:r>
      <w:r>
        <w:rPr>
          <w:rFonts w:hint="eastAsia"/>
          <w:color w:val="000000" w:themeColor="text1"/>
          <w:highlight w:val="none"/>
          <w14:textFill>
            <w14:solidFill>
              <w14:schemeClr w14:val="tx1"/>
            </w14:solidFill>
          </w14:textFill>
        </w:rPr>
        <w:t>方）集中收集，部分用于生态植物种植工程（原状土掺混淤泥，种植面积5904m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，覆土0.</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m</w:t>
      </w:r>
      <w:r>
        <w:rPr>
          <w:rFonts w:hint="eastAsia"/>
          <w:color w:val="000000" w:themeColor="text1"/>
          <w:highlight w:val="none"/>
          <w:lang w:eastAsia="zh-CN"/>
          <w14:textFill>
            <w14:solidFill>
              <w14:schemeClr w14:val="tx1"/>
            </w14:solidFill>
          </w14:textFill>
        </w:rPr>
        <w:t>，共计</w:t>
      </w:r>
      <w:r>
        <w:rPr>
          <w:rFonts w:hint="eastAsia"/>
          <w:color w:val="000000" w:themeColor="text1"/>
          <w:highlight w:val="none"/>
          <w:lang w:val="en-US" w:eastAsia="zh-CN"/>
          <w14:textFill>
            <w14:solidFill>
              <w14:schemeClr w14:val="tx1"/>
            </w14:solidFill>
          </w14:textFill>
        </w:rPr>
        <w:t>2952</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剩余</w:t>
      </w:r>
      <w:r>
        <w:rPr>
          <w:rFonts w:hint="eastAsia"/>
          <w:color w:val="000000" w:themeColor="text1"/>
          <w:highlight w:val="none"/>
          <w14:textFill>
            <w14:solidFill>
              <w14:schemeClr w14:val="tx1"/>
            </w14:solidFill>
          </w14:textFill>
        </w:rPr>
        <w:t>部分回填至河滩地土方回填区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1275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；清理岸坡垃圾1625m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，集中收集运至生活垃圾填埋场填埋场处置。</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生态护岸工程开挖</w:t>
      </w:r>
      <w:r>
        <w:rPr>
          <w:rFonts w:hint="eastAsia"/>
          <w:color w:val="000000" w:themeColor="text1"/>
          <w:highlight w:val="none"/>
          <w:lang w:val="en-US" w:eastAsia="zh-CN"/>
          <w14:textFill>
            <w14:solidFill>
              <w14:schemeClr w14:val="tx1"/>
            </w14:solidFill>
          </w14:textFill>
        </w:rPr>
        <w:t>2476.5</w:t>
      </w:r>
      <w:r>
        <w:rPr>
          <w:rFonts w:hint="eastAsia"/>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（干方），回填</w:t>
      </w:r>
      <w:r>
        <w:rPr>
          <w:rFonts w:hint="eastAsia"/>
          <w:color w:val="000000" w:themeColor="text1"/>
          <w:highlight w:val="none"/>
          <w:lang w:val="en-US" w:eastAsia="zh-CN"/>
          <w14:textFill>
            <w14:solidFill>
              <w14:schemeClr w14:val="tx1"/>
            </w14:solidFill>
          </w14:textFill>
        </w:rPr>
        <w:t>2172</w:t>
      </w:r>
      <w:r>
        <w:rPr>
          <w:rFonts w:hint="eastAsia"/>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（干方），进行生态</w:t>
      </w:r>
      <w:r>
        <w:rPr>
          <w:rFonts w:hint="eastAsia"/>
          <w:color w:val="000000" w:themeColor="text1"/>
          <w:highlight w:val="none"/>
          <w:lang w:eastAsia="zh-CN"/>
          <w14:textFill>
            <w14:solidFill>
              <w14:schemeClr w14:val="tx1"/>
            </w14:solidFill>
          </w14:textFill>
        </w:rPr>
        <w:t>植物种植</w:t>
      </w:r>
      <w:r>
        <w:rPr>
          <w:rFonts w:hint="eastAsia"/>
          <w:color w:val="000000" w:themeColor="text1"/>
          <w:highlight w:val="none"/>
          <w:lang w:val="en-US" w:eastAsia="zh-CN"/>
          <w14:textFill>
            <w14:solidFill>
              <w14:schemeClr w14:val="tx1"/>
            </w14:solidFill>
          </w14:textFill>
        </w:rPr>
        <w:t>304.5</w:t>
      </w:r>
      <w:r>
        <w:rPr>
          <w:rFonts w:hint="eastAsia"/>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（干方）</w:t>
      </w:r>
      <w:r>
        <w:rPr>
          <w:rFonts w:hint="eastAsia"/>
          <w:color w:val="000000" w:themeColor="text1"/>
          <w:highlight w:val="none"/>
          <w:lang w:eastAsia="zh-CN"/>
          <w14:textFill>
            <w14:solidFill>
              <w14:schemeClr w14:val="tx1"/>
            </w14:solidFill>
          </w14:textFill>
        </w:rPr>
        <w:t>，外购</w:t>
      </w:r>
      <w:r>
        <w:rPr>
          <w:rFonts w:hint="eastAsia"/>
          <w:color w:val="000000" w:themeColor="text1"/>
          <w:highlight w:val="none"/>
          <w:lang w:val="en-US" w:eastAsia="zh-CN"/>
          <w14:textFill>
            <w14:solidFill>
              <w14:schemeClr w14:val="tx1"/>
            </w14:solidFill>
          </w14:textFill>
        </w:rPr>
        <w:t>1376</w:t>
      </w:r>
      <w:r>
        <w:rPr>
          <w:rFonts w:hint="eastAsia"/>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（干方）</w:t>
      </w:r>
      <w:r>
        <w:rPr>
          <w:rFonts w:hint="eastAsia"/>
          <w:color w:val="000000" w:themeColor="text1"/>
          <w:highlight w:val="none"/>
          <w:lang w:eastAsia="zh-CN"/>
          <w14:textFill>
            <w14:solidFill>
              <w14:schemeClr w14:val="tx1"/>
            </w14:solidFill>
          </w14:textFill>
        </w:rPr>
        <w:t>；生态植物种植开挖</w:t>
      </w:r>
      <w:r>
        <w:rPr>
          <w:rFonts w:hint="eastAsia"/>
          <w:color w:val="000000" w:themeColor="text1"/>
          <w:highlight w:val="none"/>
          <w:lang w:val="en-US" w:eastAsia="zh-CN"/>
          <w14:textFill>
            <w14:solidFill>
              <w14:schemeClr w14:val="tx1"/>
            </w14:solidFill>
          </w14:textFill>
        </w:rPr>
        <w:t>551.5</w:t>
      </w:r>
      <w:r>
        <w:rPr>
          <w:highlight w:val="none"/>
        </w:rPr>
        <w:t>m</w:t>
      </w:r>
      <w:r>
        <w:rPr>
          <w:highlight w:val="none"/>
          <w:vertAlign w:val="superscript"/>
        </w:rPr>
        <w:t>3</w:t>
      </w:r>
      <w:r>
        <w:rPr>
          <w:rFonts w:hint="eastAsia"/>
          <w:color w:val="000000" w:themeColor="text1"/>
          <w:highlight w:val="none"/>
          <w14:textFill>
            <w14:solidFill>
              <w14:schemeClr w14:val="tx1"/>
            </w14:solidFill>
          </w14:textFill>
        </w:rPr>
        <w:t>（干方）</w:t>
      </w:r>
      <w:r>
        <w:rPr>
          <w:rFonts w:hint="eastAsia"/>
          <w:color w:val="000000" w:themeColor="text1"/>
          <w:highlight w:val="none"/>
          <w:lang w:eastAsia="zh-CN"/>
          <w14:textFill>
            <w14:solidFill>
              <w14:schemeClr w14:val="tx1"/>
            </w14:solidFill>
          </w14:textFill>
        </w:rPr>
        <w:t>，进行回填</w:t>
      </w:r>
      <w:r>
        <w:rPr>
          <w:rFonts w:hint="eastAsia"/>
          <w:color w:val="000000" w:themeColor="text1"/>
          <w:highlight w:val="none"/>
          <w:lang w:val="en-US" w:eastAsia="zh-CN"/>
          <w14:textFill>
            <w14:solidFill>
              <w14:schemeClr w14:val="tx1"/>
            </w14:solidFill>
          </w14:textFill>
        </w:rPr>
        <w:t>551.5</w:t>
      </w:r>
      <w:r>
        <w:rPr>
          <w:highlight w:val="none"/>
        </w:rPr>
        <w:t>m</w:t>
      </w:r>
      <w:r>
        <w:rPr>
          <w:highlight w:val="none"/>
          <w:vertAlign w:val="superscript"/>
        </w:rPr>
        <w:t>3</w:t>
      </w:r>
      <w:r>
        <w:rPr>
          <w:rFonts w:hint="eastAsia"/>
          <w:color w:val="000000" w:themeColor="text1"/>
          <w:highlight w:val="none"/>
          <w14:textFill>
            <w14:solidFill>
              <w14:schemeClr w14:val="tx1"/>
            </w14:solidFill>
          </w14:textFill>
        </w:rPr>
        <w:t>（干方）</w:t>
      </w:r>
      <w:r>
        <w:rPr>
          <w:rFonts w:hint="eastAsia"/>
          <w:color w:val="000000" w:themeColor="text1"/>
          <w:highlight w:val="none"/>
          <w:lang w:eastAsia="zh-CN"/>
          <w14:textFill>
            <w14:solidFill>
              <w14:schemeClr w14:val="tx1"/>
            </w14:solidFill>
          </w14:textFill>
        </w:rPr>
        <w:t>；生态步道建设</w:t>
      </w:r>
      <w:r>
        <w:rPr>
          <w:rFonts w:hint="eastAsia"/>
          <w:color w:val="000000" w:themeColor="text1"/>
          <w:highlight w:val="none"/>
          <w14:textFill>
            <w14:solidFill>
              <w14:schemeClr w14:val="tx1"/>
            </w14:solidFill>
          </w14:textFill>
        </w:rPr>
        <w:t>开挖</w:t>
      </w:r>
      <w:r>
        <w:rPr>
          <w:rFonts w:hint="eastAsia"/>
          <w:color w:val="000000" w:themeColor="text1"/>
          <w:highlight w:val="none"/>
          <w:lang w:val="en-US" w:eastAsia="zh-CN"/>
          <w14:textFill>
            <w14:solidFill>
              <w14:schemeClr w14:val="tx1"/>
            </w14:solidFill>
          </w14:textFill>
        </w:rPr>
        <w:t>565</w:t>
      </w:r>
      <w:r>
        <w:rPr>
          <w:rFonts w:hint="eastAsia"/>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（干方），进行生态步道回填</w:t>
      </w:r>
      <w:r>
        <w:rPr>
          <w:rFonts w:hint="eastAsia"/>
          <w:color w:val="000000" w:themeColor="text1"/>
          <w:highlight w:val="none"/>
          <w:lang w:val="en-US" w:eastAsia="zh-CN"/>
          <w14:textFill>
            <w14:solidFill>
              <w14:schemeClr w14:val="tx1"/>
            </w14:solidFill>
          </w14:textFill>
        </w:rPr>
        <w:t>565</w:t>
      </w:r>
      <w:r>
        <w:rPr>
          <w:rFonts w:hint="eastAsia"/>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（干方）。</w:t>
      </w:r>
    </w:p>
    <w:p>
      <w:pPr>
        <w:rPr>
          <w:highlight w:val="none"/>
        </w:rPr>
      </w:pPr>
      <w:r>
        <w:rPr>
          <w:rFonts w:hint="eastAsia"/>
          <w:highlight w:val="none"/>
        </w:rPr>
        <w:t>上述工程合计挖方</w:t>
      </w:r>
      <w:r>
        <w:rPr>
          <w:rFonts w:hint="eastAsia"/>
          <w:highlight w:val="none"/>
          <w:lang w:val="en-US" w:eastAsia="zh-CN"/>
        </w:rPr>
        <w:t>13043.5</w:t>
      </w:r>
      <w:r>
        <w:rPr>
          <w:highlight w:val="none"/>
        </w:rPr>
        <w:t>m</w:t>
      </w:r>
      <w:r>
        <w:rPr>
          <w:highlight w:val="none"/>
          <w:vertAlign w:val="superscript"/>
        </w:rPr>
        <w:t>3</w:t>
      </w:r>
      <w:r>
        <w:rPr>
          <w:rFonts w:hint="eastAsia"/>
          <w:color w:val="000000" w:themeColor="text1"/>
          <w:highlight w:val="none"/>
          <w14:textFill>
            <w14:solidFill>
              <w14:schemeClr w14:val="tx1"/>
            </w14:solidFill>
          </w14:textFill>
        </w:rPr>
        <w:t>（干方）</w:t>
      </w:r>
      <w:r>
        <w:rPr>
          <w:rFonts w:hint="eastAsia"/>
          <w:highlight w:val="none"/>
        </w:rPr>
        <w:t>，合计填方</w:t>
      </w:r>
      <w:r>
        <w:rPr>
          <w:rFonts w:hint="eastAsia"/>
          <w:highlight w:val="none"/>
          <w:lang w:val="en-US" w:eastAsia="zh-CN"/>
        </w:rPr>
        <w:t>6545</w:t>
      </w:r>
      <w:r>
        <w:rPr>
          <w:highlight w:val="none"/>
        </w:rPr>
        <w:t>m</w:t>
      </w:r>
      <w:r>
        <w:rPr>
          <w:highlight w:val="none"/>
          <w:vertAlign w:val="superscript"/>
        </w:rPr>
        <w:t>3</w:t>
      </w:r>
      <w:r>
        <w:rPr>
          <w:rFonts w:hint="eastAsia"/>
          <w:color w:val="000000" w:themeColor="text1"/>
          <w:highlight w:val="none"/>
          <w14:textFill>
            <w14:solidFill>
              <w14:schemeClr w14:val="tx1"/>
            </w14:solidFill>
          </w14:textFill>
        </w:rPr>
        <w:t>（干方），合计外购填方</w:t>
      </w:r>
      <w:r>
        <w:rPr>
          <w:rFonts w:hint="eastAsia"/>
          <w:color w:val="000000" w:themeColor="text1"/>
          <w:highlight w:val="none"/>
          <w:lang w:val="en-US" w:eastAsia="zh-CN"/>
          <w14:textFill>
            <w14:solidFill>
              <w14:schemeClr w14:val="tx1"/>
            </w14:solidFill>
          </w14:textFill>
        </w:rPr>
        <w:t>1376</w:t>
      </w:r>
      <w:r>
        <w:rPr>
          <w:rFonts w:hint="eastAsia"/>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（干方）。项目土石方平衡情况详见表3</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w:t>
      </w:r>
      <w:r>
        <w:rPr>
          <w:rFonts w:hint="eastAsia"/>
          <w:highlight w:val="none"/>
        </w:rPr>
        <w:t>经初步土石方平衡估算，不产生弃土，因此不设弃土场。</w:t>
      </w:r>
    </w:p>
    <w:p>
      <w:pPr>
        <w:bidi w:val="0"/>
      </w:pPr>
      <w:r>
        <w:rPr>
          <w:rFonts w:hint="eastAsia"/>
        </w:rPr>
        <w:t>3、临时沉淀集水池等底泥</w:t>
      </w:r>
    </w:p>
    <w:p>
      <w:r>
        <w:t>项目于</w:t>
      </w:r>
      <w:r>
        <w:rPr>
          <w:rFonts w:hint="eastAsia"/>
        </w:rPr>
        <w:t>防洪治导线</w:t>
      </w:r>
      <w:r>
        <w:t>外设置临时沉淀</w:t>
      </w:r>
      <w:r>
        <w:rPr>
          <w:rFonts w:hint="eastAsia"/>
        </w:rPr>
        <w:t>集水</w:t>
      </w:r>
      <w:r>
        <w:t>池</w:t>
      </w:r>
      <w:r>
        <w:rPr>
          <w:rFonts w:hint="eastAsia"/>
        </w:rPr>
        <w:t>、尾水收集池等池体</w:t>
      </w:r>
      <w:r>
        <w:t>，</w:t>
      </w:r>
      <w:r>
        <w:rPr>
          <w:rFonts w:hint="eastAsia"/>
        </w:rPr>
        <w:t>水</w:t>
      </w:r>
      <w:r>
        <w:t>池底泥的产生量</w:t>
      </w:r>
      <w:r>
        <w:rPr>
          <w:rFonts w:hint="eastAsia"/>
        </w:rPr>
        <w:t>约为</w:t>
      </w:r>
      <w:r>
        <w:rPr>
          <w:rFonts w:hint="eastAsia"/>
          <w:lang w:val="en-US" w:eastAsia="zh-CN"/>
        </w:rPr>
        <w:t>10</w:t>
      </w:r>
      <w:r>
        <w:rPr>
          <w:rFonts w:hint="eastAsia"/>
        </w:rPr>
        <w:t>t</w:t>
      </w:r>
      <w:r>
        <w:t>。沉淀</w:t>
      </w:r>
      <w:r>
        <w:rPr>
          <w:rFonts w:hint="eastAsia"/>
        </w:rPr>
        <w:t>集水</w:t>
      </w:r>
      <w:r>
        <w:t>池底泥</w:t>
      </w:r>
      <w:r>
        <w:rPr>
          <w:rFonts w:hint="eastAsia"/>
        </w:rPr>
        <w:t>集中收集，定期清运至临时堆土场干化后用于生态护岸工程回填使用。</w:t>
      </w:r>
    </w:p>
    <w:p>
      <w:pPr>
        <w:bidi w:val="0"/>
        <w:rPr>
          <w:highlight w:val="none"/>
        </w:rPr>
      </w:pPr>
      <w:r>
        <w:rPr>
          <w:rFonts w:hint="eastAsia"/>
          <w:highlight w:val="none"/>
        </w:rPr>
        <w:t>4、生活垃圾</w:t>
      </w:r>
    </w:p>
    <w:p>
      <w:pPr>
        <w:rPr>
          <w:highlight w:val="none"/>
        </w:rPr>
      </w:pPr>
      <w:r>
        <w:rPr>
          <w:rFonts w:hint="eastAsia"/>
          <w:highlight w:val="none"/>
        </w:rPr>
        <w:t>项目</w:t>
      </w:r>
      <w:r>
        <w:rPr>
          <w:highlight w:val="none"/>
        </w:rPr>
        <w:t>施工人员以日均</w:t>
      </w:r>
      <w:r>
        <w:rPr>
          <w:rFonts w:hint="eastAsia"/>
          <w:highlight w:val="none"/>
          <w:lang w:val="en-US" w:eastAsia="zh-CN"/>
        </w:rPr>
        <w:t>3</w:t>
      </w:r>
      <w:r>
        <w:rPr>
          <w:highlight w:val="none"/>
        </w:rPr>
        <w:t>0人计算，人均生活垃圾产生量为0.5kg/d·人，则</w:t>
      </w:r>
      <w:r>
        <w:rPr>
          <w:rFonts w:hint="eastAsia"/>
          <w:highlight w:val="none"/>
        </w:rPr>
        <w:t>建设阶段</w:t>
      </w:r>
      <w:r>
        <w:rPr>
          <w:highlight w:val="none"/>
        </w:rPr>
        <w:t>生活垃圾产生量为</w:t>
      </w:r>
      <w:r>
        <w:rPr>
          <w:rFonts w:hint="eastAsia"/>
          <w:highlight w:val="none"/>
          <w:lang w:val="en-US" w:eastAsia="zh-CN"/>
        </w:rPr>
        <w:t>15</w:t>
      </w:r>
      <w:r>
        <w:rPr>
          <w:highlight w:val="none"/>
        </w:rPr>
        <w:t>kg/d</w:t>
      </w:r>
      <w:r>
        <w:rPr>
          <w:rFonts w:hint="eastAsia"/>
          <w:highlight w:val="none"/>
        </w:rPr>
        <w:t>。</w:t>
      </w:r>
      <w:r>
        <w:rPr>
          <w:highlight w:val="none"/>
        </w:rPr>
        <w:t>生活垃圾分类收集，送至</w:t>
      </w:r>
      <w:r>
        <w:rPr>
          <w:rFonts w:hint="eastAsia"/>
          <w:highlight w:val="none"/>
        </w:rPr>
        <w:t>区域指定生活垃圾集中堆存点，由区域</w:t>
      </w:r>
      <w:r>
        <w:rPr>
          <w:highlight w:val="none"/>
        </w:rPr>
        <w:t>环卫部门</w:t>
      </w:r>
      <w:r>
        <w:rPr>
          <w:rFonts w:hint="eastAsia"/>
          <w:highlight w:val="none"/>
        </w:rPr>
        <w:t>统一负责处置。</w:t>
      </w:r>
    </w:p>
    <w:p>
      <w:pPr>
        <w:pStyle w:val="6"/>
        <w:spacing w:before="0" w:beforeLines="0"/>
        <w:rPr>
          <w:b/>
        </w:rPr>
      </w:pPr>
      <w:bookmarkStart w:id="299" w:name="_Toc15317"/>
      <w:r>
        <w:rPr>
          <w:rFonts w:hint="eastAsia"/>
          <w:b/>
          <w:lang w:val="en-US" w:eastAsia="zh-CN"/>
        </w:rPr>
        <w:t>3.5.2</w:t>
      </w:r>
      <w:r>
        <w:rPr>
          <w:rFonts w:hint="eastAsia"/>
          <w:b/>
        </w:rPr>
        <w:t>运行阶段污染源源强核算</w:t>
      </w:r>
      <w:bookmarkEnd w:id="299"/>
    </w:p>
    <w:p>
      <w:r>
        <w:t>项目</w:t>
      </w:r>
      <w:r>
        <w:rPr>
          <w:rFonts w:hint="eastAsia"/>
        </w:rPr>
        <w:t>运行阶段</w:t>
      </w:r>
      <w:r>
        <w:t>仅需定期或根据工程损耗情况对建设内容适当维护，</w:t>
      </w:r>
      <w:r>
        <w:rPr>
          <w:rFonts w:hint="eastAsia"/>
        </w:rPr>
        <w:t>无</w:t>
      </w:r>
      <w:r>
        <w:t>废气、废水、噪声、固体废物等污染源</w:t>
      </w:r>
      <w:r>
        <w:rPr>
          <w:rFonts w:hint="eastAsia"/>
        </w:rPr>
        <w:t>，不产生相关废气、废水、噪声、固体废物等污染物</w:t>
      </w:r>
      <w:r>
        <w:t>。</w:t>
      </w:r>
    </w:p>
    <w:p>
      <w:pPr>
        <w:pStyle w:val="5"/>
        <w:spacing w:before="0" w:beforeLines="0"/>
        <w:rPr>
          <w:rFonts w:ascii="Times New Roman" w:hAnsi="Times New Roman"/>
          <w:b/>
        </w:rPr>
      </w:pPr>
      <w:bookmarkStart w:id="300" w:name="_Toc21839"/>
      <w:r>
        <w:rPr>
          <w:rFonts w:hint="eastAsia"/>
          <w:lang w:val="en-US" w:eastAsia="zh-CN"/>
        </w:rPr>
        <w:t>3.6</w:t>
      </w:r>
      <w:r>
        <w:rPr>
          <w:rFonts w:hint="eastAsia" w:ascii="Times New Roman" w:hAnsi="Times New Roman"/>
          <w:b/>
        </w:rPr>
        <w:t>总量控制指标</w:t>
      </w:r>
      <w:bookmarkEnd w:id="300"/>
    </w:p>
    <w:p>
      <w:pPr>
        <w:rPr>
          <w:rFonts w:hint="eastAsia"/>
        </w:rPr>
      </w:pPr>
      <w:r>
        <w:rPr>
          <w:rFonts w:hint="eastAsia"/>
        </w:rPr>
        <w:t>项目运行阶段不产生大气污染物，因此不给出大气污染物总量控制指标。项目运行阶段不产生水污染物，因此不给出水污染物总量控制指标。</w:t>
      </w:r>
      <w:bookmarkStart w:id="301" w:name="_Toc106199178"/>
    </w:p>
    <w:p>
      <w:pPr>
        <w:pStyle w:val="5"/>
        <w:bidi w:val="0"/>
      </w:pPr>
      <w:bookmarkStart w:id="302" w:name="_Toc14770"/>
      <w:r>
        <w:rPr>
          <w:rFonts w:hint="eastAsia"/>
          <w:lang w:val="en-US" w:eastAsia="zh-CN"/>
        </w:rPr>
        <w:t>3.7</w:t>
      </w:r>
      <w:r>
        <w:rPr>
          <w:rFonts w:hint="eastAsia"/>
        </w:rPr>
        <w:t>项目污染物排放情况汇总</w:t>
      </w:r>
      <w:bookmarkEnd w:id="301"/>
      <w:bookmarkEnd w:id="302"/>
    </w:p>
    <w:p>
      <w:pPr>
        <w:ind w:right="113"/>
        <w:rPr>
          <w:b/>
          <w:szCs w:val="21"/>
        </w:rPr>
      </w:pPr>
      <w:r>
        <w:rPr>
          <w:rFonts w:hint="eastAsia"/>
        </w:rPr>
        <w:t>根据项目特点，</w:t>
      </w:r>
      <w:r>
        <w:t>项目污染物排放汇总情况见</w:t>
      </w:r>
      <w:r>
        <w:rPr>
          <w:rFonts w:hint="eastAsia"/>
        </w:rPr>
        <w:t>下</w:t>
      </w:r>
      <w:r>
        <w:t>表。</w:t>
      </w:r>
    </w:p>
    <w:p>
      <w:pPr>
        <w:spacing w:before="156" w:beforeLines="50" w:after="156" w:afterLines="50"/>
        <w:ind w:firstLine="482"/>
        <w:jc w:val="center"/>
        <w:rPr>
          <w:b/>
          <w:szCs w:val="21"/>
        </w:rPr>
        <w:sectPr>
          <w:pgSz w:w="11906" w:h="16838"/>
          <w:pgMar w:top="1701" w:right="1701" w:bottom="1701" w:left="1701" w:header="1020" w:footer="992" w:gutter="0"/>
          <w:cols w:space="720" w:num="1"/>
          <w:docGrid w:type="linesAndChars" w:linePitch="312" w:charSpace="0"/>
        </w:sectPr>
      </w:pPr>
    </w:p>
    <w:p>
      <w:pPr>
        <w:pStyle w:val="131"/>
        <w:numPr>
          <w:ilvl w:val="0"/>
          <w:numId w:val="0"/>
        </w:numPr>
        <w:spacing w:line="360" w:lineRule="auto"/>
        <w:jc w:val="center"/>
        <w:rPr>
          <w:rFonts w:eastAsia="宋体"/>
          <w:b/>
          <w:color w:val="000000" w:themeColor="text1"/>
          <w14:textFill>
            <w14:solidFill>
              <w14:schemeClr w14:val="tx1"/>
            </w14:solidFill>
          </w14:textFill>
        </w:rPr>
      </w:pPr>
      <w:r>
        <w:rPr>
          <w:rFonts w:hint="eastAsia"/>
          <w:b/>
          <w:color w:val="000000" w:themeColor="text1"/>
          <w:lang w:eastAsia="zh-CN"/>
          <w14:textFill>
            <w14:solidFill>
              <w14:schemeClr w14:val="tx1"/>
            </w14:solidFill>
          </w14:textFill>
        </w:rPr>
        <w:t>表</w:t>
      </w:r>
      <w:r>
        <w:rPr>
          <w:rFonts w:hint="eastAsia"/>
          <w:b/>
          <w:color w:val="000000" w:themeColor="text1"/>
          <w:lang w:val="en-US" w:eastAsia="zh-CN"/>
          <w14:textFill>
            <w14:solidFill>
              <w14:schemeClr w14:val="tx1"/>
            </w14:solidFill>
          </w14:textFill>
        </w:rPr>
        <w:t xml:space="preserve">3.7-1  </w:t>
      </w:r>
      <w:r>
        <w:rPr>
          <w:rFonts w:eastAsia="宋体"/>
          <w:b/>
          <w:color w:val="000000" w:themeColor="text1"/>
          <w14:textFill>
            <w14:solidFill>
              <w14:schemeClr w14:val="tx1"/>
            </w14:solidFill>
          </w14:textFill>
        </w:rPr>
        <w:t>项目污染物排放情况</w:t>
      </w:r>
      <w:r>
        <w:rPr>
          <w:rFonts w:hint="eastAsia" w:eastAsia="宋体"/>
          <w:b/>
          <w:color w:val="000000" w:themeColor="text1"/>
          <w14:textFill>
            <w14:solidFill>
              <w14:schemeClr w14:val="tx1"/>
            </w14:solidFill>
          </w14:textFill>
        </w:rPr>
        <w:t>汇总</w:t>
      </w:r>
      <w:r>
        <w:rPr>
          <w:rFonts w:eastAsia="宋体"/>
          <w:b/>
          <w:color w:val="000000" w:themeColor="text1"/>
          <w14:textFill>
            <w14:solidFill>
              <w14:schemeClr w14:val="tx1"/>
            </w14:solidFill>
          </w14:textFill>
        </w:rPr>
        <w:t>统计</w:t>
      </w:r>
      <w:r>
        <w:rPr>
          <w:rFonts w:hint="eastAsia" w:eastAsia="宋体"/>
          <w:b/>
          <w:color w:val="000000" w:themeColor="text1"/>
          <w14:textFill>
            <w14:solidFill>
              <w14:schemeClr w14:val="tx1"/>
            </w14:solidFill>
          </w14:textFill>
        </w:rPr>
        <w:t>一览</w:t>
      </w:r>
      <w:r>
        <w:rPr>
          <w:rFonts w:eastAsia="宋体"/>
          <w:b/>
          <w:color w:val="000000" w:themeColor="text1"/>
          <w14:textFill>
            <w14:solidFill>
              <w14:schemeClr w14:val="tx1"/>
            </w14:solidFill>
          </w14:textFill>
        </w:rPr>
        <w:t>表</w:t>
      </w:r>
    </w:p>
    <w:tbl>
      <w:tblPr>
        <w:tblStyle w:val="39"/>
        <w:tblW w:w="138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846"/>
        <w:gridCol w:w="1417"/>
        <w:gridCol w:w="1418"/>
        <w:gridCol w:w="1134"/>
        <w:gridCol w:w="5670"/>
        <w:gridCol w:w="1559"/>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jc w:val="center"/>
        </w:trPr>
        <w:tc>
          <w:tcPr>
            <w:tcW w:w="709" w:type="dxa"/>
            <w:vAlign w:val="center"/>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类型</w:t>
            </w:r>
          </w:p>
        </w:tc>
        <w:tc>
          <w:tcPr>
            <w:tcW w:w="846" w:type="dxa"/>
            <w:vAlign w:val="center"/>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阶段</w:t>
            </w:r>
          </w:p>
        </w:tc>
        <w:tc>
          <w:tcPr>
            <w:tcW w:w="1417" w:type="dxa"/>
            <w:vAlign w:val="center"/>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排放源</w:t>
            </w:r>
          </w:p>
        </w:tc>
        <w:tc>
          <w:tcPr>
            <w:tcW w:w="1418" w:type="dxa"/>
            <w:vAlign w:val="center"/>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污染因子</w:t>
            </w:r>
          </w:p>
        </w:tc>
        <w:tc>
          <w:tcPr>
            <w:tcW w:w="1134" w:type="dxa"/>
            <w:vAlign w:val="center"/>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产生</w:t>
            </w:r>
            <w:r>
              <w:rPr>
                <w:rFonts w:hint="eastAsia" w:ascii="Times New Roman" w:hAnsi="Times New Roman" w:eastAsia="宋体" w:cs="Times New Roman"/>
                <w:b/>
                <w:bCs/>
                <w:kern w:val="0"/>
                <w:sz w:val="21"/>
                <w:szCs w:val="21"/>
                <w:lang w:val="en-US" w:eastAsia="zh-CN" w:bidi="ar-SA"/>
              </w:rPr>
              <w:t>情况</w:t>
            </w:r>
          </w:p>
        </w:tc>
        <w:tc>
          <w:tcPr>
            <w:tcW w:w="5670" w:type="dxa"/>
            <w:vAlign w:val="center"/>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拟采取的</w:t>
            </w:r>
            <w:r>
              <w:rPr>
                <w:rFonts w:hint="default" w:ascii="Times New Roman" w:hAnsi="Times New Roman" w:eastAsia="宋体" w:cs="Times New Roman"/>
                <w:b/>
                <w:bCs/>
                <w:kern w:val="0"/>
                <w:sz w:val="21"/>
                <w:szCs w:val="21"/>
                <w:lang w:val="en-US" w:eastAsia="zh-CN" w:bidi="ar-SA"/>
              </w:rPr>
              <w:t>治理措施</w:t>
            </w:r>
          </w:p>
        </w:tc>
        <w:tc>
          <w:tcPr>
            <w:tcW w:w="1559" w:type="dxa"/>
            <w:vAlign w:val="center"/>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排放情况</w:t>
            </w:r>
          </w:p>
        </w:tc>
        <w:tc>
          <w:tcPr>
            <w:tcW w:w="1134" w:type="dxa"/>
            <w:vAlign w:val="center"/>
          </w:tcPr>
          <w:p>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709" w:type="dxa"/>
            <w:vMerge w:val="restart"/>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废气</w:t>
            </w:r>
          </w:p>
        </w:tc>
        <w:tc>
          <w:tcPr>
            <w:tcW w:w="846" w:type="dxa"/>
            <w:vMerge w:val="restart"/>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建设</w:t>
            </w: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建设施工</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颗粒物</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r>
              <w:rPr>
                <w:rFonts w:hint="default" w:ascii="Times New Roman" w:hAnsi="Times New Roman" w:eastAsia="宋体" w:cs="Times New Roman"/>
                <w:kern w:val="2"/>
                <w:sz w:val="21"/>
                <w:szCs w:val="21"/>
                <w:lang w:val="en-US" w:eastAsia="zh-CN" w:bidi="ar-SA"/>
              </w:rPr>
              <w:t>-6 mg/m</w:t>
            </w:r>
            <w:r>
              <w:rPr>
                <w:rFonts w:hint="default" w:ascii="Times New Roman" w:hAnsi="Times New Roman" w:eastAsia="宋体" w:cs="Times New Roman"/>
                <w:kern w:val="2"/>
                <w:sz w:val="21"/>
                <w:szCs w:val="21"/>
                <w:vertAlign w:val="superscript"/>
                <w:lang w:val="en-US" w:eastAsia="zh-CN" w:bidi="ar-SA"/>
              </w:rPr>
              <w:t>3</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施工现场出入口明显位置设置公示牌；对施工现场出入口、场内施工道路、材料加工堆放区进行简单硬化处理，并保持地面整洁；在施工现场出口处设置车辆清洗设施；施工建设过程中采用洒水措施；施工时减少土地开挖面积，施工后及时回填；</w:t>
            </w:r>
            <w:r>
              <w:rPr>
                <w:rFonts w:hint="default" w:ascii="Times New Roman" w:hAnsi="Times New Roman" w:eastAsia="宋体" w:cs="Times New Roman"/>
                <w:kern w:val="2"/>
                <w:sz w:val="21"/>
                <w:szCs w:val="21"/>
                <w:lang w:val="en-US" w:eastAsia="zh-CN" w:bidi="ar-SA"/>
              </w:rPr>
              <w:t>粉状、粒状建筑材料应采取密闭或者遮盖等防尘措施</w:t>
            </w:r>
            <w:r>
              <w:rPr>
                <w:rFonts w:hint="eastAsia" w:ascii="Times New Roman" w:hAnsi="Times New Roman" w:eastAsia="宋体" w:cs="Times New Roman"/>
                <w:kern w:val="2"/>
                <w:sz w:val="21"/>
                <w:szCs w:val="21"/>
                <w:lang w:val="en-US" w:eastAsia="zh-CN" w:bidi="ar-SA"/>
              </w:rPr>
              <w:t>；建筑垃圾当及时清运，在场地内堆存的，应当集中堆放并采取密闭或者遮盖等防尘措施；</w:t>
            </w:r>
            <w:r>
              <w:rPr>
                <w:rFonts w:hint="default" w:ascii="Times New Roman" w:hAnsi="Times New Roman" w:eastAsia="宋体" w:cs="Times New Roman"/>
                <w:kern w:val="2"/>
                <w:sz w:val="21"/>
                <w:szCs w:val="21"/>
                <w:lang w:val="en-US" w:eastAsia="zh-CN" w:bidi="ar-SA"/>
              </w:rPr>
              <w:t>建</w:t>
            </w:r>
            <w:r>
              <w:rPr>
                <w:rFonts w:hint="eastAsia" w:ascii="Times New Roman" w:hAnsi="Times New Roman" w:eastAsia="宋体" w:cs="Times New Roman"/>
                <w:kern w:val="2"/>
                <w:sz w:val="21"/>
                <w:szCs w:val="21"/>
                <w:lang w:val="en-US" w:eastAsia="zh-CN" w:bidi="ar-SA"/>
              </w:rPr>
              <w:t>设</w:t>
            </w:r>
            <w:r>
              <w:rPr>
                <w:rFonts w:hint="default" w:ascii="Times New Roman" w:hAnsi="Times New Roman" w:eastAsia="宋体" w:cs="Times New Roman"/>
                <w:kern w:val="2"/>
                <w:sz w:val="21"/>
                <w:szCs w:val="21"/>
                <w:lang w:val="en-US" w:eastAsia="zh-CN" w:bidi="ar-SA"/>
              </w:rPr>
              <w:t>施工加强监管</w:t>
            </w:r>
            <w:r>
              <w:rPr>
                <w:rFonts w:hint="eastAsia" w:ascii="Times New Roman" w:hAnsi="Times New Roman" w:eastAsia="宋体" w:cs="Times New Roman"/>
                <w:kern w:val="2"/>
                <w:sz w:val="21"/>
                <w:szCs w:val="21"/>
                <w:lang w:val="en-US" w:eastAsia="zh-CN" w:bidi="ar-SA"/>
              </w:rPr>
              <w:t>；在施工工地同步安装视频监控设备和扬尘污染物在线监测设备等</w:t>
            </w:r>
          </w:p>
        </w:tc>
        <w:tc>
          <w:tcPr>
            <w:tcW w:w="1559" w:type="dxa"/>
            <w:vAlign w:val="center"/>
          </w:tcPr>
          <w:p>
            <w:pPr>
              <w:keepNext w:val="0"/>
              <w:keepLines w:val="0"/>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szCs w:val="24"/>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贡献浓度≤80ug/m</w:t>
            </w:r>
            <w:r>
              <w:rPr>
                <w:rFonts w:hint="default" w:ascii="Times New Roman" w:hAnsi="Times New Roman" w:eastAsia="宋体" w:cs="Times New Roman"/>
                <w:sz w:val="21"/>
                <w:szCs w:val="21"/>
                <w:vertAlign w:val="superscript"/>
              </w:rPr>
              <w:t>3</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846"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车辆运输</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颗粒物</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r>
              <w:rPr>
                <w:rFonts w:hint="default" w:ascii="Times New Roman" w:hAnsi="Times New Roman" w:eastAsia="宋体" w:cs="Times New Roman"/>
                <w:kern w:val="2"/>
                <w:sz w:val="21"/>
                <w:szCs w:val="21"/>
                <w:lang w:val="en-US" w:eastAsia="zh-CN" w:bidi="ar-SA"/>
              </w:rPr>
              <w:t>-6 mg/m</w:t>
            </w:r>
            <w:r>
              <w:rPr>
                <w:rFonts w:hint="default" w:ascii="Times New Roman" w:hAnsi="Times New Roman" w:eastAsia="宋体" w:cs="Times New Roman"/>
                <w:kern w:val="2"/>
                <w:sz w:val="21"/>
                <w:szCs w:val="21"/>
                <w:vertAlign w:val="superscript"/>
                <w:lang w:val="en-US" w:eastAsia="zh-CN" w:bidi="ar-SA"/>
              </w:rPr>
              <w:t>3</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运输车辆减速慢行，蓬布遮盖，对运输道路及时进行清扫</w:t>
            </w:r>
          </w:p>
        </w:tc>
        <w:tc>
          <w:tcPr>
            <w:tcW w:w="1559" w:type="dxa"/>
            <w:vAlign w:val="center"/>
          </w:tcPr>
          <w:p>
            <w:pPr>
              <w:keepNext w:val="0"/>
              <w:keepLines w:val="0"/>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贡献浓度≤80ug/m</w:t>
            </w:r>
            <w:r>
              <w:rPr>
                <w:rFonts w:hint="default" w:ascii="Times New Roman" w:hAnsi="Times New Roman" w:eastAsia="宋体" w:cs="Times New Roman"/>
                <w:sz w:val="21"/>
                <w:szCs w:val="21"/>
                <w:vertAlign w:val="superscript"/>
              </w:rPr>
              <w:t>3</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846"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机械设备、车辆</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尾气</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少量</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污染源分布分散，且污染物大多为露天排放，废气排放量不大且间歇排放，加强防护措施以及经大气扩散和稀释</w:t>
            </w:r>
          </w:p>
        </w:tc>
        <w:tc>
          <w:tcPr>
            <w:tcW w:w="1559" w:type="dxa"/>
            <w:vAlign w:val="center"/>
          </w:tcPr>
          <w:p>
            <w:pPr>
              <w:keepNext w:val="0"/>
              <w:keepLines w:val="0"/>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少量无组织排放</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846"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河道施工</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kern w:val="2"/>
                <w:sz w:val="21"/>
                <w:szCs w:val="21"/>
                <w:lang w:val="en-US" w:eastAsia="zh-CN" w:bidi="ar-SA"/>
              </w:rPr>
              <w:t>氨、硫化氢、臭气浓度等</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少量</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施工时间选择在枯水期，避免夏季施工；施工过程中定期喷洒除臭剂；临时堆土场设置围屏、定期喷洒除臭剂、干化的泥沙及时清理，不在临时场内长时间堆放、施工完毕后对临时堆土场生态恢复等</w:t>
            </w:r>
          </w:p>
        </w:tc>
        <w:tc>
          <w:tcPr>
            <w:tcW w:w="1559" w:type="dxa"/>
            <w:vAlign w:val="center"/>
          </w:tcPr>
          <w:p>
            <w:pPr>
              <w:keepNext w:val="0"/>
              <w:keepLines w:val="0"/>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少量无组织排放</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846"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运行</w:t>
            </w: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559"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9" w:type="dxa"/>
            <w:vMerge w:val="restart"/>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废水</w:t>
            </w:r>
          </w:p>
        </w:tc>
        <w:tc>
          <w:tcPr>
            <w:tcW w:w="846" w:type="dxa"/>
            <w:vMerge w:val="restart"/>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建设</w:t>
            </w:r>
          </w:p>
        </w:tc>
        <w:tc>
          <w:tcPr>
            <w:tcW w:w="1417" w:type="dxa"/>
            <w:vMerge w:val="restart"/>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建设施工</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施工场地雨季地表径流（S</w:t>
            </w:r>
            <w: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S</w:t>
            </w: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等）</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少量</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项目在施工场地分别设1座临时集水沉淀池，沉淀池设计为砖砌结构，砂浆抹面，池壁均为直立式，雨水中主要污染物为SS，通过临时集水沉淀池沉淀后用于场地抑尘。</w:t>
            </w:r>
          </w:p>
        </w:tc>
        <w:tc>
          <w:tcPr>
            <w:tcW w:w="1559"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不外排</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2"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p>
        </w:tc>
        <w:tc>
          <w:tcPr>
            <w:tcW w:w="846"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p>
        </w:tc>
        <w:tc>
          <w:tcPr>
            <w:tcW w:w="1417"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基坑排水</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default" w:ascii="Times New Roman" w:hAnsi="Times New Roman" w:eastAsia="宋体" w:cs="Times New Roman"/>
                <w:kern w:val="2"/>
                <w:sz w:val="21"/>
                <w:szCs w:val="21"/>
                <w:lang w:val="en-US" w:eastAsia="zh-CN" w:bidi="ar-SA"/>
              </w:rPr>
              <w:t>40m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kern w:val="2"/>
                <w:sz w:val="21"/>
                <w:szCs w:val="21"/>
                <w:lang w:val="en-US" w:eastAsia="zh-CN" w:bidi="ar-SA"/>
              </w:rPr>
              <w:t>/d</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kern w:val="2"/>
                <w:sz w:val="21"/>
                <w:szCs w:val="21"/>
                <w:lang w:val="en-US" w:eastAsia="zh-CN" w:bidi="ar-SA"/>
              </w:rPr>
              <w:t>在基坑底面合理布置的排水沟槽，用水泵将少量渗出的地下水及时排出，泵入河道外侧的临时集水沉淀池，沉淀后用于施工场地洒水降尘及绿化以及区域各村区域道路洒水降尘及绿化等使用，不再回流进入河道，不外排</w:t>
            </w:r>
          </w:p>
        </w:tc>
        <w:tc>
          <w:tcPr>
            <w:tcW w:w="1559"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不外排</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2"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p>
        </w:tc>
        <w:tc>
          <w:tcPr>
            <w:tcW w:w="846"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p>
        </w:tc>
        <w:tc>
          <w:tcPr>
            <w:tcW w:w="1417"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cs="Times New Roman"/>
                <w:color w:val="000000"/>
                <w:kern w:val="2"/>
                <w:sz w:val="21"/>
                <w:szCs w:val="21"/>
                <w:lang w:val="en-US" w:eastAsia="zh-CN" w:bidi="ar-SA"/>
                <w14:textFill>
                  <w14:solidFill>
                    <w14:srgbClr w14:val="000000">
                      <w14:lumMod w14:val="95000"/>
                      <w14:lumOff w14:val="5000"/>
                    </w14:srgbClr>
                  </w14:solidFill>
                </w14:textFill>
              </w:rPr>
              <w:t>土方回填区</w:t>
            </w: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尾水</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cs="Times New Roman"/>
                <w:kern w:val="2"/>
                <w:sz w:val="21"/>
                <w:szCs w:val="21"/>
                <w:lang w:val="en-US" w:eastAsia="zh-CN" w:bidi="ar-SA"/>
              </w:rPr>
              <w:t>0.3</w:t>
            </w:r>
            <w:r>
              <w:rPr>
                <w:rFonts w:hint="eastAsia" w:ascii="Times New Roman" w:hAnsi="Times New Roman" w:eastAsia="宋体" w:cs="Times New Roman"/>
                <w:kern w:val="2"/>
                <w:sz w:val="21"/>
                <w:szCs w:val="21"/>
                <w:lang w:val="en-US" w:eastAsia="zh-CN" w:bidi="ar-SA"/>
              </w:rPr>
              <w:t>万m</w:t>
            </w:r>
            <w:r>
              <w:rPr>
                <w:rFonts w:hint="eastAsia" w:ascii="Times New Roman" w:hAnsi="Times New Roman" w:eastAsia="宋体" w:cs="Times New Roman"/>
                <w:kern w:val="2"/>
                <w:sz w:val="21"/>
                <w:szCs w:val="21"/>
                <w:vertAlign w:val="superscript"/>
                <w:lang w:val="en-US" w:eastAsia="zh-CN" w:bidi="ar-SA"/>
              </w:rPr>
              <w:t>3</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合理安排施工进度和施工强度，保证堆场尾水有足够的沉淀时间；延长尾水的过流路径，增加尾水停留时间，促进悬浮物沉降，减轻后续尾水处理压力。项目设置1个尾水沉淀池，尾水沉淀池为砖砌结构，砂浆抹面，池壁为直立式。尾水经沉淀处理后用于场地洒水抑尘及绿化等使用。</w:t>
            </w:r>
          </w:p>
        </w:tc>
        <w:tc>
          <w:tcPr>
            <w:tcW w:w="1559"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不外排</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p>
        </w:tc>
        <w:tc>
          <w:tcPr>
            <w:tcW w:w="846"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施工人员</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kern w:val="2"/>
                <w:sz w:val="21"/>
                <w:szCs w:val="21"/>
                <w:lang w:val="en-US" w:eastAsia="zh-CN" w:bidi="ar-SA"/>
              </w:rPr>
              <w:t>生活污水（</w:t>
            </w:r>
            <w:r>
              <w:rPr>
                <w:rFonts w:hint="default" w:ascii="Times New Roman" w:hAnsi="Times New Roman" w:eastAsia="宋体" w:cs="Times New Roman"/>
                <w:kern w:val="2"/>
                <w:sz w:val="21"/>
                <w:szCs w:val="21"/>
                <w:lang w:val="en-US" w:eastAsia="zh-CN" w:bidi="ar-SA"/>
              </w:rPr>
              <w:t>COD、BOD</w:t>
            </w:r>
            <w:r>
              <w:rPr>
                <w:rFonts w:hint="default" w:ascii="Times New Roman" w:hAnsi="Times New Roman" w:eastAsia="宋体" w:cs="Times New Roman"/>
                <w:kern w:val="2"/>
                <w:sz w:val="21"/>
                <w:szCs w:val="21"/>
                <w:vertAlign w:val="subscript"/>
                <w:lang w:val="en-US" w:eastAsia="zh-CN" w:bidi="ar-SA"/>
              </w:rPr>
              <w:t>5</w:t>
            </w:r>
            <w:r>
              <w:rPr>
                <w:rFonts w:hint="default" w:ascii="Times New Roman" w:hAnsi="Times New Roman" w:eastAsia="宋体" w:cs="Times New Roman"/>
                <w:kern w:val="2"/>
                <w:sz w:val="21"/>
                <w:szCs w:val="21"/>
                <w:lang w:val="en-US" w:eastAsia="zh-CN" w:bidi="ar-SA"/>
              </w:rPr>
              <w:t>、SS、氨氮等</w:t>
            </w:r>
            <w:r>
              <w:rPr>
                <w:rFonts w:hint="eastAsia" w:ascii="Times New Roman" w:hAnsi="Times New Roman" w:eastAsia="宋体" w:cs="Times New Roman"/>
                <w:kern w:val="2"/>
                <w:sz w:val="21"/>
                <w:szCs w:val="21"/>
                <w:lang w:val="en-US" w:eastAsia="zh-CN" w:bidi="ar-SA"/>
              </w:rPr>
              <w:t>）</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cs="Times New Roman"/>
                <w:color w:val="000000"/>
                <w:kern w:val="2"/>
                <w:sz w:val="21"/>
                <w:szCs w:val="21"/>
                <w:lang w:val="en-US" w:eastAsia="zh-CN" w:bidi="ar-SA"/>
                <w14:textFill>
                  <w14:solidFill>
                    <w14:srgbClr w14:val="000000">
                      <w14:lumMod w14:val="95000"/>
                      <w14:lumOff w14:val="5000"/>
                    </w14:srgbClr>
                  </w14:solidFill>
                </w14:textFill>
              </w:rPr>
              <w:t>1.2</w:t>
            </w: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m</w:t>
            </w:r>
            <w:r>
              <w:rPr>
                <w:rFonts w:hint="default" w:ascii="Times New Roman" w:hAnsi="Times New Roman" w:eastAsia="宋体" w:cs="Times New Roman"/>
                <w:color w:val="000000"/>
                <w:kern w:val="2"/>
                <w:sz w:val="21"/>
                <w:szCs w:val="21"/>
                <w:vertAlign w:val="superscript"/>
                <w:lang w:val="en-US" w:eastAsia="zh-CN" w:bidi="ar-SA"/>
                <w14:textFill>
                  <w14:solidFill>
                    <w14:srgbClr w14:val="000000">
                      <w14:lumMod w14:val="95000"/>
                      <w14:lumOff w14:val="5000"/>
                    </w14:srgbClr>
                  </w14:solidFill>
                </w14:textFill>
              </w:rPr>
              <w:t>3</w:t>
            </w: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/d</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kern w:val="2"/>
                <w:sz w:val="21"/>
                <w:szCs w:val="21"/>
                <w:lang w:val="en-US" w:eastAsia="zh-CN" w:bidi="ar-SA"/>
              </w:rPr>
              <w:t>项目施工人员主要来自于当地，施工现场不设置食宿，施工人员不在施工场地淋浴，施工现场主要是工人的盥洗废水，水质较为清洁，泼洒至施工现场，用于降尘或周边植被绿化使用</w:t>
            </w:r>
          </w:p>
        </w:tc>
        <w:tc>
          <w:tcPr>
            <w:tcW w:w="1559"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default" w:ascii="Times New Roman" w:hAnsi="Times New Roman" w:eastAsia="宋体" w:cs="Times New Roman"/>
                <w:kern w:val="2"/>
                <w:sz w:val="21"/>
                <w:szCs w:val="21"/>
                <w:lang w:val="en-US" w:eastAsia="zh-CN" w:bidi="ar-SA"/>
              </w:rPr>
              <w:t>不外排</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pPr>
            <w:r>
              <w:rPr>
                <w:rFonts w:hint="eastAsia" w:ascii="Times New Roman" w:hAnsi="Times New Roman" w:eastAsia="宋体" w:cs="Times New Roman"/>
                <w:color w:val="000000"/>
                <w:kern w:val="2"/>
                <w:sz w:val="21"/>
                <w:szCs w:val="21"/>
                <w:lang w:val="en-US" w:eastAsia="zh-CN" w:bidi="ar-SA"/>
                <w14:textFill>
                  <w14:solidFill>
                    <w14:srgbClr w14:val="000000">
                      <w14:lumMod w14:val="95000"/>
                      <w14:lumOff w14:val="5000"/>
                    </w14:srgbClr>
                  </w14:solidFill>
                </w14:textFill>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846"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运行</w:t>
            </w: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559"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jc w:val="center"/>
        </w:trPr>
        <w:tc>
          <w:tcPr>
            <w:tcW w:w="709" w:type="dxa"/>
            <w:vMerge w:val="restart"/>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噪声</w:t>
            </w:r>
          </w:p>
        </w:tc>
        <w:tc>
          <w:tcPr>
            <w:tcW w:w="846" w:type="dxa"/>
            <w:vMerge w:val="restart"/>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建设</w:t>
            </w:r>
          </w:p>
        </w:tc>
        <w:tc>
          <w:tcPr>
            <w:tcW w:w="1417" w:type="dxa"/>
            <w:tcBorders>
              <w:bottom w:val="single" w:color="000000" w:sz="4" w:space="0"/>
            </w:tcBorders>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建设施工机械等</w:t>
            </w:r>
          </w:p>
        </w:tc>
        <w:tc>
          <w:tcPr>
            <w:tcW w:w="1418" w:type="dxa"/>
            <w:tcBorders>
              <w:bottom w:val="single" w:color="000000" w:sz="4" w:space="0"/>
            </w:tcBorders>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噪声</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85-95</w:t>
            </w:r>
          </w:p>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dB(A)</w:t>
            </w:r>
          </w:p>
        </w:tc>
        <w:tc>
          <w:tcPr>
            <w:tcW w:w="5670" w:type="dxa"/>
            <w:tcBorders>
              <w:bottom w:val="single" w:color="000000" w:sz="4" w:space="0"/>
            </w:tcBorders>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选用低噪声设备和先进的工艺，规范设备操作，加强设备养护，</w:t>
            </w:r>
            <w:r>
              <w:rPr>
                <w:rFonts w:hint="default" w:ascii="Times New Roman" w:hAnsi="Times New Roman" w:eastAsia="宋体" w:cs="Times New Roman"/>
                <w:kern w:val="2"/>
                <w:sz w:val="21"/>
                <w:szCs w:val="21"/>
                <w:lang w:val="en-US" w:eastAsia="zh-CN" w:bidi="ar-SA"/>
              </w:rPr>
              <w:t>夜间（22：00-次日6：00）</w:t>
            </w:r>
            <w:r>
              <w:rPr>
                <w:rFonts w:hint="eastAsia" w:ascii="Times New Roman" w:hAnsi="Times New Roman" w:eastAsia="宋体" w:cs="Times New Roman"/>
                <w:kern w:val="2"/>
                <w:sz w:val="21"/>
                <w:szCs w:val="21"/>
                <w:lang w:val="en-US" w:eastAsia="zh-CN" w:bidi="ar-SA"/>
              </w:rPr>
              <w:t>禁止施工，</w:t>
            </w:r>
            <w:r>
              <w:rPr>
                <w:rFonts w:hint="default" w:ascii="Times New Roman" w:hAnsi="Times New Roman" w:eastAsia="宋体" w:cs="Times New Roman"/>
                <w:kern w:val="2"/>
                <w:sz w:val="21"/>
                <w:szCs w:val="21"/>
                <w:lang w:val="en-US" w:eastAsia="zh-CN" w:bidi="ar-SA"/>
              </w:rPr>
              <w:t>合理安排施工进度，加强施工期环境</w:t>
            </w:r>
            <w:r>
              <w:rPr>
                <w:rFonts w:hint="eastAsia" w:ascii="Times New Roman" w:hAnsi="Times New Roman" w:eastAsia="宋体" w:cs="Times New Roman"/>
                <w:kern w:val="2"/>
                <w:sz w:val="21"/>
                <w:szCs w:val="21"/>
                <w:lang w:val="en-US" w:eastAsia="zh-CN" w:bidi="ar-SA"/>
              </w:rPr>
              <w:t>管</w:t>
            </w:r>
            <w:r>
              <w:rPr>
                <w:rFonts w:hint="default" w:ascii="Times New Roman" w:hAnsi="Times New Roman" w:eastAsia="宋体" w:cs="Times New Roman"/>
                <w:kern w:val="2"/>
                <w:sz w:val="21"/>
                <w:szCs w:val="21"/>
                <w:lang w:val="en-US" w:eastAsia="zh-CN" w:bidi="ar-SA"/>
              </w:rPr>
              <w:t>理</w:t>
            </w:r>
            <w:r>
              <w:rPr>
                <w:rFonts w:hint="eastAsia" w:ascii="Times New Roman" w:hAnsi="Times New Roman" w:eastAsia="宋体" w:cs="Times New Roman"/>
                <w:kern w:val="2"/>
                <w:sz w:val="21"/>
                <w:szCs w:val="21"/>
                <w:lang w:val="en-US" w:eastAsia="zh-CN" w:bidi="ar-SA"/>
              </w:rPr>
              <w:t>等</w:t>
            </w:r>
          </w:p>
        </w:tc>
        <w:tc>
          <w:tcPr>
            <w:tcW w:w="1559" w:type="dxa"/>
            <w:vMerge w:val="restart"/>
            <w:tcBorders>
              <w:bottom w:val="single" w:color="000000" w:sz="4" w:space="0"/>
            </w:tcBorders>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昼间噪声≤70dB（A）</w:t>
            </w:r>
          </w:p>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夜间噪声≤55dB（A）</w:t>
            </w:r>
          </w:p>
        </w:tc>
        <w:tc>
          <w:tcPr>
            <w:tcW w:w="1134" w:type="dxa"/>
            <w:vMerge w:val="restart"/>
            <w:tcBorders>
              <w:bottom w:val="single" w:color="000000" w:sz="4" w:space="0"/>
            </w:tcBorders>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846"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运输车辆</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噪声</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r>
              <w:rPr>
                <w:rFonts w:hint="default" w:ascii="Times New Roman" w:hAnsi="Times New Roman" w:eastAsia="宋体" w:cs="Times New Roman"/>
                <w:kern w:val="2"/>
                <w:sz w:val="21"/>
                <w:szCs w:val="21"/>
                <w:lang w:val="en-US" w:eastAsia="zh-CN" w:bidi="ar-SA"/>
              </w:rPr>
              <w:t>0-85</w:t>
            </w:r>
          </w:p>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dB(A)</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车辆减速慢行，不鸣笛</w:t>
            </w:r>
          </w:p>
        </w:tc>
        <w:tc>
          <w:tcPr>
            <w:tcW w:w="155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1134"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846"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运行</w:t>
            </w: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559"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jc w:val="center"/>
        </w:trPr>
        <w:tc>
          <w:tcPr>
            <w:tcW w:w="709" w:type="dxa"/>
            <w:vMerge w:val="restart"/>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固体废物</w:t>
            </w:r>
          </w:p>
        </w:tc>
        <w:tc>
          <w:tcPr>
            <w:tcW w:w="846" w:type="dxa"/>
            <w:vMerge w:val="restart"/>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建设</w:t>
            </w: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建设施工</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表土</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项目表土集中收集，在设置的表土场单独贮存，表土贮存顶部采用编织布覆盖，四周设简易排水沟，防治水土流失；表土用于土方回填使用</w:t>
            </w:r>
          </w:p>
        </w:tc>
        <w:tc>
          <w:tcPr>
            <w:tcW w:w="1559"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妥善处置</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妥善处置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7"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846"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建设施工</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工程</w:t>
            </w:r>
            <w:r>
              <w:rPr>
                <w:rFonts w:hint="default" w:ascii="Times New Roman" w:hAnsi="Times New Roman" w:eastAsia="宋体" w:cs="Times New Roman"/>
                <w:kern w:val="2"/>
                <w:sz w:val="21"/>
                <w:szCs w:val="21"/>
                <w:lang w:val="en-US" w:eastAsia="zh-CN" w:bidi="ar-SA"/>
              </w:rPr>
              <w:t>建设时开挖的土石方</w:t>
            </w:r>
            <w:r>
              <w:rPr>
                <w:rFonts w:hint="eastAsia" w:ascii="Times New Roman" w:hAnsi="Times New Roman" w:eastAsia="宋体" w:cs="Times New Roman"/>
                <w:kern w:val="2"/>
                <w:sz w:val="21"/>
                <w:szCs w:val="21"/>
                <w:lang w:val="en-US" w:eastAsia="zh-CN" w:bidi="ar-SA"/>
              </w:rPr>
              <w:t>（干方）</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13043.5</w:t>
            </w:r>
            <w:r>
              <w:rPr>
                <w:rFonts w:hint="default" w:ascii="Times New Roman" w:hAnsi="Times New Roman" w:eastAsia="宋体" w:cs="Times New Roman"/>
                <w:kern w:val="2"/>
                <w:sz w:val="21"/>
                <w:szCs w:val="21"/>
                <w:lang w:val="en-US" w:eastAsia="zh-CN" w:bidi="ar-SA"/>
              </w:rPr>
              <w:t>m</w:t>
            </w:r>
            <w:r>
              <w:rPr>
                <w:rFonts w:hint="default" w:ascii="Times New Roman" w:hAnsi="Times New Roman" w:eastAsia="宋体" w:cs="Times New Roman"/>
                <w:kern w:val="2"/>
                <w:sz w:val="21"/>
                <w:szCs w:val="21"/>
                <w:vertAlign w:val="superscript"/>
                <w:lang w:val="en-US" w:eastAsia="zh-CN" w:bidi="ar-SA"/>
              </w:rPr>
              <w:t>3</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经初步土石方平衡估算，不产生弃土，因此不设弃土场</w:t>
            </w:r>
          </w:p>
        </w:tc>
        <w:tc>
          <w:tcPr>
            <w:tcW w:w="1559"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妥善处置</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妥善处置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846"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建设施工</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临时</w:t>
            </w:r>
            <w:r>
              <w:rPr>
                <w:rFonts w:hint="default" w:ascii="Times New Roman" w:hAnsi="Times New Roman" w:eastAsia="宋体" w:cs="Times New Roman"/>
                <w:kern w:val="2"/>
                <w:sz w:val="21"/>
                <w:szCs w:val="21"/>
                <w:lang w:val="en-US" w:eastAsia="zh-CN" w:bidi="ar-SA"/>
              </w:rPr>
              <w:t>沉淀</w:t>
            </w:r>
            <w:r>
              <w:rPr>
                <w:rFonts w:hint="eastAsia" w:ascii="Times New Roman" w:hAnsi="Times New Roman" w:eastAsia="宋体" w:cs="Times New Roman"/>
                <w:kern w:val="2"/>
                <w:sz w:val="21"/>
                <w:szCs w:val="21"/>
                <w:lang w:val="en-US" w:eastAsia="zh-CN" w:bidi="ar-SA"/>
              </w:rPr>
              <w:t>集水</w:t>
            </w:r>
            <w:r>
              <w:rPr>
                <w:rFonts w:hint="default" w:ascii="Times New Roman" w:hAnsi="Times New Roman" w:eastAsia="宋体" w:cs="Times New Roman"/>
                <w:kern w:val="2"/>
                <w:sz w:val="21"/>
                <w:szCs w:val="21"/>
                <w:lang w:val="en-US" w:eastAsia="zh-CN" w:bidi="ar-SA"/>
              </w:rPr>
              <w:t>池底泥</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10</w:t>
            </w:r>
            <w:r>
              <w:rPr>
                <w:rFonts w:hint="eastAsia" w:ascii="Times New Roman" w:hAnsi="Times New Roman" w:eastAsia="宋体" w:cs="Times New Roman"/>
                <w:kern w:val="2"/>
                <w:sz w:val="21"/>
                <w:szCs w:val="21"/>
                <w:lang w:val="en-US" w:eastAsia="zh-CN" w:bidi="ar-SA"/>
              </w:rPr>
              <w:t>t</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集中收集，定期清运至临时堆土场干化后用于生态护岸工程回填使用</w:t>
            </w:r>
          </w:p>
        </w:tc>
        <w:tc>
          <w:tcPr>
            <w:tcW w:w="1559"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妥善处置</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妥善处置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6"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846"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施工人员</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生活垃圾</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15</w:t>
            </w:r>
            <w:r>
              <w:rPr>
                <w:rFonts w:hint="eastAsia" w:ascii="Times New Roman" w:hAnsi="Times New Roman" w:eastAsia="宋体" w:cs="Times New Roman"/>
                <w:kern w:val="2"/>
                <w:sz w:val="21"/>
                <w:szCs w:val="21"/>
                <w:lang w:val="en-US" w:eastAsia="zh-CN" w:bidi="ar-SA"/>
              </w:rPr>
              <w:t>kg/d</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集中收集，送至区域指定生活垃圾集中堆存点，由区域环卫部门统一负责处置</w:t>
            </w:r>
          </w:p>
        </w:tc>
        <w:tc>
          <w:tcPr>
            <w:tcW w:w="1559"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妥善处置</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妥善处置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jc w:val="center"/>
        </w:trPr>
        <w:tc>
          <w:tcPr>
            <w:tcW w:w="709" w:type="dxa"/>
            <w:vMerge w:val="continue"/>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p>
        </w:tc>
        <w:tc>
          <w:tcPr>
            <w:tcW w:w="846"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运行</w:t>
            </w:r>
          </w:p>
        </w:tc>
        <w:tc>
          <w:tcPr>
            <w:tcW w:w="1417"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418"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5670"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559"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134" w:type="dxa"/>
            <w:vAlign w:val="center"/>
          </w:tcPr>
          <w:p>
            <w:pPr>
              <w:keepNext w:val="0"/>
              <w:keepLines w:val="0"/>
              <w:widowControl w:val="0"/>
              <w:suppressLineNumbers w:val="0"/>
              <w:adjustRightInd w:val="0"/>
              <w:snapToGrid w:val="0"/>
              <w:spacing w:before="0" w:beforeAutospacing="0" w:after="0" w:afterAutospacing="0" w:line="0" w:lineRule="atLeast"/>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bl>
    <w:p>
      <w:pPr>
        <w:spacing w:before="177" w:beforeLines="50" w:after="177" w:afterLines="50"/>
        <w:rPr>
          <w:b/>
          <w:szCs w:val="21"/>
        </w:rPr>
      </w:pPr>
    </w:p>
    <w:p>
      <w:pPr>
        <w:pStyle w:val="12"/>
      </w:pPr>
    </w:p>
    <w:bookmarkEnd w:id="289"/>
    <w:p>
      <w:pPr>
        <w:rPr>
          <w:rFonts w:ascii="Times New Roman" w:hAnsi="Times New Roman"/>
        </w:rPr>
        <w:sectPr>
          <w:headerReference r:id="rId19" w:type="default"/>
          <w:footerReference r:id="rId20" w:type="default"/>
          <w:pgSz w:w="16838" w:h="11906" w:orient="landscape"/>
          <w:pgMar w:top="1701" w:right="1701" w:bottom="1701" w:left="1701" w:header="1020" w:footer="992" w:gutter="0"/>
          <w:cols w:space="425" w:num="1"/>
          <w:docGrid w:linePitch="326" w:charSpace="0"/>
        </w:sectPr>
      </w:pPr>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52"/>
    <w:bookmarkEnd w:id="253"/>
    <w:bookmarkEnd w:id="254"/>
    <w:bookmarkEnd w:id="255"/>
    <w:bookmarkEnd w:id="256"/>
    <w:bookmarkEnd w:id="257"/>
    <w:bookmarkEnd w:id="258"/>
    <w:bookmarkEnd w:id="259"/>
    <w:bookmarkEnd w:id="260"/>
    <w:bookmarkEnd w:id="261"/>
    <w:bookmarkEnd w:id="262"/>
    <w:p>
      <w:pPr>
        <w:pStyle w:val="3"/>
        <w:rPr>
          <w:rFonts w:ascii="Times New Roman" w:hAnsi="Times New Roman"/>
        </w:rPr>
      </w:pPr>
      <w:bookmarkStart w:id="303" w:name="_Toc4168"/>
      <w:r>
        <w:rPr>
          <w:rFonts w:ascii="Times New Roman" w:hAnsi="Times New Roman"/>
        </w:rPr>
        <w:t>第四章 环境现状调查与评价</w:t>
      </w:r>
      <w:bookmarkEnd w:id="303"/>
    </w:p>
    <w:p>
      <w:pPr>
        <w:pStyle w:val="5"/>
      </w:pPr>
      <w:bookmarkStart w:id="304" w:name="_Toc313959310"/>
      <w:bookmarkStart w:id="305" w:name="_Toc312408563"/>
      <w:bookmarkStart w:id="306" w:name="_Toc223164635"/>
      <w:bookmarkStart w:id="307" w:name="_Toc313968671"/>
      <w:bookmarkStart w:id="308" w:name="_Toc305148383"/>
      <w:bookmarkStart w:id="309" w:name="_Toc304966291"/>
      <w:bookmarkStart w:id="310" w:name="_Toc302649958"/>
      <w:bookmarkStart w:id="311" w:name="_Toc302651563"/>
      <w:bookmarkStart w:id="312" w:name="_Toc227378978"/>
      <w:bookmarkStart w:id="313" w:name="_Toc189799271"/>
      <w:bookmarkStart w:id="314" w:name="_Toc301429236"/>
      <w:bookmarkStart w:id="315" w:name="_Toc305150241"/>
      <w:bookmarkStart w:id="316" w:name="_Toc302716921"/>
      <w:bookmarkStart w:id="317" w:name="_Toc184032747"/>
      <w:bookmarkStart w:id="318" w:name="_Toc183509367"/>
      <w:bookmarkStart w:id="319" w:name="_Toc297202131"/>
      <w:bookmarkStart w:id="320" w:name="_Toc183508636"/>
      <w:bookmarkStart w:id="321" w:name="_Toc301422629"/>
      <w:bookmarkStart w:id="322" w:name="_Toc309304393"/>
      <w:bookmarkStart w:id="323" w:name="_Toc227306906"/>
      <w:bookmarkStart w:id="324" w:name="_Toc223163892"/>
      <w:bookmarkStart w:id="325" w:name="_Toc116704715"/>
      <w:bookmarkStart w:id="326" w:name="_Toc489355984"/>
      <w:bookmarkStart w:id="327" w:name="_Toc309203300"/>
      <w:bookmarkStart w:id="328" w:name="_Toc249416778"/>
      <w:bookmarkStart w:id="329" w:name="_Toc228096057"/>
      <w:bookmarkStart w:id="330" w:name="_Toc275357797"/>
      <w:bookmarkStart w:id="331" w:name="_Toc275357433"/>
      <w:bookmarkStart w:id="332" w:name="_Toc7351"/>
      <w:bookmarkStart w:id="333" w:name="_Toc470785861"/>
      <w:bookmarkStart w:id="334" w:name="_Toc32435"/>
      <w:bookmarkStart w:id="335" w:name="_Toc512761827"/>
      <w:bookmarkStart w:id="336" w:name="_Toc513038211"/>
      <w:r>
        <w:t>4.1 自然环境</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t>现状调查与评价</w:t>
      </w:r>
      <w:bookmarkEnd w:id="332"/>
      <w:bookmarkEnd w:id="333"/>
      <w:bookmarkEnd w:id="334"/>
    </w:p>
    <w:p>
      <w:pPr>
        <w:pStyle w:val="6"/>
      </w:pPr>
      <w:bookmarkStart w:id="337" w:name="_Toc470785862"/>
      <w:bookmarkStart w:id="338" w:name="_Toc27084"/>
      <w:bookmarkStart w:id="339" w:name="_Toc9369"/>
      <w:r>
        <w:t>4.1.1 地理位置</w:t>
      </w:r>
      <w:bookmarkEnd w:id="337"/>
      <w:bookmarkEnd w:id="338"/>
      <w:bookmarkEnd w:id="339"/>
    </w:p>
    <w:p>
      <w:pPr>
        <w:bidi w:val="0"/>
        <w:rPr>
          <w:rFonts w:hint="eastAsia"/>
        </w:rPr>
      </w:pPr>
      <w:r>
        <w:rPr>
          <w:rFonts w:hint="eastAsia"/>
        </w:rPr>
        <w:t>兴隆县，位于河北省东北部，承德最南端，燕山山脉东段，古长城北侧。兴隆县东隔滦河与宽城满族自治县毗邻，兴隆县城距宽城满族自治县63公里，距宽城满族自治县县城公路距离158公里；东南隔明长城与唐山市迁西县、遵化市接壤，兴隆县县城距迁西县、遵化市分别为70公里、64公里，距迁西县公路</w:t>
      </w:r>
      <w:r>
        <w:rPr>
          <w:rFonts w:hint="eastAsia"/>
          <w:lang w:val="en-US" w:eastAsia="zh-CN"/>
        </w:rPr>
        <w:t>1</w:t>
      </w:r>
      <w:r>
        <w:rPr>
          <w:rFonts w:hint="eastAsia"/>
        </w:rPr>
        <w:t>15公里，距遵化县公路76公里；南临黄崖关与天津市蓟县交界，距蓟县县界29公里，距蓟县县城</w:t>
      </w:r>
      <w:r>
        <w:rPr>
          <w:rFonts w:hint="default"/>
        </w:rPr>
        <w:t>公路56公里；西南与北京市平谷区相邻，距平谷县界24公里，西与北京市密云区相连，距平谷县界31公里，距密云县73公里；北隔盘道梁与承德县相望，距承德县43公里。介于北纬40°11′</w:t>
      </w:r>
      <w:r>
        <w:rPr>
          <w:rFonts w:hint="eastAsia"/>
          <w:lang w:val="en-US" w:eastAsia="zh-CN"/>
        </w:rPr>
        <w:t>~</w:t>
      </w:r>
      <w:r>
        <w:rPr>
          <w:rFonts w:hint="default"/>
        </w:rPr>
        <w:t>41°42′，东经117°12′</w:t>
      </w:r>
      <w:r>
        <w:rPr>
          <w:rFonts w:hint="eastAsia"/>
          <w:lang w:val="en-US" w:eastAsia="zh-CN"/>
        </w:rPr>
        <w:t>~</w:t>
      </w:r>
      <w:r>
        <w:rPr>
          <w:rFonts w:hint="default"/>
        </w:rPr>
        <w:t>118°15′之间。县境东西长86公里，南北宽57公里，总面积3116平方千</w:t>
      </w:r>
      <w:r>
        <w:rPr>
          <w:rFonts w:hint="eastAsia"/>
        </w:rPr>
        <w:t>米。</w:t>
      </w:r>
    </w:p>
    <w:p>
      <w:pPr>
        <w:bidi w:val="0"/>
        <w:rPr>
          <w:rFonts w:hint="eastAsia"/>
          <w:lang w:val="en-US" w:eastAsia="zh-CN"/>
        </w:rPr>
      </w:pPr>
      <w:r>
        <w:rPr>
          <w:rFonts w:hint="eastAsia"/>
          <w:lang w:eastAsia="zh-CN"/>
        </w:rPr>
        <w:t>本项目位于兴隆县李家营镇下台子村内，治理河段起点坐标</w:t>
      </w:r>
      <w:r>
        <w:rPr>
          <w:rFonts w:hint="default" w:ascii="Times New Roman" w:hAnsi="Times New Roman" w:cs="Times New Roman"/>
          <w:lang w:eastAsia="zh-CN"/>
        </w:rPr>
        <w:t>为117°45′41.382″</w:t>
      </w:r>
      <w:r>
        <w:rPr>
          <w:rFonts w:hint="eastAsia" w:ascii="Times New Roman" w:hAnsi="Times New Roman" w:cs="Times New Roman"/>
          <w:lang w:eastAsia="zh-CN"/>
        </w:rPr>
        <w:t>，</w:t>
      </w:r>
      <w:r>
        <w:rPr>
          <w:rFonts w:hint="default" w:ascii="Times New Roman" w:hAnsi="Times New Roman" w:cs="Times New Roman"/>
          <w:lang w:eastAsia="zh-CN"/>
        </w:rPr>
        <w:t>40°36′47.634″</w:t>
      </w:r>
      <w:r>
        <w:rPr>
          <w:rFonts w:hint="eastAsia" w:ascii="Times New Roman" w:hAnsi="Times New Roman" w:cs="Times New Roman"/>
          <w:lang w:eastAsia="zh-CN"/>
        </w:rPr>
        <w:t>，</w:t>
      </w:r>
      <w:r>
        <w:rPr>
          <w:rFonts w:hint="eastAsia"/>
          <w:lang w:val="en-US" w:eastAsia="zh-CN"/>
        </w:rPr>
        <w:t>终点坐标为</w:t>
      </w:r>
      <w:r>
        <w:rPr>
          <w:rFonts w:hint="default" w:ascii="Times New Roman" w:hAnsi="Times New Roman" w:cs="Times New Roman"/>
          <w:lang w:val="en-US" w:eastAsia="zh-CN"/>
        </w:rPr>
        <w:t>117°46′2.963″</w:t>
      </w:r>
      <w:r>
        <w:rPr>
          <w:rFonts w:hint="eastAsia" w:ascii="Times New Roman" w:hAnsi="Times New Roman" w:cs="Times New Roman"/>
          <w:lang w:val="en-US" w:eastAsia="zh-CN"/>
        </w:rPr>
        <w:t>，</w:t>
      </w:r>
      <w:r>
        <w:rPr>
          <w:rFonts w:hint="default" w:ascii="Times New Roman" w:hAnsi="Times New Roman" w:cs="Times New Roman"/>
          <w:lang w:val="en-US" w:eastAsia="zh-CN"/>
        </w:rPr>
        <w:t>40°36′42.594″</w:t>
      </w:r>
      <w:r>
        <w:rPr>
          <w:rFonts w:hint="eastAsia"/>
          <w:lang w:val="en-US" w:eastAsia="zh-CN"/>
        </w:rPr>
        <w:t>，全长540m。</w:t>
      </w:r>
    </w:p>
    <w:p>
      <w:pPr>
        <w:bidi w:val="0"/>
        <w:rPr>
          <w:rFonts w:hint="default"/>
          <w:lang w:val="en-US" w:eastAsia="zh-CN"/>
        </w:rPr>
      </w:pPr>
      <w:r>
        <w:rPr>
          <w:rFonts w:hint="default"/>
          <w:lang w:val="en-US" w:eastAsia="zh-CN"/>
        </w:rPr>
        <w:t>项目地理位置见</w:t>
      </w:r>
      <w:r>
        <w:rPr>
          <w:rFonts w:hint="eastAsia"/>
          <w:lang w:val="en-US" w:eastAsia="zh-CN"/>
        </w:rPr>
        <w:t>下图</w:t>
      </w:r>
      <w:r>
        <w:rPr>
          <w:rFonts w:hint="default"/>
          <w:lang w:val="en-US" w:eastAsia="zh-CN"/>
        </w:rPr>
        <w:t>。</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rPr>
      </w:pPr>
      <w:r>
        <w:rPr>
          <w:sz w:val="24"/>
        </w:rPr>
        <mc:AlternateContent>
          <mc:Choice Requires="wpg">
            <w:drawing>
              <wp:anchor distT="0" distB="0" distL="114300" distR="114300" simplePos="0" relativeHeight="251674624" behindDoc="0" locked="0" layoutInCell="1" allowOverlap="1">
                <wp:simplePos x="0" y="0"/>
                <wp:positionH relativeFrom="column">
                  <wp:posOffset>2305050</wp:posOffset>
                </wp:positionH>
                <wp:positionV relativeFrom="paragraph">
                  <wp:posOffset>241935</wp:posOffset>
                </wp:positionV>
                <wp:extent cx="2497455" cy="2827655"/>
                <wp:effectExtent l="0" t="0" r="0" b="0"/>
                <wp:wrapNone/>
                <wp:docPr id="44" name="组合 44"/>
                <wp:cNvGraphicFramePr/>
                <a:graphic xmlns:a="http://schemas.openxmlformats.org/drawingml/2006/main">
                  <a:graphicData uri="http://schemas.microsoft.com/office/word/2010/wordprocessingGroup">
                    <wpg:wgp>
                      <wpg:cNvGrpSpPr/>
                      <wpg:grpSpPr>
                        <a:xfrm>
                          <a:off x="0" y="0"/>
                          <a:ext cx="2497455" cy="2827655"/>
                          <a:chOff x="5614" y="1498080"/>
                          <a:chExt cx="3933" cy="4453"/>
                        </a:xfrm>
                      </wpg:grpSpPr>
                      <wps:wsp>
                        <wps:cNvPr id="508" name="文本框 508"/>
                        <wps:cNvSpPr txBox="1"/>
                        <wps:spPr>
                          <a:xfrm>
                            <a:off x="5614" y="1501721"/>
                            <a:ext cx="2217" cy="813"/>
                          </a:xfrm>
                          <a:prstGeom prst="rect">
                            <a:avLst/>
                          </a:prstGeom>
                          <a:noFill/>
                          <a:ln w="6350">
                            <a:noFill/>
                          </a:ln>
                        </wps:spPr>
                        <wps:txbx>
                          <w:txbxContent>
                            <w:p>
                              <w:pPr>
                                <w:ind w:firstLine="420"/>
                                <w:rPr>
                                  <w:rFonts w:hint="eastAsia"/>
                                  <w:color w:val="FF0000"/>
                                  <w:sz w:val="21"/>
                                  <w:szCs w:val="21"/>
                                </w:rPr>
                              </w:pPr>
                            </w:p>
                            <w:p>
                              <w:pPr>
                                <w:ind w:firstLine="420"/>
                                <w:rPr>
                                  <w:color w:val="FF0000"/>
                                  <w:sz w:val="21"/>
                                  <w:szCs w:val="21"/>
                                </w:rPr>
                              </w:pPr>
                              <w:r>
                                <w:rPr>
                                  <w:rFonts w:hint="eastAsia"/>
                                  <w:color w:val="FF0000"/>
                                  <w:sz w:val="21"/>
                                  <w:szCs w:val="21"/>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90"/>
                        <wps:cNvSpPr txBox="1"/>
                        <wps:spPr>
                          <a:xfrm>
                            <a:off x="8533" y="1498084"/>
                            <a:ext cx="1014" cy="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211" w:firstLineChars="100"/>
                                <w:rPr>
                                  <w:b/>
                                  <w:color w:val="FF0000"/>
                                  <w:sz w:val="21"/>
                                </w:rPr>
                              </w:pPr>
                              <w:r>
                                <w:rPr>
                                  <w:rFonts w:hint="eastAsia"/>
                                  <w:b/>
                                  <w:color w:val="FF0000"/>
                                  <w:sz w:val="21"/>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直接箭头连接符 88"/>
                        <wps:cNvCnPr/>
                        <wps:spPr>
                          <a:xfrm flipV="1">
                            <a:off x="8648" y="1498080"/>
                            <a:ext cx="0" cy="851"/>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9" name="直接连接符 89"/>
                        <wps:cNvCnPr/>
                        <wps:spPr>
                          <a:xfrm>
                            <a:off x="8405" y="1498586"/>
                            <a:ext cx="85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81.5pt;margin-top:19.05pt;height:222.65pt;width:196.65pt;z-index:251674624;mso-width-relative:page;mso-height-relative:page;" coordorigin="5614,1498080" coordsize="3933,4453" o:gfxdata="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ASw7+nbAAAACgEAAA8AAAAAAAAAAQAgAAAAIgAAAGRycy9kb3ducmV2LnhtbFBLAQIU&#10;ABQAAAAIAIdO4kBFwRWI8QMAAP0LAAAOAAAAAAAAAAEAIAAAACoBAABkcnMvZTJvRG9jLnhtbFBL&#10;BQYAAAAABgAGAFkBAACNBwAAAAA=&#10;">
                <o:lock v:ext="edit" aspectratio="f"/>
                <v:shape id="_x0000_s1026" o:spid="_x0000_s1026" o:spt="202" type="#_x0000_t202" style="position:absolute;left:5614;top:1501721;height:813;width:2217;" filled="f" stroked="f" coordsize="21600,21600" o:gfxdata="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M62RugAAANw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ind w:firstLine="420"/>
                          <w:rPr>
                            <w:rFonts w:hint="eastAsia"/>
                            <w:color w:val="FF0000"/>
                            <w:sz w:val="21"/>
                            <w:szCs w:val="21"/>
                          </w:rPr>
                        </w:pPr>
                      </w:p>
                      <w:p>
                        <w:pPr>
                          <w:ind w:firstLine="420"/>
                          <w:rPr>
                            <w:color w:val="FF0000"/>
                            <w:sz w:val="21"/>
                            <w:szCs w:val="21"/>
                          </w:rPr>
                        </w:pPr>
                        <w:r>
                          <w:rPr>
                            <w:rFonts w:hint="eastAsia"/>
                            <w:color w:val="FF0000"/>
                            <w:sz w:val="21"/>
                            <w:szCs w:val="21"/>
                          </w:rPr>
                          <w:t>项目位置</w:t>
                        </w:r>
                      </w:p>
                    </w:txbxContent>
                  </v:textbox>
                </v:shape>
                <v:shape id="_x0000_s1026" o:spid="_x0000_s1026" o:spt="202" type="#_x0000_t202" style="position:absolute;left:8533;top:1498084;height:826;width:1014;" filled="f" stroked="f" coordsize="21600,21600" o:gfxdata="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0ra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firstLine="211" w:firstLineChars="100"/>
                          <w:rPr>
                            <w:b/>
                            <w:color w:val="FF0000"/>
                            <w:sz w:val="21"/>
                          </w:rPr>
                        </w:pPr>
                        <w:r>
                          <w:rPr>
                            <w:rFonts w:hint="eastAsia"/>
                            <w:b/>
                            <w:color w:val="FF0000"/>
                            <w:sz w:val="21"/>
                          </w:rPr>
                          <w:t>北</w:t>
                        </w:r>
                      </w:p>
                    </w:txbxContent>
                  </v:textbox>
                </v:shape>
                <v:shape id="_x0000_s1026" o:spid="_x0000_s1026" o:spt="32" type="#_x0000_t32" style="position:absolute;left:8648;top:1498080;flip:y;height:851;width:0;" filled="f" stroked="t" coordsize="21600,21600" o:gfxdata="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hbjci5AAAA2wAA&#10;AA8AAAAAAAAAAQAgAAAAIgAAAGRycy9kb3ducmV2LnhtbFBLAQIUABQAAAAIAIdO4kAzLwWeOwAA&#10;ADkAAAAQAAAAAAAAAAEAIAAAAAgBAABkcnMvc2hhcGV4bWwueG1sUEsFBgAAAAAGAAYAWwEAALID&#10;AAAAAA==&#10;">
                  <v:fill on="f" focussize="0,0"/>
                  <v:stroke weight="1.5pt" color="#FF0000 [3204]" joinstyle="round" endarrow="open"/>
                  <v:imagedata o:title=""/>
                  <o:lock v:ext="edit" aspectratio="f"/>
                </v:shape>
                <v:line id="_x0000_s1026" o:spid="_x0000_s1026" o:spt="20" style="position:absolute;left:8405;top:1498586;height:0;width:851;" filled="f" stroked="t" coordsize="21600,21600" o:gfxdata="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ZyowvQAA&#10;ANsAAAAPAAAAAAAAAAEAIAAAACIAAABkcnMvZG93bnJldi54bWxQSwECFAAUAAAACACHTuJAMy8F&#10;njsAAAA5AAAAEAAAAAAAAAABACAAAAAMAQAAZHJzL3NoYXBleG1sLnhtbFBLBQYAAAAABgAGAFsB&#10;AAC2AwAAAAA=&#10;">
                  <v:fill on="f" focussize="0,0"/>
                  <v:stroke weight="1.5pt" color="#FF0000 [3204]" joinstyle="round"/>
                  <v:imagedata o:title=""/>
                  <o:lock v:ext="edit" aspectratio="f"/>
                </v:line>
              </v:group>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2849245</wp:posOffset>
                </wp:positionH>
                <wp:positionV relativeFrom="paragraph">
                  <wp:posOffset>2572385</wp:posOffset>
                </wp:positionV>
                <wp:extent cx="154305" cy="172720"/>
                <wp:effectExtent l="6350" t="6350" r="10795" b="11430"/>
                <wp:wrapNone/>
                <wp:docPr id="11" name="十字星 11"/>
                <wp:cNvGraphicFramePr/>
                <a:graphic xmlns:a="http://schemas.openxmlformats.org/drawingml/2006/main">
                  <a:graphicData uri="http://schemas.microsoft.com/office/word/2010/wordprocessingShape">
                    <wps:wsp>
                      <wps:cNvSpPr/>
                      <wps:spPr>
                        <a:xfrm>
                          <a:off x="2704465" y="8599170"/>
                          <a:ext cx="154305" cy="172720"/>
                        </a:xfrm>
                        <a:prstGeom prst="star4">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224.35pt;margin-top:202.55pt;height:13.6pt;width:12.15pt;z-index:251672576;v-text-anchor:middle;mso-width-relative:page;mso-height-relative:page;" fillcolor="#FF0000" filled="t" stroked="t" coordsize="21600,21600" o:gfxdata="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uMCh/aAAAACwEAAA8AAAAAAAAAAQAgAAAAIgAAAGRycy9k&#10;b3ducmV2LnhtbFBLAQIUABQAAAAIAIdO4kDnancAcgIAAO4EAAAOAAAAAAAAAAEAIAAAACkBAABk&#10;cnMvZTJvRG9jLnhtbFBLBQYAAAAABgAGAFkBAAANBgAAAAA=&#10;" adj="8100">
                <v:fill on="t" focussize="0,0"/>
                <v:stroke weight="1pt" color="#FF0000 [3204]" joinstyle="round"/>
                <v:imagedata o:title=""/>
                <o:lock v:ext="edit" aspectratio="f"/>
              </v:shape>
            </w:pict>
          </mc:Fallback>
        </mc:AlternateContent>
      </w:r>
      <w:r>
        <w:rPr>
          <w:color w:val="auto"/>
        </w:rPr>
        <mc:AlternateContent>
          <mc:Choice Requires="wps">
            <w:drawing>
              <wp:inline distT="0" distB="0" distL="114300" distR="114300">
                <wp:extent cx="4351020" cy="3434080"/>
                <wp:effectExtent l="19050" t="19050" r="30480" b="33020"/>
                <wp:docPr id="8" name="矩形 8"/>
                <wp:cNvGraphicFramePr/>
                <a:graphic xmlns:a="http://schemas.openxmlformats.org/drawingml/2006/main">
                  <a:graphicData uri="http://schemas.microsoft.com/office/word/2010/wordprocessingShape">
                    <wps:wsp>
                      <wps:cNvSpPr/>
                      <wps:spPr>
                        <a:xfrm>
                          <a:off x="0" y="0"/>
                          <a:ext cx="4351020" cy="3434080"/>
                        </a:xfrm>
                        <a:prstGeom prst="rect">
                          <a:avLst/>
                        </a:prstGeom>
                        <a:noFill/>
                        <a:ln w="38100" cap="flat" cmpd="sng" algn="ctr">
                          <a:solidFill>
                            <a:srgbClr val="92D05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rPr>
                            </w:pPr>
                            <w:r>
                              <w:rPr>
                                <w:color w:val="auto"/>
                              </w:rPr>
                              <w:drawing>
                                <wp:inline distT="0" distB="0" distL="114300" distR="114300">
                                  <wp:extent cx="4003040" cy="3312160"/>
                                  <wp:effectExtent l="0" t="0" r="16510" b="2540"/>
                                  <wp:docPr id="39" name="图片 398" descr="说明: 行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8" descr="说明: 行政图"/>
                                          <pic:cNvPicPr>
                                            <a:picLocks noChangeAspect="1"/>
                                          </pic:cNvPicPr>
                                        </pic:nvPicPr>
                                        <pic:blipFill>
                                          <a:blip r:embed="rId41"/>
                                          <a:srcRect t="2035"/>
                                          <a:stretch>
                                            <a:fillRect/>
                                          </a:stretch>
                                        </pic:blipFill>
                                        <pic:spPr>
                                          <a:xfrm>
                                            <a:off x="0" y="0"/>
                                            <a:ext cx="4003040" cy="3312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270.4pt;width:342.6pt;v-text-anchor:middle;" filled="f" stroked="t" coordsize="21600,21600" o:gfxdata="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CdMdk1QAAAAUBAAAPAAAAAAAAAAEAIAAAACIAAABkcnMv&#10;ZG93bnJldi54bWxQSwECFAAUAAAACACHTuJASoeM3ngCAADlBAAADgAAAAAAAAABACAAAAAkAQAA&#10;ZHJzL2Uyb0RvYy54bWxQSwUGAAAAAAYABgBZAQAADgYAAAAA&#10;">
                <v:fill on="f" focussize="0,0"/>
                <v:stroke weight="3pt" color="#92D05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rPr>
                      </w:pPr>
                      <w:r>
                        <w:rPr>
                          <w:color w:val="auto"/>
                        </w:rPr>
                        <w:drawing>
                          <wp:inline distT="0" distB="0" distL="114300" distR="114300">
                            <wp:extent cx="4003040" cy="3312160"/>
                            <wp:effectExtent l="0" t="0" r="16510" b="2540"/>
                            <wp:docPr id="39" name="图片 398" descr="说明: 行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8" descr="说明: 行政图"/>
                                    <pic:cNvPicPr>
                                      <a:picLocks noChangeAspect="1"/>
                                    </pic:cNvPicPr>
                                  </pic:nvPicPr>
                                  <pic:blipFill>
                                    <a:blip r:embed="rId41"/>
                                    <a:srcRect t="2035"/>
                                    <a:stretch>
                                      <a:fillRect/>
                                    </a:stretch>
                                  </pic:blipFill>
                                  <pic:spPr>
                                    <a:xfrm>
                                      <a:off x="0" y="0"/>
                                      <a:ext cx="4003040" cy="3312160"/>
                                    </a:xfrm>
                                    <a:prstGeom prst="rect">
                                      <a:avLst/>
                                    </a:prstGeom>
                                    <a:noFill/>
                                    <a:ln>
                                      <a:noFill/>
                                    </a:ln>
                                  </pic:spPr>
                                </pic:pic>
                              </a:graphicData>
                            </a:graphic>
                          </wp:inline>
                        </w:drawing>
                      </w:r>
                    </w:p>
                  </w:txbxContent>
                </v:textbox>
                <w10:wrap type="none"/>
                <w10:anchorlock/>
              </v:rect>
            </w:pict>
          </mc:Fallback>
        </mc:AlternateContent>
      </w:r>
    </w:p>
    <w:p>
      <w:pPr>
        <w:pStyle w:val="1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rPr>
      </w:pPr>
      <w:r>
        <w:rPr>
          <w:rFonts w:hint="eastAsia"/>
          <w:b/>
          <w:color w:val="auto"/>
          <w:sz w:val="21"/>
        </w:rPr>
        <w:t>图4</w:t>
      </w:r>
      <w:r>
        <w:rPr>
          <w:rFonts w:hint="eastAsia"/>
          <w:b/>
          <w:color w:val="auto"/>
          <w:sz w:val="21"/>
          <w:lang w:val="en-US" w:eastAsia="zh-CN"/>
        </w:rPr>
        <w:t>.1</w:t>
      </w:r>
      <w:r>
        <w:rPr>
          <w:rFonts w:hint="eastAsia"/>
          <w:b/>
          <w:color w:val="auto"/>
          <w:sz w:val="21"/>
        </w:rPr>
        <w:t>-1</w:t>
      </w:r>
      <w:r>
        <w:rPr>
          <w:rFonts w:hint="eastAsia"/>
          <w:b/>
          <w:color w:val="auto"/>
          <w:sz w:val="21"/>
          <w:lang w:val="en-US" w:eastAsia="zh-CN"/>
        </w:rPr>
        <w:t xml:space="preserve">  </w:t>
      </w:r>
      <w:r>
        <w:rPr>
          <w:rFonts w:hint="eastAsia"/>
          <w:b/>
          <w:color w:val="auto"/>
          <w:sz w:val="21"/>
        </w:rPr>
        <w:t>项目所在地示意简图</w:t>
      </w:r>
      <w:r>
        <w:rPr>
          <w:color w:val="auto"/>
          <w:shd w:val="clear" w:color="auto" w:fill="FFFFFF"/>
        </w:rPr>
        <mc:AlternateContent>
          <mc:Choice Requires="wps">
            <w:drawing>
              <wp:anchor distT="0" distB="0" distL="114300" distR="114300" simplePos="0" relativeHeight="251671552" behindDoc="0" locked="0" layoutInCell="1" allowOverlap="1">
                <wp:simplePos x="0" y="0"/>
                <wp:positionH relativeFrom="column">
                  <wp:posOffset>1151890</wp:posOffset>
                </wp:positionH>
                <wp:positionV relativeFrom="paragraph">
                  <wp:posOffset>2891790</wp:posOffset>
                </wp:positionV>
                <wp:extent cx="969010" cy="325120"/>
                <wp:effectExtent l="6350" t="508000" r="1082040" b="24130"/>
                <wp:wrapNone/>
                <wp:docPr id="60" name="圆角矩形标注 13"/>
                <wp:cNvGraphicFramePr/>
                <a:graphic xmlns:a="http://schemas.openxmlformats.org/drawingml/2006/main">
                  <a:graphicData uri="http://schemas.microsoft.com/office/word/2010/wordprocessingShape">
                    <wps:wsp>
                      <wps:cNvSpPr/>
                      <wps:spPr>
                        <a:xfrm>
                          <a:off x="0" y="0"/>
                          <a:ext cx="969010" cy="325120"/>
                        </a:xfrm>
                        <a:prstGeom prst="wedgeRoundRectCallout">
                          <a:avLst>
                            <a:gd name="adj1" fmla="val 159960"/>
                            <a:gd name="adj2" fmla="val -204296"/>
                            <a:gd name="adj3" fmla="val 16667"/>
                          </a:avLst>
                        </a:prstGeom>
                        <a:noFill/>
                        <a:ln w="12700" cap="flat" cmpd="sng" algn="ctr">
                          <a:solidFill>
                            <a:srgbClr val="FF0000"/>
                          </a:solidFill>
                          <a:prstDash val="solid"/>
                        </a:ln>
                        <a:effectLst/>
                      </wps:spPr>
                      <wps:txbx>
                        <w:txbxContent>
                          <w:p>
                            <w:pPr>
                              <w:spacing w:line="240" w:lineRule="auto"/>
                              <w:ind w:firstLine="0" w:firstLineChars="0"/>
                              <w:jc w:val="center"/>
                              <w:rPr>
                                <w:color w:val="FF0000"/>
                                <w:sz w:val="21"/>
                                <w:szCs w:val="21"/>
                              </w:rPr>
                            </w:pPr>
                            <w:r>
                              <w:rPr>
                                <w:rFonts w:hint="eastAsia"/>
                                <w:color w:val="FF0000"/>
                                <w:sz w:val="21"/>
                                <w:szCs w:val="21"/>
                              </w:rPr>
                              <w:t>项目选址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3" o:spid="_x0000_s1026" o:spt="62" type="#_x0000_t62" style="position:absolute;left:0pt;margin-left:90.7pt;margin-top:227.7pt;height:25.6pt;width:76.3pt;z-index:251671552;v-text-anchor:middle;mso-width-relative:page;mso-height-relative:page;" filled="f" stroked="t" coordsize="21600,21600" o:gfxdata="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3pATXZAAAACwEAAA8AAAAAAAAA&#10;AQAgAAAAIgAAAGRycy9kb3ducmV2LnhtbFBLAQIUABQAAAAIAIdO4kA6zOhnuwIAAGMFAAAOAAAA&#10;AAAAAAEAIAAAACgBAABkcnMvZTJvRG9jLnhtbFBLBQYAAAAABgAGAFkBAABVBgAAAAA=&#10;" adj="45351,-33328,14400">
                <v:fill on="f" focussize="0,0"/>
                <v:stroke weight="1pt" color="#FF0000" joinstyle="round"/>
                <v:imagedata o:title=""/>
                <o:lock v:ext="edit" aspectratio="f"/>
                <v:textbox>
                  <w:txbxContent>
                    <w:p>
                      <w:pPr>
                        <w:spacing w:line="240" w:lineRule="auto"/>
                        <w:ind w:firstLine="0" w:firstLineChars="0"/>
                        <w:jc w:val="center"/>
                        <w:rPr>
                          <w:color w:val="FF0000"/>
                          <w:sz w:val="21"/>
                          <w:szCs w:val="21"/>
                        </w:rPr>
                      </w:pPr>
                      <w:r>
                        <w:rPr>
                          <w:rFonts w:hint="eastAsia"/>
                          <w:color w:val="FF0000"/>
                          <w:sz w:val="21"/>
                          <w:szCs w:val="21"/>
                        </w:rPr>
                        <w:t>项目选址</w:t>
                      </w:r>
                    </w:p>
                  </w:txbxContent>
                </v:textbox>
              </v:shape>
            </w:pict>
          </mc:Fallback>
        </mc:AlternateContent>
      </w:r>
    </w:p>
    <w:bookmarkEnd w:id="335"/>
    <w:bookmarkEnd w:id="336"/>
    <w:p>
      <w:pPr>
        <w:pStyle w:val="6"/>
      </w:pPr>
      <w:bookmarkStart w:id="340" w:name="_Toc18536"/>
      <w:bookmarkStart w:id="341" w:name="_Toc312408565"/>
      <w:bookmarkStart w:id="342" w:name="_Toc313959312"/>
      <w:bookmarkStart w:id="343" w:name="_Toc19616"/>
      <w:bookmarkStart w:id="344" w:name="_Toc470785863"/>
      <w:bookmarkStart w:id="345" w:name="_Toc313968673"/>
      <w:r>
        <w:t>4.1.2 地形地貌</w:t>
      </w:r>
      <w:bookmarkEnd w:id="340"/>
      <w:bookmarkEnd w:id="341"/>
      <w:bookmarkEnd w:id="342"/>
      <w:bookmarkEnd w:id="343"/>
      <w:bookmarkEnd w:id="344"/>
      <w:bookmarkEnd w:id="345"/>
    </w:p>
    <w:p>
      <w:pPr>
        <w:bidi w:val="0"/>
        <w:rPr>
          <w:rFonts w:hint="eastAsia"/>
        </w:rPr>
      </w:pPr>
      <w:r>
        <w:rPr>
          <w:rFonts w:hint="eastAsia"/>
        </w:rPr>
        <w:t>兴隆县山高谷深，山地面积大，坡度陡，耕地少。全县地势西北高，东南低， 境内山峦起伏，沟壑纵横。以丘陵地带为主，形成了西北向东南倾斜的塔形地势， 是典型的“九山半水半分田”的深山区。</w:t>
      </w:r>
    </w:p>
    <w:p>
      <w:pPr>
        <w:bidi w:val="0"/>
        <w:rPr>
          <w:rFonts w:hint="eastAsia"/>
        </w:rPr>
      </w:pPr>
      <w:r>
        <w:rPr>
          <w:rFonts w:hint="eastAsia"/>
        </w:rPr>
        <w:t>兴隆县地势北高南低，山峦起伏，沟壑纵横，坡降悬殊。主要特点是山高谷深，山地面积大，坡度陡，耕地少。燕山主峰雾灵山是兴隆县最高点，海拔2118 米，纵卧于县境西北，蜿蜒于东南。南部最低处为八卦岭，海拔150米。</w:t>
      </w:r>
    </w:p>
    <w:p>
      <w:pPr>
        <w:bidi w:val="0"/>
        <w:rPr>
          <w:rFonts w:hint="eastAsia"/>
        </w:rPr>
      </w:pPr>
      <w:r>
        <w:rPr>
          <w:rFonts w:hint="eastAsia"/>
        </w:rPr>
        <w:t>兴隆县整个地貌形成了海拔2000米以上的高山，1000-2000米的中山，500-1000米的低山和500米以下的丘陵。由西北向东南倾斜的塔形地势，是典型的“九山半水半分田”的深山区。主要名山有雾灵山（海拔2118米）、六里坪山（海拔1475.7米）、鸡冠砬子山（海拔1456米）、五指山（海拔1383.7米）等。</w:t>
      </w:r>
    </w:p>
    <w:p>
      <w:pPr>
        <w:bidi w:val="0"/>
        <w:rPr>
          <w:rFonts w:hint="eastAsia"/>
        </w:rPr>
      </w:pPr>
      <w:r>
        <w:rPr>
          <w:rFonts w:hint="eastAsia"/>
        </w:rPr>
        <w:t>北营房镇境内地处雾灵山东麓，地势西高东低。境内最高峰气鼓肺山，位于冰冷沟村，海拔1243.8米；最低点位于姚栅子村，海拔434米。</w:t>
      </w:r>
    </w:p>
    <w:p>
      <w:pPr>
        <w:bidi w:val="0"/>
      </w:pPr>
      <w:r>
        <w:rPr>
          <w:rFonts w:hint="eastAsia"/>
        </w:rPr>
        <w:t>本项目位于</w:t>
      </w:r>
      <w:r>
        <w:rPr>
          <w:rFonts w:hint="eastAsia"/>
          <w:lang w:eastAsia="zh-CN"/>
        </w:rPr>
        <w:t>李家营镇下台子村</w:t>
      </w:r>
      <w:r>
        <w:rPr>
          <w:rFonts w:hint="eastAsia"/>
        </w:rPr>
        <w:t>，沿线地形主要是兴隆县北部的山地区和河谷区。</w:t>
      </w:r>
    </w:p>
    <w:p>
      <w:pPr>
        <w:pStyle w:val="6"/>
      </w:pPr>
      <w:bookmarkStart w:id="346" w:name="_Toc8619"/>
      <w:bookmarkStart w:id="347" w:name="_Toc17628"/>
      <w:bookmarkStart w:id="348" w:name="_Toc470785864"/>
      <w:bookmarkStart w:id="349" w:name="_Toc313968674"/>
      <w:bookmarkStart w:id="350" w:name="_Toc313959313"/>
      <w:bookmarkStart w:id="351" w:name="_Toc312408566"/>
      <w:r>
        <w:t>4.1.3气候特征</w:t>
      </w:r>
      <w:bookmarkEnd w:id="346"/>
      <w:bookmarkEnd w:id="347"/>
      <w:bookmarkEnd w:id="348"/>
    </w:p>
    <w:p>
      <w:pPr>
        <w:adjustRightInd w:val="0"/>
        <w:snapToGrid w:val="0"/>
        <w:ind w:firstLine="482" w:firstLineChars="0"/>
        <w:rPr>
          <w:rFonts w:hint="default" w:ascii="Times New Roman" w:hAnsi="Times New Roman" w:eastAsia="宋体" w:cs="Times New Roman"/>
          <w:snapToGrid w:val="0"/>
          <w:kern w:val="0"/>
          <w:szCs w:val="24"/>
        </w:rPr>
      </w:pPr>
      <w:bookmarkStart w:id="352" w:name="_Toc312408567"/>
      <w:bookmarkStart w:id="353" w:name="_Toc313959314"/>
      <w:bookmarkStart w:id="354" w:name="_Toc313968675"/>
      <w:r>
        <w:rPr>
          <w:rFonts w:hint="default" w:ascii="Times New Roman" w:hAnsi="Times New Roman" w:eastAsia="宋体" w:cs="Times New Roman"/>
          <w:snapToGrid w:val="0"/>
          <w:kern w:val="0"/>
          <w:szCs w:val="24"/>
        </w:rPr>
        <w:t>兴隆县年平均气温在6.5-10.3℃之间。县境多山，气温垂直变化明显。冬季盛吹西北季风，寒冷一月平均气温为-7.5℃，夏季吹东南季风，天气炎热多雨，七月平均气温在22℃以上，无霜期约为135天。年际变化大，地区差异大，降水由北向南递增，东西走向的山脉迎风坡降水较多，背风坡降水少。</w:t>
      </w:r>
    </w:p>
    <w:p>
      <w:pPr>
        <w:adjustRightInd w:val="0"/>
        <w:snapToGrid w:val="0"/>
        <w:ind w:firstLine="482" w:firstLineChars="0"/>
        <w:rPr>
          <w:rFonts w:hint="eastAsia" w:ascii="Times New Roman" w:hAnsi="Times New Roman" w:eastAsia="宋体" w:cs="Times New Roman"/>
          <w:snapToGrid w:val="0"/>
          <w:kern w:val="0"/>
          <w:szCs w:val="24"/>
          <w:lang w:eastAsia="zh-CN"/>
        </w:rPr>
      </w:pPr>
      <w:r>
        <w:rPr>
          <w:rFonts w:hint="default" w:ascii="Times New Roman" w:hAnsi="Times New Roman" w:eastAsia="宋体" w:cs="Times New Roman"/>
          <w:snapToGrid w:val="0"/>
          <w:kern w:val="0"/>
          <w:szCs w:val="24"/>
        </w:rPr>
        <w:t>2021年，兴隆县天气气候特点为：全县年平均气温8.6℃，较常年偏高0.8℃,夏季、秋季气温接近常年，春季、冬季气温偏高；全县年平均降水量1232.4毫米，属于降水异常偏多年份，春季降水偏少，夏季、秋季降水异常偏多，冬季降水属于正常年份；全县年平均日照时数2309.8小时，属于日照显著偏少年份</w:t>
      </w:r>
      <w:r>
        <w:rPr>
          <w:rFonts w:hint="eastAsia" w:cs="Times New Roman"/>
          <w:snapToGrid w:val="0"/>
          <w:kern w:val="0"/>
          <w:szCs w:val="24"/>
          <w:lang w:eastAsia="zh-CN"/>
        </w:rPr>
        <w:t>。</w:t>
      </w:r>
    </w:p>
    <w:p>
      <w:pPr>
        <w:adjustRightInd w:val="0"/>
        <w:snapToGrid w:val="0"/>
        <w:ind w:firstLine="482" w:firstLineChars="0"/>
        <w:rPr>
          <w:rFonts w:ascii="Times New Roman" w:eastAsia="宋体"/>
          <w:snapToGrid w:val="0"/>
          <w:kern w:val="0"/>
          <w:szCs w:val="24"/>
        </w:rPr>
      </w:pPr>
      <w:r>
        <w:rPr>
          <w:rFonts w:hint="default" w:ascii="Times New Roman" w:hAnsi="Times New Roman" w:eastAsia="宋体" w:cs="Times New Roman"/>
          <w:snapToGrid w:val="0"/>
          <w:kern w:val="0"/>
          <w:szCs w:val="24"/>
        </w:rPr>
        <w:t>冬季日照时数接近常年，春季、夏季、秋季显著偏少。2021年内兴隆县发生的主要气象灾害有干旱、暴雨、冰雹、大风、沙尘、大雾、寒潮、强降雪等。有以下特点：气象干旱较轻，主要集中在春季；降水日数和暴雨日数偏多，全年出现15次强降雨过程，其中7月12～13日全县平均降水量最大，达到143.3毫米，灾害损失最为严重；8月15～16日单站降水量达到最大，为314.9毫米，出现在陡子峪乡前干涧村；冰雹灾害较常年偏少，最大冰雹直径为0.8厘米；大雾日数偏多，集中出现在夏末秋初；大风、沙尘日数较常年偏多，5月7日最大风速达25.5m/s（10级），出现在江湖峪气象观测站；寒潮日数偏多，降温幅度大；年降雪日数偏少，11月上旬出现极端性雨雪天气。总体而言，2021年兴隆县气象灾害损失程度高于常年。</w:t>
      </w:r>
    </w:p>
    <w:bookmarkEnd w:id="352"/>
    <w:bookmarkEnd w:id="353"/>
    <w:bookmarkEnd w:id="354"/>
    <w:p>
      <w:pPr>
        <w:pStyle w:val="6"/>
        <w:bidi w:val="0"/>
        <w:rPr>
          <w:rFonts w:hint="eastAsia"/>
          <w:lang w:eastAsia="zh-CN"/>
        </w:rPr>
      </w:pPr>
      <w:bookmarkStart w:id="355" w:name="_Toc15667"/>
      <w:bookmarkStart w:id="356" w:name="_Toc470785865"/>
      <w:bookmarkStart w:id="357" w:name="_Toc30781"/>
      <w:r>
        <w:t>4.1.4</w:t>
      </w:r>
      <w:bookmarkEnd w:id="355"/>
      <w:bookmarkEnd w:id="356"/>
      <w:r>
        <w:rPr>
          <w:rFonts w:hint="eastAsia"/>
          <w:lang w:eastAsia="zh-CN"/>
        </w:rPr>
        <w:t>地质构造</w:t>
      </w:r>
      <w:bookmarkEnd w:id="357"/>
    </w:p>
    <w:p>
      <w:pPr>
        <w:ind w:firstLine="480" w:firstLineChars="200"/>
        <w:rPr>
          <w:rFonts w:hint="eastAsia" w:ascii="Times New Roman" w:eastAsia="宋体"/>
          <w:szCs w:val="24"/>
        </w:rPr>
      </w:pPr>
      <w:r>
        <w:rPr>
          <w:rFonts w:hint="eastAsia" w:ascii="Times New Roman" w:eastAsia="宋体"/>
          <w:szCs w:val="24"/>
        </w:rPr>
        <w:t>兴隆县地处燕山山脉东部，大地构造属于燕山期燕山沉降带。区内构造十分复杂，不同方向、不同性质的断裂构造十分发育，并且有多期活动特征。地层发育完全，分层清楚，是北方中上元古界划分和对比的标准地区。1.5亿年前左右的燕山运动、多次岩浆活动、火山喷发和海底上升极大地改造了该地区的地质地貌。根据齐岩辛等提出的地质遗迹分类体系，结合兴隆县地质遗迹现状，将其地质遗迹主要分为岩石类、地质地貌类、构造类、水体类4个大类，多个亚类，其中水体景观主要有龙潭瀑布、九龙潭、柳源湖、柳河、潘家口水库等。兴隆县主要地质遗迹点分布。岩石类地质遗迹典型代表--雾灵山岩体。雾灵山岩体出露面积约230km</w:t>
      </w:r>
      <w:r>
        <w:rPr>
          <w:rFonts w:hint="eastAsia" w:ascii="Times New Roman" w:eastAsia="宋体"/>
          <w:szCs w:val="24"/>
          <w:vertAlign w:val="superscript"/>
        </w:rPr>
        <w:t>2</w:t>
      </w:r>
      <w:r>
        <w:rPr>
          <w:rFonts w:hint="eastAsia" w:ascii="Times New Roman" w:eastAsia="宋体"/>
          <w:szCs w:val="24"/>
        </w:rPr>
        <w:t>，平面形态为长轴呈</w:t>
      </w:r>
      <w:r>
        <w:rPr>
          <w:rFonts w:hint="eastAsia" w:ascii="Times New Roman" w:hAnsi="Times New Roman" w:cs="Times New Roman"/>
          <w:szCs w:val="24"/>
          <w:lang w:val="en-US" w:eastAsia="zh-CN"/>
        </w:rPr>
        <w:t>NNE</w:t>
      </w:r>
      <w:r>
        <w:rPr>
          <w:rFonts w:hint="eastAsia" w:ascii="Times New Roman" w:eastAsia="宋体"/>
          <w:szCs w:val="24"/>
        </w:rPr>
        <w:t>向展布的不规则椭圆状，主要由碱性正长岩组成，形成于白垩纪早期，属裂谷—类裂谷Ａ型花岗岩类，是燕山晚期岩浆活动及构造变形等地质活动的结果。雾灵山地处燕山造山带中段，海拔2118m，被称为“燕山第一峰”、“京东第一峰”。雾灵山的地貌特征与地层岩石条件紧密相关，区内抗蚀能力有较大差异的岩石是地貌形成的物质基础。同时，燕山地区断裂构造十分发育，既有中生代及其以前的一系列大规模近EW向断裂构造，也有新生代以来规模相对较小的NNW、NE—NNE和EW向的新生断裂构造。在地貌形成过程中，断裂构造起着决定性的主导控制作用，新构造的间歇性抬升和地表流水的冲蚀等也加速了地貌的形成。</w:t>
      </w:r>
    </w:p>
    <w:p>
      <w:pPr>
        <w:pStyle w:val="6"/>
        <w:bidi w:val="0"/>
        <w:rPr>
          <w:rFonts w:hint="eastAsia"/>
          <w:lang w:eastAsia="zh-CN"/>
        </w:rPr>
      </w:pPr>
      <w:bookmarkStart w:id="358" w:name="_Toc31779"/>
      <w:r>
        <w:rPr>
          <w:rFonts w:hint="eastAsia"/>
        </w:rPr>
        <w:t>4.1.</w:t>
      </w:r>
      <w:r>
        <w:rPr>
          <w:rFonts w:hint="eastAsia"/>
          <w:lang w:val="en-US" w:eastAsia="zh-CN"/>
        </w:rPr>
        <w:t>5</w:t>
      </w:r>
      <w:r>
        <w:rPr>
          <w:rFonts w:hint="eastAsia"/>
          <w:lang w:eastAsia="zh-CN"/>
        </w:rPr>
        <w:t>水文地质</w:t>
      </w:r>
      <w:bookmarkEnd w:id="358"/>
    </w:p>
    <w:p>
      <w:pPr>
        <w:adjustRightInd w:val="0"/>
        <w:snapToGrid w:val="0"/>
        <w:ind w:firstLine="480" w:firstLineChars="0"/>
        <w:rPr>
          <w:rFonts w:hint="eastAsia"/>
          <w:kern w:val="0"/>
          <w:lang w:val="en-US" w:eastAsia="zh-CN"/>
        </w:rPr>
      </w:pPr>
      <w:bookmarkStart w:id="359" w:name="_Toc470785866"/>
      <w:bookmarkStart w:id="360" w:name="_Toc10107"/>
      <w:r>
        <w:rPr>
          <w:rFonts w:hint="eastAsia"/>
          <w:kern w:val="0"/>
          <w:lang w:val="en-US" w:eastAsia="zh-CN"/>
        </w:rPr>
        <w:t>根据《河北省水文地质图》结合区域地质图和沿线地质调查情况，路线所经地区地下水类型种类比较复杂，大气降水入渗为地下水主要补给方式，排泄方式以地下水径流、河水排泄及人工开采为主。沿线地下水根据地层岩性、赋存条件、水利性质及特征，水源地含水岩组共分为第四系松散岩类孔隙含水岩组、碳酸盐岩裂隙岩溶含水岩组、基岩构造裂隙含水岩组及隔水岩类。</w:t>
      </w:r>
    </w:p>
    <w:p>
      <w:pPr>
        <w:adjustRightInd w:val="0"/>
        <w:snapToGrid w:val="0"/>
        <w:ind w:firstLine="480" w:firstLineChars="0"/>
        <w:rPr>
          <w:rFonts w:hint="eastAsia"/>
          <w:kern w:val="0"/>
          <w:lang w:val="en-US" w:eastAsia="zh-CN"/>
        </w:rPr>
      </w:pPr>
      <w:r>
        <w:rPr>
          <w:rFonts w:hint="eastAsia"/>
          <w:kern w:val="0"/>
          <w:lang w:val="en-US" w:eastAsia="zh-CN"/>
        </w:rPr>
        <w:t>（1）第四系松散岩类孔隙含水岩组</w:t>
      </w:r>
    </w:p>
    <w:p>
      <w:pPr>
        <w:adjustRightInd w:val="0"/>
        <w:snapToGrid w:val="0"/>
        <w:ind w:firstLine="480" w:firstLineChars="0"/>
        <w:rPr>
          <w:rFonts w:hint="eastAsia"/>
          <w:kern w:val="0"/>
          <w:lang w:val="en-US" w:eastAsia="zh-CN"/>
        </w:rPr>
      </w:pPr>
      <w:r>
        <w:rPr>
          <w:rFonts w:hint="eastAsia"/>
          <w:kern w:val="0"/>
          <w:lang w:val="en-US" w:eastAsia="zh-CN"/>
        </w:rPr>
        <w:t>主要分布于沟谷、山间盆地及河床地带，主要是冲积和冲洪积等类型的堆积物，由砾石、砂砾石、砂层夹黏质砂土、细砂及淤泥等组成。受地形地貌、水力坡度及沉积厚度等影响，含水层具有相对较厚、埋藏浅、水动力场活跃、富水性中等等特点，为孔隙水的富水地段。水化学类型一般为HCO</w:t>
      </w:r>
      <w:r>
        <w:rPr>
          <w:rFonts w:hint="eastAsia"/>
          <w:kern w:val="0"/>
          <w:vertAlign w:val="subscript"/>
          <w:lang w:val="en-US" w:eastAsia="zh-CN"/>
        </w:rPr>
        <w:t>3</w:t>
      </w:r>
      <w:r>
        <w:rPr>
          <w:rFonts w:hint="eastAsia"/>
          <w:kern w:val="0"/>
          <w:lang w:val="en-US" w:eastAsia="zh-CN"/>
        </w:rPr>
        <w:t>-Ca及HCO</w:t>
      </w:r>
      <w:r>
        <w:rPr>
          <w:rFonts w:hint="eastAsia"/>
          <w:kern w:val="0"/>
          <w:vertAlign w:val="subscript"/>
          <w:lang w:val="en-US" w:eastAsia="zh-CN"/>
        </w:rPr>
        <w:t>3</w:t>
      </w:r>
      <w:r>
        <w:rPr>
          <w:rFonts w:hint="eastAsia"/>
          <w:kern w:val="0"/>
          <w:lang w:val="en-US" w:eastAsia="zh-CN"/>
        </w:rPr>
        <w:t>-Ca·Mg型，矿化度0.36~1.25g/L，单井涌水量100~300m</w:t>
      </w:r>
      <w:r>
        <w:rPr>
          <w:rFonts w:hint="eastAsia"/>
          <w:kern w:val="0"/>
          <w:vertAlign w:val="superscript"/>
          <w:lang w:val="en-US" w:eastAsia="zh-CN"/>
        </w:rPr>
        <w:t>3</w:t>
      </w:r>
      <w:r>
        <w:rPr>
          <w:rFonts w:hint="eastAsia"/>
          <w:kern w:val="0"/>
          <w:lang w:val="en-US" w:eastAsia="zh-CN"/>
        </w:rPr>
        <w:t>/d。</w:t>
      </w:r>
    </w:p>
    <w:p>
      <w:pPr>
        <w:adjustRightInd w:val="0"/>
        <w:snapToGrid w:val="0"/>
        <w:ind w:firstLine="480" w:firstLineChars="0"/>
        <w:rPr>
          <w:rFonts w:hint="eastAsia"/>
          <w:kern w:val="0"/>
          <w:lang w:val="en-US" w:eastAsia="zh-CN"/>
        </w:rPr>
      </w:pPr>
      <w:r>
        <w:rPr>
          <w:rFonts w:hint="eastAsia"/>
          <w:kern w:val="0"/>
          <w:lang w:val="en-US" w:eastAsia="zh-CN"/>
        </w:rPr>
        <w:t>（2）碳酸盐岩裂隙岩溶含水岩组</w:t>
      </w:r>
    </w:p>
    <w:p>
      <w:pPr>
        <w:adjustRightInd w:val="0"/>
        <w:snapToGrid w:val="0"/>
        <w:ind w:firstLine="480" w:firstLineChars="0"/>
        <w:rPr>
          <w:rFonts w:hint="eastAsia"/>
          <w:kern w:val="0"/>
          <w:lang w:val="en-US" w:eastAsia="zh-CN"/>
        </w:rPr>
      </w:pPr>
      <w:r>
        <w:rPr>
          <w:rFonts w:hint="eastAsia"/>
          <w:kern w:val="0"/>
          <w:lang w:val="en-US" w:eastAsia="zh-CN"/>
        </w:rPr>
        <w:t>主要分布于背斜两翼的长城系团山子组、大红峪组地层内，含水层岩性为白云岩、叠层石白云岩夹白云质泥岩、泥质白云岩。由于构造条件复杂，岩溶发育，能构成完整的岩溶水系统，水量丰富且动态较稳定。水化学类型以HCO</w:t>
      </w:r>
      <w:r>
        <w:rPr>
          <w:rFonts w:hint="eastAsia"/>
          <w:kern w:val="0"/>
          <w:vertAlign w:val="subscript"/>
          <w:lang w:val="en-US" w:eastAsia="zh-CN"/>
        </w:rPr>
        <w:t>3</w:t>
      </w:r>
      <w:r>
        <w:rPr>
          <w:rFonts w:hint="eastAsia"/>
          <w:kern w:val="0"/>
          <w:lang w:val="en-US" w:eastAsia="zh-CN"/>
        </w:rPr>
        <w:t>-Ca、HCO</w:t>
      </w:r>
      <w:r>
        <w:rPr>
          <w:rFonts w:hint="eastAsia"/>
          <w:kern w:val="0"/>
          <w:vertAlign w:val="subscript"/>
          <w:lang w:val="en-US" w:eastAsia="zh-CN"/>
        </w:rPr>
        <w:t>3</w:t>
      </w:r>
      <w:r>
        <w:rPr>
          <w:rFonts w:hint="eastAsia"/>
          <w:kern w:val="0"/>
          <w:lang w:val="en-US" w:eastAsia="zh-CN"/>
        </w:rPr>
        <w:t>-Ca·Mg型为主，矿化度小于0.5g/L，单井涌水量300~1000m</w:t>
      </w:r>
      <w:r>
        <w:rPr>
          <w:rFonts w:hint="eastAsia"/>
          <w:kern w:val="0"/>
          <w:vertAlign w:val="superscript"/>
          <w:lang w:val="en-US" w:eastAsia="zh-CN"/>
        </w:rPr>
        <w:t>3</w:t>
      </w:r>
      <w:r>
        <w:rPr>
          <w:rFonts w:hint="eastAsia"/>
          <w:kern w:val="0"/>
          <w:lang w:val="en-US" w:eastAsia="zh-CN"/>
        </w:rPr>
        <w:t>/d。</w:t>
      </w:r>
    </w:p>
    <w:p>
      <w:pPr>
        <w:adjustRightInd w:val="0"/>
        <w:snapToGrid w:val="0"/>
        <w:ind w:firstLine="480" w:firstLineChars="0"/>
        <w:rPr>
          <w:rFonts w:hint="eastAsia"/>
          <w:kern w:val="0"/>
          <w:lang w:val="en-US" w:eastAsia="zh-CN"/>
        </w:rPr>
      </w:pPr>
      <w:r>
        <w:rPr>
          <w:rFonts w:hint="eastAsia"/>
          <w:kern w:val="0"/>
          <w:lang w:val="en-US" w:eastAsia="zh-CN"/>
        </w:rPr>
        <w:t>（3）基岩构造裂隙含水岩组</w:t>
      </w:r>
    </w:p>
    <w:p>
      <w:pPr>
        <w:adjustRightInd w:val="0"/>
        <w:snapToGrid w:val="0"/>
        <w:ind w:firstLine="480" w:firstLineChars="0"/>
        <w:rPr>
          <w:rFonts w:hint="eastAsia"/>
          <w:kern w:val="0"/>
          <w:lang w:val="en-US" w:eastAsia="zh-CN"/>
        </w:rPr>
      </w:pPr>
      <w:r>
        <w:rPr>
          <w:rFonts w:hint="eastAsia"/>
          <w:kern w:val="0"/>
          <w:lang w:val="en-US" w:eastAsia="zh-CN"/>
        </w:rPr>
        <w:t>主要分布于断裂构造带中。主发育于团山子组及串岭沟组地层内部，含水层厚度垂向发育较深，宽度7~100m。受构造作用影响，破碎带内形成构造角砾岩、碎裂岩，构造角砾岩、碎裂岩多胶结较好，部分碎裂岩虽胶结较弱，但其间为碎粉充填。构造破碎带整体透水性中等，富水性强。</w:t>
      </w:r>
    </w:p>
    <w:p>
      <w:pPr>
        <w:adjustRightInd w:val="0"/>
        <w:snapToGrid w:val="0"/>
        <w:ind w:firstLine="480" w:firstLineChars="0"/>
        <w:rPr>
          <w:rFonts w:hint="eastAsia"/>
          <w:kern w:val="0"/>
          <w:lang w:val="en-US" w:eastAsia="zh-CN"/>
        </w:rPr>
      </w:pPr>
      <w:r>
        <w:rPr>
          <w:rFonts w:hint="eastAsia"/>
          <w:kern w:val="0"/>
          <w:lang w:val="en-US" w:eastAsia="zh-CN"/>
        </w:rPr>
        <w:t>（4）隔水岩类：分布于咋口峪东西向背斜枢纽部位，岩性为长城系串岭沟组页岩，为区域性相对隔水岩组。</w:t>
      </w:r>
    </w:p>
    <w:p>
      <w:pPr>
        <w:pStyle w:val="6"/>
        <w:bidi w:val="0"/>
        <w:rPr>
          <w:rFonts w:ascii="宋体" w:hAnsi="宋体" w:eastAsia="宋体" w:cs="宋体"/>
          <w:bCs/>
          <w:kern w:val="0"/>
          <w:lang w:val="zh-CN" w:bidi="zh-CN"/>
        </w:rPr>
      </w:pPr>
      <w:bookmarkStart w:id="361" w:name="_Toc3471"/>
      <w:r>
        <w:t>4.1.</w:t>
      </w:r>
      <w:r>
        <w:rPr>
          <w:rFonts w:hint="eastAsia"/>
          <w:lang w:val="en-US" w:eastAsia="zh-CN"/>
        </w:rPr>
        <w:t>6</w:t>
      </w:r>
      <w:bookmarkEnd w:id="359"/>
      <w:bookmarkEnd w:id="360"/>
      <w:r>
        <w:rPr>
          <w:rFonts w:ascii="宋体" w:hAnsi="宋体" w:eastAsia="宋体" w:cs="宋体"/>
          <w:bCs/>
          <w:kern w:val="0"/>
          <w:lang w:val="zh-CN" w:bidi="zh-CN"/>
        </w:rPr>
        <w:t>地表水系</w:t>
      </w:r>
      <w:bookmarkEnd w:id="361"/>
    </w:p>
    <w:p>
      <w:pPr>
        <w:bidi w:val="0"/>
        <w:rPr>
          <w:lang w:val="zh-CN" w:eastAsia="zh-CN"/>
        </w:rPr>
      </w:pPr>
      <w:r>
        <w:rPr>
          <w:lang w:val="zh-CN" w:eastAsia="zh-CN"/>
        </w:rPr>
        <w:t>兴隆县的河流归属于滦河、潮白蓟运河两个水系。属滦河水系的有柳河、洒河、车河、横河、黑河。属潮白蓟运河的有上潮河、清水河、泃河、州河。其中滦河为客水，其余均发源于境内。</w:t>
      </w:r>
    </w:p>
    <w:p>
      <w:pPr>
        <w:keepNext w:val="0"/>
        <w:keepLines w:val="0"/>
        <w:pageBreakBefore w:val="0"/>
        <w:widowControl w:val="0"/>
        <w:kinsoku/>
        <w:wordWrap/>
        <w:overflowPunct/>
        <w:topLinePunct w:val="0"/>
        <w:bidi w:val="0"/>
        <w:adjustRightInd w:val="0"/>
        <w:snapToGrid w:val="0"/>
        <w:spacing w:line="360" w:lineRule="auto"/>
        <w:textAlignment w:val="auto"/>
        <w:rPr>
          <w:lang w:val="zh-CN" w:eastAsia="zh-CN"/>
        </w:rPr>
      </w:pPr>
      <w:r>
        <w:rPr>
          <w:highlight w:val="none"/>
          <w:lang w:val="zh-CN" w:eastAsia="zh-CN"/>
        </w:rPr>
        <w:t>本项目治理河段为柳河</w:t>
      </w:r>
      <w:r>
        <w:rPr>
          <w:rFonts w:hint="eastAsia"/>
          <w:highlight w:val="none"/>
          <w:lang w:val="zh-CN" w:eastAsia="zh-CN"/>
        </w:rPr>
        <w:t>三块石国考断面流域</w:t>
      </w:r>
      <w:r>
        <w:rPr>
          <w:highlight w:val="none"/>
          <w:lang w:val="zh-CN" w:eastAsia="zh-CN"/>
        </w:rPr>
        <w:t>。</w:t>
      </w:r>
      <w:r>
        <w:rPr>
          <w:rFonts w:hint="eastAsia"/>
          <w:lang w:val="zh-CN" w:eastAsia="zh-CN"/>
        </w:rPr>
        <w:t>柳河发源于燕山山脉主峰雾灵山（海拔2118米）的脚下源于兴隆县西南六里坪山东叶品，又名流河，自南向北纵贯兴隆县城区，在本县柳河口注入滦河；柳河位于燕山山脉，属海河流域滦河水系的一级支流，发源于兴隆县的六里坪山，在大仗子乡柳河口汇入滦河，全长86km，流域面积1020km</w:t>
      </w:r>
      <w:r>
        <w:rPr>
          <w:rFonts w:hint="eastAsia"/>
          <w:vertAlign w:val="superscript"/>
          <w:lang w:val="zh-CN" w:eastAsia="zh-CN"/>
        </w:rPr>
        <w:t>2</w:t>
      </w:r>
      <w:r>
        <w:rPr>
          <w:rFonts w:hint="eastAsia"/>
          <w:lang w:val="zh-CN" w:eastAsia="zh-CN"/>
        </w:rPr>
        <w:t>。下台子以北的下游段，河床较缓，河宽多控制在80～150m之间，河床迂回曲折，多漩涡。多年平均径流量0.42亿立方米，平均流量1.33立方米/秒，最大流量2740平方米/秒，最小流量0.11立方米/秒。</w:t>
      </w:r>
      <w:r>
        <w:rPr>
          <w:lang w:val="zh-CN" w:eastAsia="zh-CN"/>
        </w:rPr>
        <w:t>项目沿线区域地表水系</w:t>
      </w:r>
      <w:r>
        <w:rPr>
          <w:rFonts w:hint="eastAsia"/>
          <w:lang w:val="zh-CN" w:eastAsia="zh-CN"/>
        </w:rPr>
        <w:t>如下图</w:t>
      </w:r>
      <w:r>
        <w:rPr>
          <w:lang w:val="zh-CN" w:eastAsia="zh-CN"/>
        </w:rPr>
        <w:t>。</w:t>
      </w:r>
    </w:p>
    <w:p>
      <w:pPr>
        <w:keepNext w:val="0"/>
        <w:keepLines w:val="0"/>
        <w:pageBreakBefore w:val="0"/>
        <w:widowControl w:val="0"/>
        <w:tabs>
          <w:tab w:val="left" w:pos="1015"/>
        </w:tabs>
        <w:kinsoku/>
        <w:wordWrap/>
        <w:overflowPunct/>
        <w:topLinePunct w:val="0"/>
        <w:autoSpaceDE w:val="0"/>
        <w:autoSpaceDN w:val="0"/>
        <w:bidi w:val="0"/>
        <w:adjustRightInd w:val="0"/>
        <w:snapToGrid w:val="0"/>
        <w:spacing w:after="0" w:line="240" w:lineRule="auto"/>
        <w:ind w:left="0" w:right="96" w:firstLine="0" w:firstLineChars="0"/>
        <w:jc w:val="center"/>
        <w:textAlignment w:val="auto"/>
        <w:rPr>
          <w:rFonts w:hint="eastAsia"/>
          <w:b/>
          <w:color w:val="auto"/>
          <w:sz w:val="21"/>
        </w:rPr>
      </w:pPr>
      <w:r>
        <w:rPr>
          <w:sz w:val="24"/>
        </w:rPr>
        <mc:AlternateContent>
          <mc:Choice Requires="wpg">
            <w:drawing>
              <wp:anchor distT="0" distB="0" distL="114300" distR="114300" simplePos="0" relativeHeight="251675648" behindDoc="0" locked="0" layoutInCell="1" allowOverlap="1">
                <wp:simplePos x="0" y="0"/>
                <wp:positionH relativeFrom="column">
                  <wp:posOffset>2595245</wp:posOffset>
                </wp:positionH>
                <wp:positionV relativeFrom="paragraph">
                  <wp:posOffset>146050</wp:posOffset>
                </wp:positionV>
                <wp:extent cx="2671445" cy="782955"/>
                <wp:effectExtent l="0" t="0" r="0" b="0"/>
                <wp:wrapNone/>
                <wp:docPr id="54" name="组合 54"/>
                <wp:cNvGraphicFramePr/>
                <a:graphic xmlns:a="http://schemas.openxmlformats.org/drawingml/2006/main">
                  <a:graphicData uri="http://schemas.microsoft.com/office/word/2010/wordprocessingGroup">
                    <wpg:wgp>
                      <wpg:cNvGrpSpPr/>
                      <wpg:grpSpPr>
                        <a:xfrm>
                          <a:off x="0" y="0"/>
                          <a:ext cx="2671326" cy="783137"/>
                          <a:chOff x="4423" y="1498080"/>
                          <a:chExt cx="5124" cy="1681"/>
                        </a:xfrm>
                      </wpg:grpSpPr>
                      <wps:wsp>
                        <wps:cNvPr id="57" name="文本框 508"/>
                        <wps:cNvSpPr txBox="1"/>
                        <wps:spPr>
                          <a:xfrm>
                            <a:off x="4423" y="1498947"/>
                            <a:ext cx="2217" cy="814"/>
                          </a:xfrm>
                          <a:prstGeom prst="rect">
                            <a:avLst/>
                          </a:prstGeom>
                          <a:noFill/>
                          <a:ln w="6350">
                            <a:noFill/>
                          </a:ln>
                        </wps:spPr>
                        <wps:txbx>
                          <w:txbxContent>
                            <w:p>
                              <w:pPr>
                                <w:ind w:firstLine="420"/>
                                <w:rPr>
                                  <w:color w:val="FF0000"/>
                                  <w:sz w:val="21"/>
                                  <w:szCs w:val="21"/>
                                </w:rPr>
                              </w:pPr>
                              <w:r>
                                <w:rPr>
                                  <w:rFonts w:hint="eastAsia"/>
                                  <w:color w:val="FF0000"/>
                                  <w:sz w:val="21"/>
                                  <w:szCs w:val="21"/>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90"/>
                        <wps:cNvSpPr txBox="1"/>
                        <wps:spPr>
                          <a:xfrm>
                            <a:off x="8533" y="1498084"/>
                            <a:ext cx="1014" cy="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211" w:firstLineChars="100"/>
                                <w:rPr>
                                  <w:b/>
                                  <w:color w:val="FF0000"/>
                                  <w:sz w:val="21"/>
                                </w:rPr>
                              </w:pPr>
                              <w:r>
                                <w:rPr>
                                  <w:rFonts w:hint="eastAsia"/>
                                  <w:b/>
                                  <w:color w:val="FF0000"/>
                                  <w:sz w:val="21"/>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直接箭头连接符 88"/>
                        <wps:cNvCnPr/>
                        <wps:spPr>
                          <a:xfrm flipV="1">
                            <a:off x="8648" y="1498080"/>
                            <a:ext cx="0" cy="851"/>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6" name="直接连接符 89"/>
                        <wps:cNvCnPr/>
                        <wps:spPr>
                          <a:xfrm>
                            <a:off x="8405" y="1498586"/>
                            <a:ext cx="85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04.35pt;margin-top:11.5pt;height:61.65pt;width:210.35pt;z-index:251675648;mso-width-relative:page;mso-height-relative:page;" coordorigin="4423,1498080" coordsize="5124,1681" o:gfxdata="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6+2etoAAAAKAQAADwAAAAAAAAABACAAAAAiAAAAZHJzL2Rvd25y&#10;ZXYueG1sUEsBAhQAFAAAAAgAh07iQIHQm9T9AwAA+wsAAA4AAAAAAAAAAQAgAAAAKQEAAGRycy9l&#10;Mm9Eb2MueG1sUEsFBgAAAAAGAAYAWQEAAJgHAAAAAA==&#10;">
                <o:lock v:ext="edit" aspectratio="f"/>
                <v:shape id="文本框 508" o:spid="_x0000_s1026" o:spt="202" type="#_x0000_t202" style="position:absolute;left:4423;top:1498947;height:814;width:2217;" filled="f" stroked="f" coordsize="21600,21600" o:gfxdata="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2g0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firstLine="420"/>
                          <w:rPr>
                            <w:color w:val="FF0000"/>
                            <w:sz w:val="21"/>
                            <w:szCs w:val="21"/>
                          </w:rPr>
                        </w:pPr>
                        <w:r>
                          <w:rPr>
                            <w:rFonts w:hint="eastAsia"/>
                            <w:color w:val="FF0000"/>
                            <w:sz w:val="21"/>
                            <w:szCs w:val="21"/>
                          </w:rPr>
                          <w:t>项目位置</w:t>
                        </w:r>
                      </w:p>
                    </w:txbxContent>
                  </v:textbox>
                </v:shape>
                <v:shape id="文本框 90" o:spid="_x0000_s1026" o:spt="202" type="#_x0000_t202" style="position:absolute;left:8533;top:1498084;height:826;width:1014;" filled="f" stroked="f" coordsize="21600,21600" o:gfxdata="UEsDBAoAAAAAAIdO4kAAAAAAAAAAAAAAAAAEAAAAZHJzL1BLAwQUAAAACACHTuJA7Bk8/r8AAADb&#10;AAAADwAAAGRycy9kb3ducmV2LnhtbEWPQWvCQBSE7wX/w/IEb3UTaU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ZPP6/&#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firstLine="211" w:firstLineChars="100"/>
                          <w:rPr>
                            <w:b/>
                            <w:color w:val="FF0000"/>
                            <w:sz w:val="21"/>
                          </w:rPr>
                        </w:pPr>
                        <w:r>
                          <w:rPr>
                            <w:rFonts w:hint="eastAsia"/>
                            <w:b/>
                            <w:color w:val="FF0000"/>
                            <w:sz w:val="21"/>
                          </w:rPr>
                          <w:t>北</w:t>
                        </w:r>
                      </w:p>
                    </w:txbxContent>
                  </v:textbox>
                </v:shape>
                <v:shape id="直接箭头连接符 88" o:spid="_x0000_s1026" o:spt="32" type="#_x0000_t32" style="position:absolute;left:8648;top:1498080;flip:y;height:851;width:0;" filled="f" stroked="t" coordsize="21600,21600" o:gfxdata="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bErL4A&#10;AADbAAAADwAAAAAAAAABACAAAAAiAAAAZHJzL2Rvd25yZXYueG1sUEsBAhQAFAAAAAgAh07iQDMv&#10;BZ47AAAAOQAAABAAAAAAAAAAAQAgAAAADQEAAGRycy9zaGFwZXhtbC54bWxQSwUGAAAAAAYABgBb&#10;AQAAtwMAAAAA&#10;">
                  <v:fill on="f" focussize="0,0"/>
                  <v:stroke weight="1.5pt" color="#FF0000 [3204]" joinstyle="round" endarrow="open"/>
                  <v:imagedata o:title=""/>
                  <o:lock v:ext="edit" aspectratio="f"/>
                </v:shape>
                <v:line id="直接连接符 89" o:spid="_x0000_s1026" o:spt="20" style="position:absolute;left:8405;top:1498586;height:0;width:851;" filled="f" stroked="t" coordsize="21600,21600" o:gfxdata="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0WLi8AAAA&#10;2wAAAA8AAAAAAAAAAQAgAAAAIgAAAGRycy9kb3ducmV2LnhtbFBLAQIUABQAAAAIAIdO4kAzLwWe&#10;OwAAADkAAAAQAAAAAAAAAAEAIAAAAAsBAABkcnMvc2hhcGV4bWwueG1sUEsFBgAAAAAGAAYAWwEA&#10;ALUDAAAAAA==&#10;">
                  <v:fill on="f" focussize="0,0"/>
                  <v:stroke weight="1.5pt" color="#FF0000 [3204]" joinstyle="round"/>
                  <v:imagedata o:title=""/>
                  <o:lock v:ext="edit" aspectratio="f"/>
                </v:line>
              </v:group>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2667000</wp:posOffset>
                </wp:positionH>
                <wp:positionV relativeFrom="paragraph">
                  <wp:posOffset>620395</wp:posOffset>
                </wp:positionV>
                <wp:extent cx="177800" cy="179070"/>
                <wp:effectExtent l="4445" t="4445" r="8255" b="6985"/>
                <wp:wrapNone/>
                <wp:docPr id="40" name="十字星 40"/>
                <wp:cNvGraphicFramePr/>
                <a:graphic xmlns:a="http://schemas.openxmlformats.org/drawingml/2006/main">
                  <a:graphicData uri="http://schemas.microsoft.com/office/word/2010/wordprocessingShape">
                    <wps:wsp>
                      <wps:cNvSpPr/>
                      <wps:spPr>
                        <a:xfrm>
                          <a:off x="4005580" y="1713865"/>
                          <a:ext cx="177800" cy="179070"/>
                        </a:xfrm>
                        <a:prstGeom prst="star4">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210pt;margin-top:48.85pt;height:14.1pt;width:14pt;z-index:251673600;v-text-anchor:middle;mso-width-relative:page;mso-height-relative:page;" fillcolor="#FF0000" filled="t" stroked="t" coordsize="21600,21600" o:gfxdata="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Ji7vE1wAAAAoBAAAPAAAAAAAAAAEAIAAAACIAAABkcnMvZG93bnJl&#10;di54bWxQSwECFAAUAAAACACHTuJAmfxtEnACAADtBAAADgAAAAAAAAABACAAAAAmAQAAZHJzL2Uy&#10;b0RvYy54bWxQSwUGAAAAAAYABgBZAQAACAYAAAAA&#10;" adj="8100">
                <v:fill on="t" focussize="0,0"/>
                <v:stroke color="#FF0000 [3204]" joinstyle="round"/>
                <v:imagedata o:title=""/>
                <o:lock v:ext="edit" aspectratio="f"/>
              </v:shape>
            </w:pict>
          </mc:Fallback>
        </mc:AlternateContent>
      </w:r>
      <w:r>
        <w:rPr>
          <w:sz w:val="24"/>
        </w:rPr>
        <w:drawing>
          <wp:inline distT="0" distB="0" distL="114300" distR="114300">
            <wp:extent cx="5276215" cy="3514725"/>
            <wp:effectExtent l="0" t="0" r="635" b="9525"/>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42"/>
                    <a:stretch>
                      <a:fillRect/>
                    </a:stretch>
                  </pic:blipFill>
                  <pic:spPr>
                    <a:xfrm>
                      <a:off x="1110615" y="1447165"/>
                      <a:ext cx="5276215" cy="3514725"/>
                    </a:xfrm>
                    <a:prstGeom prst="rect">
                      <a:avLst/>
                    </a:prstGeom>
                  </pic:spPr>
                </pic:pic>
              </a:graphicData>
            </a:graphic>
          </wp:inline>
        </w:drawing>
      </w:r>
    </w:p>
    <w:p>
      <w:pPr>
        <w:keepNext w:val="0"/>
        <w:keepLines w:val="0"/>
        <w:pageBreakBefore w:val="0"/>
        <w:widowControl w:val="0"/>
        <w:tabs>
          <w:tab w:val="left" w:pos="1015"/>
        </w:tabs>
        <w:kinsoku/>
        <w:wordWrap/>
        <w:overflowPunct/>
        <w:topLinePunct w:val="0"/>
        <w:autoSpaceDE w:val="0"/>
        <w:autoSpaceDN w:val="0"/>
        <w:bidi w:val="0"/>
        <w:adjustRightInd w:val="0"/>
        <w:snapToGrid w:val="0"/>
        <w:spacing w:before="164" w:beforeLines="50" w:after="0" w:line="360" w:lineRule="auto"/>
        <w:ind w:left="0" w:right="96" w:firstLine="0" w:firstLineChars="0"/>
        <w:jc w:val="center"/>
        <w:textAlignment w:val="auto"/>
        <w:rPr>
          <w:rFonts w:ascii="宋体" w:hAnsi="宋体" w:eastAsia="宋体" w:cs="宋体"/>
          <w:b/>
          <w:kern w:val="0"/>
          <w:sz w:val="21"/>
          <w:szCs w:val="22"/>
          <w:lang w:val="zh-CN" w:bidi="zh-CN"/>
        </w:rPr>
      </w:pPr>
      <w:r>
        <w:rPr>
          <w:rFonts w:hint="eastAsia"/>
          <w:b/>
          <w:color w:val="auto"/>
          <w:sz w:val="21"/>
        </w:rPr>
        <w:t>图4</w:t>
      </w:r>
      <w:r>
        <w:rPr>
          <w:rFonts w:hint="eastAsia"/>
          <w:b/>
          <w:color w:val="auto"/>
          <w:sz w:val="21"/>
          <w:lang w:val="en-US" w:eastAsia="zh-CN"/>
        </w:rPr>
        <w:t>.1</w:t>
      </w:r>
      <w:r>
        <w:rPr>
          <w:rFonts w:hint="eastAsia"/>
          <w:b/>
          <w:color w:val="auto"/>
          <w:sz w:val="21"/>
        </w:rPr>
        <w:t>-</w:t>
      </w:r>
      <w:r>
        <w:rPr>
          <w:rFonts w:hint="eastAsia"/>
          <w:b/>
          <w:color w:val="auto"/>
          <w:sz w:val="21"/>
          <w:lang w:val="en-US" w:eastAsia="zh-CN"/>
        </w:rPr>
        <w:t xml:space="preserve">2  </w:t>
      </w:r>
      <w:r>
        <w:rPr>
          <w:rFonts w:ascii="宋体" w:hAnsi="宋体" w:eastAsia="宋体" w:cs="宋体"/>
          <w:b/>
          <w:kern w:val="0"/>
          <w:sz w:val="21"/>
          <w:szCs w:val="22"/>
          <w:lang w:val="zh-CN" w:bidi="zh-CN"/>
        </w:rPr>
        <w:t>项目所在区域地表水系图</w:t>
      </w:r>
    </w:p>
    <w:p>
      <w:pPr>
        <w:bidi w:val="0"/>
        <w:rPr>
          <w:lang w:val="zh-CN" w:eastAsia="zh-CN"/>
        </w:rPr>
      </w:pPr>
      <w:r>
        <w:rPr>
          <w:lang w:val="zh-CN" w:eastAsia="zh-CN"/>
        </w:rPr>
        <w:t>柳河属山地林区河流，河水流量受降雨量影响较大，干涸期（12月）最小流量0.14－0.52m</w:t>
      </w:r>
      <w:r>
        <w:rPr>
          <w:vertAlign w:val="superscript"/>
          <w:lang w:val="zh-CN" w:eastAsia="zh-CN"/>
        </w:rPr>
        <w:t>3</w:t>
      </w:r>
      <w:r>
        <w:rPr>
          <w:lang w:val="zh-CN" w:eastAsia="zh-CN"/>
        </w:rPr>
        <w:t>/s，汛期（8月）最大流量116.84－117.88m</w:t>
      </w:r>
      <w:r>
        <w:rPr>
          <w:vertAlign w:val="superscript"/>
          <w:lang w:val="zh-CN" w:eastAsia="zh-CN"/>
        </w:rPr>
        <w:t>3</w:t>
      </w:r>
      <w:r>
        <w:rPr>
          <w:lang w:val="zh-CN" w:eastAsia="zh-CN"/>
        </w:rPr>
        <w:t>/s，平均流量1.54m</w:t>
      </w:r>
      <w:r>
        <w:rPr>
          <w:vertAlign w:val="superscript"/>
          <w:lang w:val="zh-CN" w:eastAsia="zh-CN"/>
        </w:rPr>
        <w:t>3</w:t>
      </w:r>
      <w:r>
        <w:rPr>
          <w:lang w:val="zh-CN" w:eastAsia="zh-CN"/>
        </w:rPr>
        <w:t>/s。枯水期柳河水位+472-478m，最高洪水位+479-484m，水力坡度约3%。</w:t>
      </w:r>
    </w:p>
    <w:p>
      <w:pPr>
        <w:bidi w:val="0"/>
        <w:rPr>
          <w:lang w:val="zh-CN" w:eastAsia="zh-CN"/>
        </w:rPr>
      </w:pPr>
      <w:r>
        <w:rPr>
          <w:lang w:val="zh-CN" w:eastAsia="zh-CN"/>
        </w:rPr>
        <w:t>地表水资源量表现出如下特点：</w:t>
      </w:r>
    </w:p>
    <w:p>
      <w:pPr>
        <w:bidi w:val="0"/>
        <w:rPr>
          <w:lang w:val="zh-CN" w:eastAsia="zh-CN"/>
        </w:rPr>
      </w:pPr>
      <w:r>
        <w:rPr>
          <w:rFonts w:hint="eastAsia"/>
          <w:lang w:val="zh-CN" w:eastAsia="zh-CN"/>
        </w:rPr>
        <w:t>（</w:t>
      </w:r>
      <w:r>
        <w:rPr>
          <w:rFonts w:hint="eastAsia"/>
          <w:lang w:val="en-US" w:eastAsia="zh-CN"/>
        </w:rPr>
        <w:t>1</w:t>
      </w:r>
      <w:r>
        <w:rPr>
          <w:rFonts w:hint="eastAsia"/>
          <w:lang w:val="zh-CN" w:eastAsia="zh-CN"/>
        </w:rPr>
        <w:t>）</w:t>
      </w:r>
      <w:r>
        <w:rPr>
          <w:lang w:val="zh-CN" w:eastAsia="zh-CN"/>
        </w:rPr>
        <w:t>水资源补给年内分配极不均匀，给水资源开发利用带来困难。</w:t>
      </w:r>
    </w:p>
    <w:p>
      <w:pPr>
        <w:bidi w:val="0"/>
        <w:rPr>
          <w:lang w:val="zh-CN" w:eastAsia="zh-CN"/>
        </w:rPr>
      </w:pPr>
      <w:r>
        <w:rPr>
          <w:lang w:val="zh-CN" w:eastAsia="zh-CN"/>
        </w:rPr>
        <w:t>以分析范围内兴隆县、鹰手营子区、承德县等县区1956～2010年资料进行统计，多年平均汛期降水量的70～90%集中在汛期（6～9月）。降水的年内分配不均导致径流在年内分配也不均匀，多年平均天然年径流量约60%集中在汛期（6～9月），整个非汛期的径流量仅占全年径流量的40%，产流时间短且集中，不利于开发利用。</w:t>
      </w:r>
    </w:p>
    <w:p>
      <w:pPr>
        <w:bidi w:val="0"/>
        <w:rPr>
          <w:lang w:val="zh-CN" w:eastAsia="zh-CN"/>
        </w:rPr>
      </w:pPr>
      <w:r>
        <w:rPr>
          <w:rFonts w:hint="eastAsia"/>
          <w:lang w:val="zh-CN" w:eastAsia="zh-CN"/>
        </w:rPr>
        <w:t>（</w:t>
      </w:r>
      <w:r>
        <w:rPr>
          <w:rFonts w:hint="eastAsia"/>
          <w:lang w:val="en-US" w:eastAsia="zh-CN"/>
        </w:rPr>
        <w:t>2</w:t>
      </w:r>
      <w:r>
        <w:rPr>
          <w:rFonts w:hint="eastAsia"/>
          <w:lang w:val="zh-CN" w:eastAsia="zh-CN"/>
        </w:rPr>
        <w:t>）</w:t>
      </w:r>
      <w:r>
        <w:rPr>
          <w:lang w:val="zh-CN" w:eastAsia="zh-CN"/>
        </w:rPr>
        <w:t>年际变化大。据近55年降雨同步资料系列分析，分析范围年最大降水量是最小降水量3.4倍，自产地表径流变化更大，柳河近50年径流系列的变差系数达到0.60，而降雨系列的变差系数只有0.24，可见径流量的年际变化比降雨量的年际变化大得多。</w:t>
      </w:r>
    </w:p>
    <w:p>
      <w:pPr>
        <w:bidi w:val="0"/>
        <w:rPr>
          <w:lang w:val="zh-CN" w:eastAsia="zh-CN"/>
        </w:rPr>
      </w:pPr>
      <w:r>
        <w:rPr>
          <w:rFonts w:hint="eastAsia"/>
          <w:lang w:val="zh-CN" w:eastAsia="zh-CN"/>
        </w:rPr>
        <w:t>（</w:t>
      </w:r>
      <w:r>
        <w:rPr>
          <w:rFonts w:hint="eastAsia"/>
          <w:lang w:val="en-US" w:eastAsia="zh-CN"/>
        </w:rPr>
        <w:t>3</w:t>
      </w:r>
      <w:r>
        <w:rPr>
          <w:rFonts w:hint="eastAsia"/>
          <w:lang w:val="zh-CN" w:eastAsia="zh-CN"/>
        </w:rPr>
        <w:t>）</w:t>
      </w:r>
      <w:r>
        <w:rPr>
          <w:lang w:val="zh-CN" w:eastAsia="zh-CN"/>
        </w:rPr>
        <w:t>空间分布不均。从径流深等值线图可以看出，多年平均径流深由北向南呈现逐渐递增的趋势，变幅较大，从30mm到90mm，可见地表水资源空间分布很不均匀。</w:t>
      </w:r>
    </w:p>
    <w:p>
      <w:pPr>
        <w:bidi w:val="0"/>
        <w:rPr>
          <w:lang w:val="zh-CN" w:eastAsia="zh-CN"/>
        </w:rPr>
      </w:pPr>
      <w:r>
        <w:rPr>
          <w:lang w:val="zh-CN" w:eastAsia="zh-CN"/>
        </w:rPr>
        <w:t>山丘区地下水资源量采用排泄量法计算，包括河川基流量、潜流量、潜水蒸发量及开采净消耗量。柳河流域多年平均地下水资源量为1.00亿m</w:t>
      </w:r>
      <w:r>
        <w:rPr>
          <w:vertAlign w:val="superscript"/>
          <w:lang w:val="zh-CN" w:eastAsia="zh-CN"/>
        </w:rPr>
        <w:t>3</w:t>
      </w:r>
      <w:r>
        <w:rPr>
          <w:lang w:val="zh-CN" w:eastAsia="zh-CN"/>
        </w:rPr>
        <w:t>。</w:t>
      </w:r>
    </w:p>
    <w:p>
      <w:pPr>
        <w:bidi w:val="0"/>
        <w:rPr>
          <w:lang w:val="zh-CN" w:eastAsia="zh-CN"/>
        </w:rPr>
      </w:pPr>
      <w:r>
        <w:rPr>
          <w:lang w:val="zh-CN" w:eastAsia="zh-CN"/>
        </w:rPr>
        <w:t>地下水资源表现出如下特征：</w:t>
      </w:r>
    </w:p>
    <w:p>
      <w:pPr>
        <w:bidi w:val="0"/>
        <w:rPr>
          <w:lang w:val="zh-CN" w:eastAsia="zh-CN"/>
        </w:rPr>
      </w:pPr>
      <w:r>
        <w:rPr>
          <w:rFonts w:hint="eastAsia"/>
          <w:lang w:val="en-US" w:eastAsia="zh-CN"/>
        </w:rPr>
        <w:t>（1）</w:t>
      </w:r>
      <w:r>
        <w:rPr>
          <w:lang w:val="zh-CN" w:eastAsia="zh-CN"/>
        </w:rPr>
        <w:t>在地下水资源的各项排泄量中，基流量占相当大的比例，而基流量最终的补给来源仍然是降水入渗补给。分析范围内的地下水资源量随年降水量的变化而变化，在年际变化与空间分布上具有与降水量相一致的特征。</w:t>
      </w:r>
    </w:p>
    <w:p>
      <w:pPr>
        <w:bidi w:val="0"/>
        <w:rPr>
          <w:lang w:val="zh-CN" w:eastAsia="zh-CN"/>
        </w:rPr>
      </w:pPr>
      <w:r>
        <w:rPr>
          <w:rFonts w:hint="eastAsia"/>
          <w:lang w:val="zh-CN" w:eastAsia="zh-CN"/>
        </w:rPr>
        <w:t>（</w:t>
      </w:r>
      <w:r>
        <w:rPr>
          <w:rFonts w:hint="eastAsia"/>
          <w:lang w:val="en-US" w:eastAsia="zh-CN"/>
        </w:rPr>
        <w:t>2</w:t>
      </w:r>
      <w:r>
        <w:rPr>
          <w:rFonts w:hint="eastAsia"/>
          <w:lang w:val="zh-CN" w:eastAsia="zh-CN"/>
        </w:rPr>
        <w:t>）</w:t>
      </w:r>
      <w:r>
        <w:rPr>
          <w:lang w:val="zh-CN" w:eastAsia="zh-CN"/>
        </w:rPr>
        <w:t>山丘区地下水的另一个特点是，地下水与地表水之间存在着复杂而密切的水力联系，汛期河水补给地下水，非汛期地下水补给河水。同时在河谷地区基流量与河床潜流量之间也在随着地质条件的变化而相互转化。</w:t>
      </w:r>
    </w:p>
    <w:p>
      <w:pPr>
        <w:bidi w:val="0"/>
        <w:rPr>
          <w:lang w:val="zh-CN" w:eastAsia="zh-CN"/>
        </w:rPr>
      </w:pPr>
      <w:r>
        <w:rPr>
          <w:lang w:val="zh-CN" w:eastAsia="zh-CN"/>
        </w:rPr>
        <w:t>水资源总量为地表水资源量与地下水资源量之和扣除重复计算量。柳河多年平均水资源总量2.83亿m</w:t>
      </w:r>
      <w:r>
        <w:rPr>
          <w:vertAlign w:val="superscript"/>
          <w:lang w:val="zh-CN" w:eastAsia="zh-CN"/>
        </w:rPr>
        <w:t>3</w:t>
      </w:r>
      <w:r>
        <w:rPr>
          <w:lang w:val="zh-CN" w:eastAsia="zh-CN"/>
        </w:rPr>
        <w:t>，95%频率水资源总量为0.81亿m</w:t>
      </w:r>
      <w:r>
        <w:rPr>
          <w:vertAlign w:val="superscript"/>
          <w:lang w:val="zh-CN" w:eastAsia="zh-CN"/>
        </w:rPr>
        <w:t>3</w:t>
      </w:r>
      <w:r>
        <w:rPr>
          <w:lang w:val="zh-CN" w:eastAsia="zh-CN"/>
        </w:rPr>
        <w:t>。</w:t>
      </w:r>
    </w:p>
    <w:p>
      <w:pPr>
        <w:pStyle w:val="6"/>
        <w:bidi w:val="0"/>
      </w:pPr>
      <w:bookmarkStart w:id="362" w:name="_Toc9769"/>
      <w:r>
        <w:rPr>
          <w:rFonts w:hint="eastAsia"/>
          <w:lang w:val="en-US" w:eastAsia="zh-CN"/>
        </w:rPr>
        <w:t>4.1.7</w:t>
      </w:r>
      <w:r>
        <w:t>土壤与植被</w:t>
      </w:r>
      <w:bookmarkEnd w:id="362"/>
    </w:p>
    <w:p>
      <w:pPr>
        <w:bidi w:val="0"/>
      </w:pPr>
      <w:r>
        <w:t>受成土因素及其母质、地形、气候、生物、时间和人为活动等因素的综合影响，兴隆县的土壤可分为3个土类，即棕壤、褐土和草甸土，8个亚类，32个土属，115个土种。</w:t>
      </w:r>
    </w:p>
    <w:p>
      <w:pPr>
        <w:bidi w:val="0"/>
      </w:pPr>
      <w:r>
        <w:t>兴隆县位于河北省东北部，地处蒙古、东北、华北三大植物区系交汇处，各种植物成分兼而有之，生态系统复杂多样，特别是雾灵山成为温带生物多样性的保留地和生物资源宝库，植物群落垂直分布明显。按《中国植被》的植被分类系统和河北省植被分类系统，兴隆县地区共有6个植被类型和33个植物群落。</w:t>
      </w:r>
    </w:p>
    <w:bookmarkEnd w:id="349"/>
    <w:bookmarkEnd w:id="350"/>
    <w:bookmarkEnd w:id="351"/>
    <w:p>
      <w:pPr>
        <w:pStyle w:val="5"/>
        <w:bidi w:val="0"/>
      </w:pPr>
      <w:bookmarkStart w:id="363" w:name="_Toc286835718"/>
      <w:bookmarkStart w:id="364" w:name="_Toc326754965"/>
      <w:bookmarkStart w:id="365" w:name="_Toc286934653"/>
      <w:bookmarkStart w:id="366" w:name="_Toc332632560"/>
      <w:bookmarkStart w:id="367" w:name="_Toc18736"/>
      <w:bookmarkStart w:id="368" w:name="_Toc470785868"/>
      <w:bookmarkStart w:id="369" w:name="_Toc24914"/>
      <w:r>
        <w:t xml:space="preserve">4.2 </w:t>
      </w:r>
      <w:bookmarkEnd w:id="363"/>
      <w:bookmarkEnd w:id="364"/>
      <w:bookmarkEnd w:id="365"/>
      <w:bookmarkEnd w:id="366"/>
      <w:r>
        <w:t>环境保护目标调查</w:t>
      </w:r>
      <w:bookmarkEnd w:id="367"/>
      <w:bookmarkEnd w:id="368"/>
      <w:bookmarkEnd w:id="369"/>
    </w:p>
    <w:p>
      <w:pPr>
        <w:pStyle w:val="6"/>
        <w:bidi w:val="0"/>
        <w:rPr>
          <w:rFonts w:hint="eastAsia"/>
        </w:rPr>
      </w:pPr>
      <w:bookmarkStart w:id="370" w:name="_Toc24392"/>
      <w:bookmarkStart w:id="371" w:name="_Toc308012394"/>
      <w:bookmarkStart w:id="372" w:name="_Toc19322"/>
      <w:bookmarkStart w:id="373" w:name="_Toc326754966"/>
      <w:bookmarkStart w:id="374" w:name="_Toc332632561"/>
      <w:bookmarkStart w:id="375" w:name="_Toc470785869"/>
      <w:r>
        <w:rPr>
          <w:rFonts w:hint="eastAsia"/>
        </w:rPr>
        <w:t>4.2.1环境功能区划调查</w:t>
      </w:r>
      <w:bookmarkEnd w:id="370"/>
    </w:p>
    <w:p>
      <w:pPr>
        <w:bidi w:val="0"/>
        <w:rPr>
          <w:rFonts w:hint="eastAsia"/>
        </w:rPr>
      </w:pPr>
      <w:r>
        <w:rPr>
          <w:rFonts w:hint="eastAsia"/>
        </w:rPr>
        <w:t>建设项目所在区域为农村地区，区域没有进行环境空气功能区划。</w:t>
      </w:r>
    </w:p>
    <w:p>
      <w:pPr>
        <w:bidi w:val="0"/>
        <w:rPr>
          <w:rFonts w:hint="eastAsia"/>
        </w:rPr>
      </w:pPr>
      <w:r>
        <w:rPr>
          <w:rFonts w:hint="eastAsia"/>
        </w:rPr>
        <w:t>区域河流水体为</w:t>
      </w:r>
      <w:r>
        <w:rPr>
          <w:rFonts w:hint="eastAsia"/>
          <w:lang w:eastAsia="zh-CN"/>
        </w:rPr>
        <w:t>柳河</w:t>
      </w:r>
      <w:r>
        <w:rPr>
          <w:rFonts w:hint="eastAsia"/>
        </w:rPr>
        <w:t>。根据河北省水利厅、河北省环境保护厅《关于调整公布&lt;河北省水环境功能区划的通知&gt;》（冀水资[2017]127号），</w:t>
      </w:r>
      <w:r>
        <w:rPr>
          <w:rFonts w:hint="eastAsia"/>
          <w:lang w:eastAsia="zh-CN"/>
        </w:rPr>
        <w:t>柳</w:t>
      </w:r>
      <w:r>
        <w:rPr>
          <w:rFonts w:hint="eastAsia"/>
        </w:rPr>
        <w:t>河属于III类水体，执行《地表水环境质量标准》（GB3838-2002）III类水质标准。</w:t>
      </w:r>
    </w:p>
    <w:p>
      <w:pPr>
        <w:bidi w:val="0"/>
        <w:rPr>
          <w:rFonts w:hint="eastAsia"/>
        </w:rPr>
      </w:pPr>
      <w:r>
        <w:rPr>
          <w:rFonts w:hint="eastAsia"/>
        </w:rPr>
        <w:t>区域地下水功能为当地居民生活饮用及农业用水，地下水为III类功能区。</w:t>
      </w:r>
    </w:p>
    <w:p>
      <w:pPr>
        <w:bidi w:val="0"/>
        <w:rPr>
          <w:rFonts w:hint="eastAsia"/>
        </w:rPr>
      </w:pPr>
      <w:r>
        <w:rPr>
          <w:rFonts w:hint="eastAsia"/>
        </w:rPr>
        <w:t>建设项目所在区域为农村地区，区域没有进行声环境功能区划。</w:t>
      </w:r>
    </w:p>
    <w:p>
      <w:pPr>
        <w:pStyle w:val="6"/>
        <w:bidi w:val="0"/>
        <w:rPr>
          <w:rFonts w:hint="eastAsia"/>
        </w:rPr>
      </w:pPr>
      <w:bookmarkStart w:id="376" w:name="_Toc3683"/>
      <w:r>
        <w:rPr>
          <w:rFonts w:hint="eastAsia"/>
        </w:rPr>
        <w:t>4.2.2环境保护对象的调查</w:t>
      </w:r>
      <w:bookmarkEnd w:id="376"/>
    </w:p>
    <w:p>
      <w:pPr>
        <w:bidi w:val="0"/>
        <w:rPr>
          <w:rFonts w:hint="eastAsia"/>
        </w:rPr>
      </w:pPr>
      <w:r>
        <w:rPr>
          <w:rFonts w:hint="eastAsia"/>
        </w:rPr>
        <w:t>根据现场调查，项目评价区域内无自然保护区、风景名胜区、重要自然和文化遗产保护地及饮用水水源保护区等需要特殊保护的环境敏感对象；依据项目特征，结合项目区域情况，项目环境保护对象主要为：</w:t>
      </w:r>
    </w:p>
    <w:p>
      <w:pPr>
        <w:bidi w:val="0"/>
        <w:rPr>
          <w:rFonts w:hint="eastAsia"/>
        </w:rPr>
      </w:pPr>
      <w:r>
        <w:rPr>
          <w:rFonts w:hint="eastAsia"/>
        </w:rPr>
        <w:t>1、地表水环境评价范围内的保护对象为</w:t>
      </w:r>
      <w:r>
        <w:rPr>
          <w:rFonts w:hint="eastAsia"/>
          <w:lang w:eastAsia="zh-CN"/>
        </w:rPr>
        <w:t>柳河</w:t>
      </w:r>
      <w:r>
        <w:rPr>
          <w:rFonts w:hint="eastAsia"/>
        </w:rPr>
        <w:t>。</w:t>
      </w:r>
    </w:p>
    <w:p>
      <w:pPr>
        <w:bidi w:val="0"/>
        <w:rPr>
          <w:rFonts w:hint="eastAsia"/>
        </w:rPr>
      </w:pPr>
      <w:r>
        <w:rPr>
          <w:rFonts w:hint="eastAsia"/>
        </w:rPr>
        <w:t>2、声环境评价范围内的保护对象为</w:t>
      </w:r>
      <w:r>
        <w:rPr>
          <w:rFonts w:hint="eastAsia"/>
          <w:lang w:eastAsia="zh-CN"/>
        </w:rPr>
        <w:t>杨树底下村、三块石村</w:t>
      </w:r>
      <w:r>
        <w:rPr>
          <w:rFonts w:hint="eastAsia"/>
        </w:rPr>
        <w:t>居民及区域声环境。</w:t>
      </w:r>
    </w:p>
    <w:p>
      <w:pPr>
        <w:bidi w:val="0"/>
        <w:rPr>
          <w:rFonts w:hint="eastAsia"/>
        </w:rPr>
      </w:pPr>
      <w:r>
        <w:rPr>
          <w:rFonts w:hint="eastAsia"/>
        </w:rPr>
        <w:t>3、地下水评价范围内的保护对象为以项目拟治理修复河流流向为主要水流方向，其地下水径流下游方向的潜水含水层、居民饮用水井等。</w:t>
      </w:r>
    </w:p>
    <w:p>
      <w:pPr>
        <w:bidi w:val="0"/>
        <w:rPr>
          <w:rFonts w:hint="eastAsia"/>
        </w:rPr>
      </w:pPr>
      <w:r>
        <w:rPr>
          <w:rFonts w:hint="eastAsia"/>
        </w:rPr>
        <w:t>4、生态环境评价范围内的保护对象为区域生态环境。</w:t>
      </w:r>
    </w:p>
    <w:p>
      <w:pPr>
        <w:pStyle w:val="5"/>
        <w:bidi w:val="0"/>
      </w:pPr>
      <w:bookmarkStart w:id="377" w:name="_Toc8217"/>
      <w:r>
        <w:t>4.3环境质量现状调查与评价</w:t>
      </w:r>
      <w:bookmarkEnd w:id="371"/>
      <w:bookmarkEnd w:id="372"/>
      <w:bookmarkEnd w:id="373"/>
      <w:bookmarkEnd w:id="374"/>
      <w:bookmarkEnd w:id="375"/>
      <w:bookmarkEnd w:id="377"/>
    </w:p>
    <w:p>
      <w:pPr>
        <w:ind w:firstLine="480"/>
        <w:rPr>
          <w:color w:val="FF0000"/>
          <w:highlight w:val="none"/>
        </w:rPr>
      </w:pPr>
      <w:r>
        <w:rPr>
          <w:rFonts w:hint="eastAsia"/>
        </w:rPr>
        <w:t>本次评价在现场踏勘与调查和收集现有资料的基础上，结合区域环境质量现状补充监测情况，进行区域环境质量现状的调查与评价。</w:t>
      </w:r>
    </w:p>
    <w:p>
      <w:pPr>
        <w:pStyle w:val="6"/>
        <w:rPr>
          <w:highlight w:val="none"/>
        </w:rPr>
      </w:pPr>
      <w:bookmarkStart w:id="378" w:name="_Toc269200636"/>
      <w:bookmarkStart w:id="379" w:name="_Toc282959714"/>
      <w:bookmarkStart w:id="380" w:name="_Toc286934656"/>
      <w:bookmarkStart w:id="381" w:name="_Toc286835721"/>
      <w:bookmarkStart w:id="382" w:name="_Toc282946144"/>
      <w:bookmarkStart w:id="383" w:name="_Toc283110189"/>
      <w:bookmarkStart w:id="384" w:name="_Toc326754967"/>
      <w:bookmarkStart w:id="385" w:name="_Toc29779"/>
      <w:bookmarkStart w:id="386" w:name="_Toc2300"/>
      <w:bookmarkStart w:id="387" w:name="_Toc308012395"/>
      <w:bookmarkStart w:id="388" w:name="_Toc470785870"/>
      <w:bookmarkStart w:id="389" w:name="_Toc332632562"/>
      <w:r>
        <w:rPr>
          <w:highlight w:val="none"/>
        </w:rPr>
        <w:t>4.3.1 环境空气质量现状</w:t>
      </w:r>
      <w:bookmarkEnd w:id="378"/>
      <w:bookmarkEnd w:id="379"/>
      <w:bookmarkEnd w:id="380"/>
      <w:bookmarkEnd w:id="381"/>
      <w:bookmarkEnd w:id="382"/>
      <w:bookmarkEnd w:id="383"/>
      <w:r>
        <w:rPr>
          <w:highlight w:val="none"/>
        </w:rPr>
        <w:t>评价</w:t>
      </w:r>
      <w:bookmarkEnd w:id="384"/>
      <w:bookmarkEnd w:id="385"/>
      <w:bookmarkEnd w:id="386"/>
      <w:bookmarkEnd w:id="387"/>
      <w:bookmarkEnd w:id="388"/>
      <w:bookmarkEnd w:id="389"/>
    </w:p>
    <w:p>
      <w:pPr>
        <w:ind w:firstLine="480"/>
      </w:pPr>
      <w:r>
        <w:rPr>
          <w:rFonts w:hint="eastAsia"/>
        </w:rPr>
        <w:t>区域基本污染物环境质量监测数据，根据</w:t>
      </w:r>
      <w:r>
        <w:rPr>
          <w:rFonts w:hint="default" w:ascii="Times New Roman" w:hAnsi="Times New Roman" w:cs="Times New Roman"/>
          <w:b w:val="0"/>
          <w:bCs w:val="0"/>
          <w:color w:val="auto"/>
          <w:sz w:val="24"/>
          <w:szCs w:val="24"/>
          <w:highlight w:val="none"/>
        </w:rPr>
        <w:t>《20</w:t>
      </w:r>
      <w:r>
        <w:rPr>
          <w:rFonts w:hint="eastAsia" w:ascii="Times New Roman" w:hAnsi="Times New Roman" w:cs="Times New Roman"/>
          <w:b w:val="0"/>
          <w:bCs w:val="0"/>
          <w:color w:val="auto"/>
          <w:sz w:val="24"/>
          <w:szCs w:val="24"/>
          <w:highlight w:val="none"/>
          <w:lang w:val="en-US" w:eastAsia="zh-CN"/>
        </w:rPr>
        <w:t>2</w:t>
      </w:r>
      <w:r>
        <w:rPr>
          <w:rFonts w:hint="eastAsia"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rPr>
        <w:t>年承德市</w:t>
      </w:r>
      <w:r>
        <w:rPr>
          <w:rFonts w:hint="eastAsia" w:ascii="Times New Roman" w:hAnsi="Times New Roman" w:cs="Times New Roman"/>
          <w:b w:val="0"/>
          <w:bCs w:val="0"/>
          <w:color w:val="auto"/>
          <w:sz w:val="24"/>
          <w:szCs w:val="24"/>
          <w:highlight w:val="none"/>
          <w:lang w:val="en-US" w:eastAsia="zh-CN"/>
        </w:rPr>
        <w:t>生态</w:t>
      </w:r>
      <w:r>
        <w:rPr>
          <w:rFonts w:hint="default" w:ascii="Times New Roman" w:hAnsi="Times New Roman" w:cs="Times New Roman"/>
          <w:b w:val="0"/>
          <w:bCs w:val="0"/>
          <w:color w:val="auto"/>
          <w:sz w:val="24"/>
          <w:szCs w:val="24"/>
          <w:highlight w:val="none"/>
        </w:rPr>
        <w:t>环境状况公报》（202</w:t>
      </w:r>
      <w:r>
        <w:rPr>
          <w:rFonts w:hint="eastAsia"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rPr>
        <w:t>年</w:t>
      </w:r>
      <w:r>
        <w:rPr>
          <w:rFonts w:hint="eastAsia" w:cs="Times New Roman"/>
          <w:b w:val="0"/>
          <w:bCs w:val="0"/>
          <w:color w:val="auto"/>
          <w:sz w:val="24"/>
          <w:szCs w:val="24"/>
          <w:lang w:val="en-US" w:eastAsia="zh-CN"/>
        </w:rPr>
        <w:t>4</w:t>
      </w:r>
      <w:r>
        <w:rPr>
          <w:rFonts w:hint="default" w:ascii="Times New Roman" w:hAnsi="Times New Roman" w:cs="Times New Roman"/>
          <w:b w:val="0"/>
          <w:bCs w:val="0"/>
          <w:color w:val="auto"/>
          <w:sz w:val="24"/>
          <w:szCs w:val="24"/>
        </w:rPr>
        <w:t>月，承德市生态环境</w:t>
      </w:r>
      <w:r>
        <w:rPr>
          <w:rFonts w:hint="eastAsia" w:cs="Times New Roman"/>
          <w:b w:val="0"/>
          <w:bCs w:val="0"/>
          <w:color w:val="auto"/>
          <w:sz w:val="24"/>
          <w:szCs w:val="24"/>
          <w:lang w:val="en-US" w:eastAsia="zh-CN"/>
        </w:rPr>
        <w:t>局</w:t>
      </w:r>
      <w:r>
        <w:rPr>
          <w:rFonts w:hint="default" w:ascii="Times New Roman" w:hAnsi="Times New Roman" w:cs="Times New Roman"/>
          <w:b w:val="0"/>
          <w:bCs w:val="0"/>
          <w:color w:val="auto"/>
          <w:sz w:val="24"/>
          <w:szCs w:val="24"/>
        </w:rPr>
        <w:t>）中</w:t>
      </w:r>
      <w:r>
        <w:rPr>
          <w:rFonts w:hint="eastAsia" w:cs="Times New Roman"/>
          <w:b w:val="0"/>
          <w:bCs w:val="0"/>
          <w:color w:val="auto"/>
          <w:sz w:val="24"/>
          <w:szCs w:val="24"/>
          <w:lang w:val="en-US" w:eastAsia="zh-CN"/>
        </w:rPr>
        <w:t>兴隆县</w:t>
      </w:r>
      <w:r>
        <w:rPr>
          <w:rFonts w:hint="eastAsia"/>
        </w:rPr>
        <w:t>大气常规污染物中的</w:t>
      </w:r>
      <w:r>
        <w:t>PM</w:t>
      </w:r>
      <w:r>
        <w:rPr>
          <w:vertAlign w:val="subscript"/>
        </w:rPr>
        <w:t>10</w:t>
      </w:r>
      <w:r>
        <w:rPr>
          <w:rFonts w:hint="eastAsia"/>
        </w:rPr>
        <w:t>、</w:t>
      </w:r>
      <w:r>
        <w:t>PM</w:t>
      </w:r>
      <w:r>
        <w:rPr>
          <w:rFonts w:hint="eastAsia"/>
          <w:vertAlign w:val="subscript"/>
        </w:rPr>
        <w:t>2.5</w:t>
      </w:r>
      <w:r>
        <w:rPr>
          <w:rFonts w:hint="eastAsia"/>
        </w:rPr>
        <w:t>、</w:t>
      </w:r>
      <w:r>
        <w:t>SO</w:t>
      </w:r>
      <w:r>
        <w:rPr>
          <w:vertAlign w:val="subscript"/>
        </w:rPr>
        <w:t>2</w:t>
      </w:r>
      <w:r>
        <w:rPr>
          <w:rFonts w:hint="eastAsia"/>
        </w:rPr>
        <w:t>、N</w:t>
      </w:r>
      <w:r>
        <w:t>O</w:t>
      </w:r>
      <w:r>
        <w:rPr>
          <w:vertAlign w:val="subscript"/>
        </w:rPr>
        <w:t>2</w:t>
      </w:r>
      <w:r>
        <w:rPr>
          <w:rFonts w:hint="eastAsia"/>
        </w:rPr>
        <w:t>、CO、O</w:t>
      </w:r>
      <w:r>
        <w:rPr>
          <w:rFonts w:hint="eastAsia"/>
          <w:vertAlign w:val="subscript"/>
        </w:rPr>
        <w:t>3</w:t>
      </w:r>
      <w:r>
        <w:rPr>
          <w:rFonts w:hint="eastAsia"/>
        </w:rPr>
        <w:t>现状监测统计资料，来说明区域的环境空气质量，监测结果见</w:t>
      </w:r>
      <w:r>
        <w:rPr>
          <w:rFonts w:hint="eastAsia"/>
          <w:lang w:eastAsia="zh-CN"/>
        </w:rPr>
        <w:t>下表</w:t>
      </w:r>
      <w:r>
        <w:rPr>
          <w:rFonts w:hint="eastAsia"/>
        </w:rPr>
        <w:t>。</w:t>
      </w:r>
    </w:p>
    <w:p>
      <w:pPr>
        <w:autoSpaceDE w:val="0"/>
        <w:autoSpaceDN w:val="0"/>
        <w:ind w:firstLine="0" w:firstLineChars="0"/>
        <w:jc w:val="right"/>
        <w:rPr>
          <w:b/>
          <w:bCs/>
          <w:sz w:val="21"/>
          <w:szCs w:val="21"/>
        </w:rPr>
      </w:pPr>
      <w:r>
        <w:rPr>
          <w:rFonts w:hint="eastAsia"/>
          <w:b/>
          <w:bCs/>
          <w:sz w:val="21"/>
          <w:szCs w:val="21"/>
        </w:rPr>
        <w:t>表4</w:t>
      </w:r>
      <w:r>
        <w:rPr>
          <w:rFonts w:hint="eastAsia"/>
          <w:b/>
          <w:bCs/>
          <w:sz w:val="21"/>
          <w:szCs w:val="21"/>
          <w:lang w:val="en-US" w:eastAsia="zh-CN"/>
        </w:rPr>
        <w:t>.3-1</w:t>
      </w:r>
      <w:r>
        <w:rPr>
          <w:rFonts w:hint="eastAsia"/>
          <w:b/>
          <w:bCs/>
          <w:sz w:val="21"/>
          <w:szCs w:val="21"/>
        </w:rPr>
        <w:t xml:space="preserve">  202</w:t>
      </w:r>
      <w:r>
        <w:rPr>
          <w:rFonts w:hint="eastAsia"/>
          <w:b/>
          <w:bCs/>
          <w:sz w:val="21"/>
          <w:szCs w:val="21"/>
          <w:lang w:val="en-US" w:eastAsia="zh-CN"/>
        </w:rPr>
        <w:t>1</w:t>
      </w:r>
      <w:r>
        <w:rPr>
          <w:rFonts w:hint="eastAsia"/>
          <w:b/>
          <w:bCs/>
          <w:sz w:val="21"/>
          <w:szCs w:val="21"/>
        </w:rPr>
        <w:t>年</w:t>
      </w:r>
      <w:r>
        <w:rPr>
          <w:rFonts w:hint="eastAsia"/>
          <w:b/>
          <w:bCs/>
          <w:sz w:val="21"/>
          <w:szCs w:val="21"/>
          <w:lang w:eastAsia="zh-CN"/>
        </w:rPr>
        <w:t>兴隆县</w:t>
      </w:r>
      <w:r>
        <w:rPr>
          <w:rFonts w:hint="eastAsia"/>
          <w:b/>
          <w:bCs/>
          <w:sz w:val="21"/>
          <w:szCs w:val="21"/>
        </w:rPr>
        <w:t>环境空气中常规污染物浓度</w:t>
      </w:r>
      <w:r>
        <w:rPr>
          <w:rFonts w:hint="eastAsia"/>
          <w:b/>
          <w:bCs/>
          <w:sz w:val="21"/>
          <w:szCs w:val="21"/>
          <w:lang w:val="en-US" w:eastAsia="zh-CN"/>
        </w:rPr>
        <w:t xml:space="preserve">       </w:t>
      </w:r>
      <w:r>
        <w:rPr>
          <w:rFonts w:hint="eastAsia"/>
          <w:b/>
          <w:bCs/>
          <w:sz w:val="21"/>
          <w:szCs w:val="21"/>
        </w:rPr>
        <w:t>（mg/</w:t>
      </w:r>
      <w:r>
        <w:rPr>
          <w:b/>
          <w:bCs/>
          <w:sz w:val="21"/>
          <w:szCs w:val="21"/>
        </w:rPr>
        <w:t>m</w:t>
      </w:r>
      <w:r>
        <w:rPr>
          <w:b/>
          <w:bCs/>
          <w:sz w:val="21"/>
          <w:szCs w:val="21"/>
          <w:vertAlign w:val="superscript"/>
        </w:rPr>
        <w:t>3</w:t>
      </w:r>
      <w:r>
        <w:rPr>
          <w:rFonts w:hint="eastAsia"/>
          <w:b/>
          <w:bCs/>
          <w:sz w:val="21"/>
          <w:szCs w:val="21"/>
        </w:rPr>
        <w:t>）</w:t>
      </w:r>
    </w:p>
    <w:tbl>
      <w:tblPr>
        <w:tblStyle w:val="39"/>
        <w:tblW w:w="8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823"/>
        <w:gridCol w:w="823"/>
        <w:gridCol w:w="823"/>
        <w:gridCol w:w="823"/>
        <w:gridCol w:w="823"/>
        <w:gridCol w:w="828"/>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1" w:type="dxa"/>
            <w:vAlign w:val="center"/>
          </w:tcPr>
          <w:p>
            <w:pPr>
              <w:keepNext w:val="0"/>
              <w:keepLines w:val="0"/>
              <w:suppressLineNumbers w:val="0"/>
              <w:spacing w:before="0" w:beforeAutospacing="0" w:after="0" w:afterAutospacing="0" w:line="240" w:lineRule="exact"/>
              <w:ind w:left="0" w:right="0" w:firstLine="0" w:firstLineChars="0"/>
              <w:jc w:val="center"/>
              <w:rPr>
                <w:rFonts w:hint="default"/>
                <w:b/>
                <w:bCs/>
                <w:sz w:val="21"/>
                <w:szCs w:val="21"/>
              </w:rPr>
            </w:pPr>
            <w:r>
              <w:rPr>
                <w:rFonts w:hint="default"/>
                <w:b/>
                <w:bCs/>
                <w:sz w:val="21"/>
                <w:szCs w:val="21"/>
              </w:rPr>
              <w:t>污染物名称</w:t>
            </w:r>
          </w:p>
        </w:tc>
        <w:tc>
          <w:tcPr>
            <w:tcW w:w="823" w:type="dxa"/>
            <w:vAlign w:val="center"/>
          </w:tcPr>
          <w:p>
            <w:pPr>
              <w:keepNext w:val="0"/>
              <w:keepLines w:val="0"/>
              <w:suppressLineNumbers w:val="0"/>
              <w:spacing w:before="0" w:beforeAutospacing="0" w:after="0" w:afterAutospacing="0" w:line="240" w:lineRule="exact"/>
              <w:ind w:left="0" w:right="0" w:firstLine="0" w:firstLineChars="0"/>
              <w:jc w:val="center"/>
              <w:rPr>
                <w:rFonts w:hint="default"/>
                <w:b/>
                <w:bCs/>
                <w:sz w:val="21"/>
                <w:szCs w:val="21"/>
              </w:rPr>
            </w:pPr>
            <w:r>
              <w:rPr>
                <w:rFonts w:hint="default"/>
                <w:b/>
                <w:bCs/>
                <w:sz w:val="21"/>
                <w:szCs w:val="21"/>
              </w:rPr>
              <w:t>PM</w:t>
            </w:r>
            <w:r>
              <w:rPr>
                <w:rFonts w:hint="default"/>
                <w:b/>
                <w:bCs/>
                <w:sz w:val="21"/>
                <w:szCs w:val="21"/>
                <w:vertAlign w:val="subscript"/>
              </w:rPr>
              <w:t>10</w:t>
            </w:r>
          </w:p>
        </w:tc>
        <w:tc>
          <w:tcPr>
            <w:tcW w:w="823" w:type="dxa"/>
            <w:vAlign w:val="center"/>
          </w:tcPr>
          <w:p>
            <w:pPr>
              <w:keepNext w:val="0"/>
              <w:keepLines w:val="0"/>
              <w:suppressLineNumbers w:val="0"/>
              <w:spacing w:before="0" w:beforeAutospacing="0" w:after="0" w:afterAutospacing="0" w:line="240" w:lineRule="exact"/>
              <w:ind w:left="0" w:right="0" w:firstLine="0" w:firstLineChars="0"/>
              <w:jc w:val="center"/>
              <w:rPr>
                <w:rFonts w:hint="default"/>
                <w:b/>
                <w:bCs/>
                <w:sz w:val="21"/>
                <w:szCs w:val="21"/>
              </w:rPr>
            </w:pPr>
            <w:r>
              <w:rPr>
                <w:rFonts w:hint="default"/>
                <w:b/>
                <w:bCs/>
                <w:sz w:val="21"/>
                <w:szCs w:val="21"/>
              </w:rPr>
              <w:t>PM</w:t>
            </w:r>
            <w:r>
              <w:rPr>
                <w:rFonts w:hint="eastAsia"/>
                <w:b/>
                <w:bCs/>
                <w:sz w:val="21"/>
                <w:szCs w:val="21"/>
                <w:vertAlign w:val="subscript"/>
              </w:rPr>
              <w:t>2.5</w:t>
            </w:r>
          </w:p>
        </w:tc>
        <w:tc>
          <w:tcPr>
            <w:tcW w:w="823" w:type="dxa"/>
            <w:vAlign w:val="center"/>
          </w:tcPr>
          <w:p>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b/>
                <w:bCs/>
                <w:sz w:val="21"/>
                <w:szCs w:val="21"/>
              </w:rPr>
            </w:pPr>
            <w:r>
              <w:rPr>
                <w:rFonts w:hint="default" w:ascii="Times New Roman" w:hAnsi="Times New Roman" w:eastAsia="宋体" w:cs="Times New Roman"/>
                <w:b/>
                <w:bCs/>
                <w:sz w:val="21"/>
                <w:szCs w:val="21"/>
              </w:rPr>
              <w:t>SO</w:t>
            </w:r>
            <w:r>
              <w:rPr>
                <w:rFonts w:hint="default" w:ascii="Times New Roman" w:hAnsi="Times New Roman" w:eastAsia="宋体" w:cs="Times New Roman"/>
                <w:b/>
                <w:bCs/>
                <w:sz w:val="21"/>
                <w:szCs w:val="21"/>
                <w:vertAlign w:val="subscript"/>
              </w:rPr>
              <w:t>2</w:t>
            </w:r>
          </w:p>
        </w:tc>
        <w:tc>
          <w:tcPr>
            <w:tcW w:w="823" w:type="dxa"/>
            <w:vAlign w:val="center"/>
          </w:tcPr>
          <w:p>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b/>
                <w:bCs/>
                <w:sz w:val="21"/>
                <w:szCs w:val="21"/>
              </w:rPr>
            </w:pPr>
            <w:r>
              <w:rPr>
                <w:rFonts w:hint="default" w:ascii="Times New Roman" w:hAnsi="Times New Roman" w:eastAsia="宋体" w:cs="Times New Roman"/>
                <w:b/>
                <w:bCs/>
                <w:sz w:val="21"/>
                <w:szCs w:val="21"/>
              </w:rPr>
              <w:t>CO</w:t>
            </w:r>
          </w:p>
        </w:tc>
        <w:tc>
          <w:tcPr>
            <w:tcW w:w="823" w:type="dxa"/>
            <w:vAlign w:val="center"/>
          </w:tcPr>
          <w:p>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b/>
                <w:bCs/>
                <w:sz w:val="21"/>
                <w:szCs w:val="21"/>
              </w:rPr>
            </w:pPr>
            <w:r>
              <w:rPr>
                <w:rFonts w:hint="default" w:ascii="Times New Roman" w:hAnsi="Times New Roman" w:eastAsia="宋体" w:cs="Times New Roman"/>
                <w:b/>
                <w:bCs/>
                <w:sz w:val="21"/>
                <w:szCs w:val="21"/>
              </w:rPr>
              <w:t>O</w:t>
            </w:r>
            <w:r>
              <w:rPr>
                <w:rFonts w:hint="default" w:ascii="Times New Roman" w:hAnsi="Times New Roman" w:eastAsia="宋体" w:cs="Times New Roman"/>
                <w:b/>
                <w:bCs/>
                <w:sz w:val="21"/>
                <w:szCs w:val="21"/>
                <w:vertAlign w:val="subscript"/>
              </w:rPr>
              <w:t>3</w:t>
            </w:r>
          </w:p>
        </w:tc>
        <w:tc>
          <w:tcPr>
            <w:tcW w:w="828" w:type="dxa"/>
            <w:vAlign w:val="center"/>
          </w:tcPr>
          <w:p>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b/>
                <w:bCs/>
                <w:sz w:val="21"/>
                <w:szCs w:val="21"/>
              </w:rPr>
            </w:pPr>
            <w:r>
              <w:rPr>
                <w:rFonts w:hint="default" w:ascii="Times New Roman" w:hAnsi="Times New Roman" w:eastAsia="宋体" w:cs="Times New Roman"/>
                <w:b/>
                <w:bCs/>
                <w:sz w:val="21"/>
                <w:szCs w:val="21"/>
              </w:rPr>
              <w:t>NO</w:t>
            </w:r>
            <w:r>
              <w:rPr>
                <w:rFonts w:hint="default" w:ascii="Times New Roman" w:hAnsi="Times New Roman" w:eastAsia="宋体" w:cs="Times New Roman"/>
                <w:b/>
                <w:bCs/>
                <w:sz w:val="21"/>
                <w:szCs w:val="21"/>
                <w:vertAlign w:val="subscript"/>
              </w:rPr>
              <w:t>2</w:t>
            </w:r>
          </w:p>
        </w:tc>
        <w:tc>
          <w:tcPr>
            <w:tcW w:w="2393" w:type="dxa"/>
            <w:vAlign w:val="center"/>
          </w:tcPr>
          <w:p>
            <w:pPr>
              <w:keepNext w:val="0"/>
              <w:keepLines w:val="0"/>
              <w:suppressLineNumbers w:val="0"/>
              <w:spacing w:before="0" w:beforeAutospacing="0" w:after="0" w:afterAutospacing="0" w:line="240" w:lineRule="exact"/>
              <w:ind w:left="0" w:right="0" w:firstLine="0" w:firstLineChars="0"/>
              <w:jc w:val="center"/>
              <w:rPr>
                <w:rFonts w:hint="default"/>
                <w:b/>
                <w:bCs/>
                <w:sz w:val="21"/>
                <w:szCs w:val="21"/>
              </w:rPr>
            </w:pPr>
            <w:r>
              <w:rPr>
                <w:rFonts w:hint="eastAsia"/>
                <w:b/>
                <w:bCs/>
                <w:sz w:val="21"/>
                <w:szCs w:val="21"/>
              </w:rPr>
              <w:t>环境空气质量综合指数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1" w:type="dxa"/>
            <w:vAlign w:val="center"/>
          </w:tcPr>
          <w:p>
            <w:pPr>
              <w:keepNext w:val="0"/>
              <w:keepLines w:val="0"/>
              <w:suppressLineNumbers w:val="0"/>
              <w:spacing w:before="0" w:beforeAutospacing="0" w:after="0" w:afterAutospacing="0" w:line="240" w:lineRule="exact"/>
              <w:ind w:left="0" w:right="0" w:firstLine="0" w:firstLineChars="0"/>
              <w:jc w:val="center"/>
              <w:rPr>
                <w:rFonts w:hint="default"/>
                <w:sz w:val="21"/>
                <w:szCs w:val="21"/>
              </w:rPr>
            </w:pPr>
            <w:r>
              <w:rPr>
                <w:rFonts w:hint="default"/>
                <w:sz w:val="21"/>
                <w:szCs w:val="21"/>
              </w:rPr>
              <w:t>年均值</w:t>
            </w:r>
          </w:p>
        </w:tc>
        <w:tc>
          <w:tcPr>
            <w:tcW w:w="823" w:type="dxa"/>
            <w:vAlign w:val="center"/>
          </w:tcPr>
          <w:p>
            <w:pPr>
              <w:keepNext w:val="0"/>
              <w:keepLines w:val="0"/>
              <w:widowControl/>
              <w:suppressLineNumbers w:val="0"/>
              <w:spacing w:before="0" w:beforeAutospacing="0" w:after="0" w:afterAutospacing="0" w:line="240" w:lineRule="exact"/>
              <w:ind w:left="0" w:right="0" w:firstLine="0" w:firstLineChars="0"/>
              <w:jc w:val="center"/>
              <w:rPr>
                <w:rFonts w:hint="default" w:eastAsia="宋体"/>
                <w:sz w:val="21"/>
                <w:szCs w:val="21"/>
                <w:lang w:val="en-US" w:eastAsia="zh-CN"/>
              </w:rPr>
            </w:pPr>
            <w:r>
              <w:rPr>
                <w:rFonts w:hint="eastAsia"/>
                <w:sz w:val="21"/>
                <w:szCs w:val="21"/>
                <w:lang w:val="en-US" w:eastAsia="zh-CN"/>
              </w:rPr>
              <w:t>56</w:t>
            </w:r>
          </w:p>
        </w:tc>
        <w:tc>
          <w:tcPr>
            <w:tcW w:w="823" w:type="dxa"/>
            <w:vAlign w:val="center"/>
          </w:tcPr>
          <w:p>
            <w:pPr>
              <w:keepNext w:val="0"/>
              <w:keepLines w:val="0"/>
              <w:widowControl/>
              <w:suppressLineNumbers w:val="0"/>
              <w:spacing w:before="0" w:beforeAutospacing="0" w:after="0" w:afterAutospacing="0" w:line="240" w:lineRule="exact"/>
              <w:ind w:left="0" w:right="0" w:firstLine="0" w:firstLineChars="0"/>
              <w:jc w:val="center"/>
              <w:rPr>
                <w:rFonts w:hint="default" w:eastAsia="宋体"/>
                <w:sz w:val="21"/>
                <w:szCs w:val="21"/>
                <w:lang w:val="en-US" w:eastAsia="zh-CN"/>
              </w:rPr>
            </w:pPr>
            <w:r>
              <w:rPr>
                <w:rFonts w:hint="eastAsia"/>
                <w:sz w:val="21"/>
                <w:szCs w:val="21"/>
                <w:lang w:val="en-US" w:eastAsia="zh-CN"/>
              </w:rPr>
              <w:t>26</w:t>
            </w:r>
          </w:p>
        </w:tc>
        <w:tc>
          <w:tcPr>
            <w:tcW w:w="823" w:type="dxa"/>
            <w:vAlign w:val="center"/>
          </w:tcPr>
          <w:p>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240" w:lineRule="auto"/>
              <w:ind w:left="0" w:right="0" w:firstLine="0" w:firstLineChars="0"/>
              <w:jc w:val="center"/>
              <w:rPr>
                <w:rFonts w:hint="eastAsia" w:eastAsia="宋体"/>
                <w:sz w:val="21"/>
                <w:szCs w:val="21"/>
                <w:lang w:val="en-US" w:eastAsia="zh-CN"/>
              </w:rPr>
            </w:pPr>
            <w:r>
              <w:rPr>
                <w:rFonts w:hint="eastAsia"/>
                <w:kern w:val="0"/>
                <w:sz w:val="21"/>
                <w:szCs w:val="21"/>
                <w:lang w:val="en-US" w:eastAsia="zh-CN"/>
              </w:rPr>
              <w:t>7</w:t>
            </w:r>
          </w:p>
        </w:tc>
        <w:tc>
          <w:tcPr>
            <w:tcW w:w="823" w:type="dxa"/>
            <w:vAlign w:val="center"/>
          </w:tcPr>
          <w:p>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240" w:lineRule="auto"/>
              <w:ind w:left="0" w:right="0" w:firstLine="0" w:firstLineChars="0"/>
              <w:jc w:val="center"/>
              <w:rPr>
                <w:rFonts w:hint="default" w:eastAsia="宋体"/>
                <w:sz w:val="21"/>
                <w:szCs w:val="21"/>
                <w:lang w:val="en-US" w:eastAsia="zh-CN"/>
              </w:rPr>
            </w:pPr>
            <w:r>
              <w:rPr>
                <w:rFonts w:hint="eastAsia"/>
                <w:bCs/>
                <w:kern w:val="0"/>
                <w:sz w:val="21"/>
                <w:szCs w:val="21"/>
                <w:lang w:val="en-US" w:eastAsia="zh-CN"/>
              </w:rPr>
              <w:t>1.2</w:t>
            </w:r>
          </w:p>
        </w:tc>
        <w:tc>
          <w:tcPr>
            <w:tcW w:w="823" w:type="dxa"/>
            <w:vAlign w:val="center"/>
          </w:tcPr>
          <w:p>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240" w:lineRule="auto"/>
              <w:ind w:left="0" w:right="0" w:firstLine="0" w:firstLineChars="0"/>
              <w:jc w:val="center"/>
              <w:rPr>
                <w:rFonts w:hint="default" w:eastAsia="宋体"/>
                <w:sz w:val="21"/>
                <w:szCs w:val="21"/>
                <w:lang w:val="en-US" w:eastAsia="zh-CN"/>
              </w:rPr>
            </w:pPr>
            <w:r>
              <w:rPr>
                <w:rFonts w:hint="eastAsia"/>
                <w:bCs/>
                <w:kern w:val="0"/>
                <w:sz w:val="21"/>
                <w:szCs w:val="21"/>
                <w:lang w:val="en-US" w:eastAsia="zh-CN"/>
              </w:rPr>
              <w:t>145</w:t>
            </w:r>
          </w:p>
        </w:tc>
        <w:tc>
          <w:tcPr>
            <w:tcW w:w="828" w:type="dxa"/>
            <w:vAlign w:val="center"/>
          </w:tcPr>
          <w:p>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240" w:lineRule="auto"/>
              <w:ind w:left="0" w:right="0" w:firstLine="0" w:firstLineChars="0"/>
              <w:jc w:val="center"/>
              <w:rPr>
                <w:rFonts w:hint="default" w:eastAsia="宋体"/>
                <w:sz w:val="21"/>
                <w:szCs w:val="21"/>
                <w:lang w:val="en-US" w:eastAsia="zh-CN"/>
              </w:rPr>
            </w:pPr>
            <w:r>
              <w:rPr>
                <w:rFonts w:hint="eastAsia"/>
                <w:sz w:val="21"/>
                <w:szCs w:val="21"/>
                <w:lang w:val="en-US" w:eastAsia="zh-CN"/>
              </w:rPr>
              <w:t>25</w:t>
            </w:r>
          </w:p>
        </w:tc>
        <w:tc>
          <w:tcPr>
            <w:tcW w:w="2393" w:type="dxa"/>
            <w:vAlign w:val="center"/>
          </w:tcPr>
          <w:p>
            <w:pPr>
              <w:keepNext w:val="0"/>
              <w:keepLines w:val="0"/>
              <w:widowControl/>
              <w:suppressLineNumbers w:val="0"/>
              <w:spacing w:before="0" w:beforeAutospacing="0" w:after="0" w:afterAutospacing="0" w:line="240" w:lineRule="exact"/>
              <w:ind w:left="0" w:right="0" w:firstLine="0" w:firstLineChars="0"/>
              <w:jc w:val="center"/>
              <w:rPr>
                <w:rFonts w:hint="default" w:eastAsia="宋体"/>
                <w:kern w:val="0"/>
                <w:sz w:val="21"/>
                <w:szCs w:val="21"/>
                <w:lang w:val="en-US" w:eastAsia="zh-CN"/>
              </w:rPr>
            </w:pPr>
            <w:r>
              <w:rPr>
                <w:rFonts w:hint="eastAsia"/>
                <w:kern w:val="0"/>
                <w:sz w:val="21"/>
                <w:szCs w:val="21"/>
                <w:lang w:val="en-US" w:eastAsia="zh-CN"/>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01" w:type="dxa"/>
            <w:vAlign w:val="center"/>
          </w:tcPr>
          <w:p>
            <w:pPr>
              <w:keepNext w:val="0"/>
              <w:keepLines w:val="0"/>
              <w:suppressLineNumbers w:val="0"/>
              <w:spacing w:before="0" w:beforeAutospacing="0" w:after="0" w:afterAutospacing="0" w:line="240" w:lineRule="exact"/>
              <w:ind w:left="0" w:right="0" w:firstLine="0" w:firstLineChars="0"/>
              <w:jc w:val="center"/>
              <w:rPr>
                <w:rFonts w:hint="default"/>
                <w:sz w:val="21"/>
                <w:szCs w:val="21"/>
              </w:rPr>
            </w:pPr>
            <w:r>
              <w:rPr>
                <w:rFonts w:hint="default"/>
                <w:sz w:val="21"/>
                <w:szCs w:val="21"/>
              </w:rPr>
              <w:t>标准（二级）</w:t>
            </w:r>
          </w:p>
        </w:tc>
        <w:tc>
          <w:tcPr>
            <w:tcW w:w="823" w:type="dxa"/>
            <w:vAlign w:val="center"/>
          </w:tcPr>
          <w:p>
            <w:pPr>
              <w:keepNext w:val="0"/>
              <w:keepLines w:val="0"/>
              <w:widowControl/>
              <w:suppressLineNumbers w:val="0"/>
              <w:spacing w:before="0" w:beforeAutospacing="0" w:after="0" w:afterAutospacing="0" w:line="240" w:lineRule="exact"/>
              <w:ind w:left="0" w:right="0" w:firstLine="0" w:firstLineChars="0"/>
              <w:jc w:val="center"/>
              <w:rPr>
                <w:rFonts w:hint="default"/>
                <w:sz w:val="21"/>
                <w:szCs w:val="21"/>
              </w:rPr>
            </w:pPr>
            <w:r>
              <w:rPr>
                <w:rFonts w:hint="eastAsia"/>
                <w:sz w:val="21"/>
                <w:szCs w:val="21"/>
              </w:rPr>
              <w:t>70</w:t>
            </w:r>
          </w:p>
        </w:tc>
        <w:tc>
          <w:tcPr>
            <w:tcW w:w="823" w:type="dxa"/>
            <w:vAlign w:val="center"/>
          </w:tcPr>
          <w:p>
            <w:pPr>
              <w:keepNext w:val="0"/>
              <w:keepLines w:val="0"/>
              <w:widowControl/>
              <w:suppressLineNumbers w:val="0"/>
              <w:spacing w:before="0" w:beforeAutospacing="0" w:after="0" w:afterAutospacing="0" w:line="240" w:lineRule="exact"/>
              <w:ind w:left="0" w:right="0" w:firstLine="0" w:firstLineChars="0"/>
              <w:jc w:val="center"/>
              <w:rPr>
                <w:rFonts w:hint="default"/>
                <w:sz w:val="21"/>
                <w:szCs w:val="21"/>
              </w:rPr>
            </w:pPr>
            <w:r>
              <w:rPr>
                <w:rFonts w:hint="eastAsia"/>
                <w:sz w:val="21"/>
                <w:szCs w:val="21"/>
              </w:rPr>
              <w:t>35</w:t>
            </w:r>
          </w:p>
        </w:tc>
        <w:tc>
          <w:tcPr>
            <w:tcW w:w="823" w:type="dxa"/>
            <w:vAlign w:val="center"/>
          </w:tcPr>
          <w:p>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240" w:lineRule="auto"/>
              <w:ind w:left="0" w:right="0" w:firstLine="0" w:firstLineChars="0"/>
              <w:jc w:val="center"/>
              <w:rPr>
                <w:rFonts w:hint="default"/>
                <w:sz w:val="21"/>
                <w:szCs w:val="21"/>
              </w:rPr>
            </w:pPr>
            <w:r>
              <w:rPr>
                <w:rFonts w:hint="default" w:ascii="Times New Roman" w:hAnsi="Times New Roman" w:eastAsia="宋体"/>
                <w:sz w:val="21"/>
                <w:szCs w:val="21"/>
              </w:rPr>
              <w:t>60</w:t>
            </w:r>
          </w:p>
        </w:tc>
        <w:tc>
          <w:tcPr>
            <w:tcW w:w="823" w:type="dxa"/>
            <w:vAlign w:val="center"/>
          </w:tcPr>
          <w:p>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240" w:lineRule="auto"/>
              <w:ind w:left="0" w:right="0" w:firstLine="0" w:firstLineChars="0"/>
              <w:jc w:val="center"/>
              <w:rPr>
                <w:rFonts w:hint="default"/>
                <w:sz w:val="21"/>
                <w:szCs w:val="21"/>
              </w:rPr>
            </w:pPr>
            <w:r>
              <w:rPr>
                <w:rFonts w:hint="default" w:ascii="Times New Roman" w:hAnsi="Times New Roman" w:eastAsia="宋体"/>
                <w:sz w:val="21"/>
                <w:szCs w:val="21"/>
              </w:rPr>
              <w:t>4.0</w:t>
            </w:r>
          </w:p>
        </w:tc>
        <w:tc>
          <w:tcPr>
            <w:tcW w:w="823" w:type="dxa"/>
            <w:vAlign w:val="center"/>
          </w:tcPr>
          <w:p>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240" w:lineRule="auto"/>
              <w:ind w:left="0" w:right="0" w:firstLine="0" w:firstLineChars="0"/>
              <w:jc w:val="center"/>
              <w:rPr>
                <w:rFonts w:hint="default"/>
                <w:sz w:val="21"/>
                <w:szCs w:val="21"/>
              </w:rPr>
            </w:pPr>
            <w:r>
              <w:rPr>
                <w:rFonts w:hint="default" w:ascii="Times New Roman" w:hAnsi="Times New Roman" w:eastAsia="宋体"/>
                <w:sz w:val="21"/>
                <w:szCs w:val="21"/>
              </w:rPr>
              <w:t>160</w:t>
            </w:r>
          </w:p>
        </w:tc>
        <w:tc>
          <w:tcPr>
            <w:tcW w:w="828" w:type="dxa"/>
            <w:vAlign w:val="center"/>
          </w:tcPr>
          <w:p>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240" w:lineRule="auto"/>
              <w:ind w:left="0" w:right="0" w:firstLine="0" w:firstLineChars="0"/>
              <w:jc w:val="center"/>
              <w:rPr>
                <w:rFonts w:hint="default"/>
                <w:sz w:val="21"/>
                <w:szCs w:val="21"/>
              </w:rPr>
            </w:pPr>
            <w:r>
              <w:rPr>
                <w:rFonts w:hint="default" w:ascii="Times New Roman" w:hAnsi="Times New Roman" w:eastAsia="宋体"/>
                <w:sz w:val="21"/>
                <w:szCs w:val="21"/>
              </w:rPr>
              <w:t>40</w:t>
            </w:r>
          </w:p>
        </w:tc>
        <w:tc>
          <w:tcPr>
            <w:tcW w:w="2393" w:type="dxa"/>
            <w:vAlign w:val="center"/>
          </w:tcPr>
          <w:p>
            <w:pPr>
              <w:keepNext w:val="0"/>
              <w:keepLines w:val="0"/>
              <w:widowControl/>
              <w:suppressLineNumbers w:val="0"/>
              <w:spacing w:before="0" w:beforeAutospacing="0" w:after="0" w:afterAutospacing="0" w:line="240" w:lineRule="exact"/>
              <w:ind w:left="0" w:right="0" w:firstLine="0" w:firstLineChars="0"/>
              <w:jc w:val="center"/>
              <w:rPr>
                <w:rFonts w:hint="default"/>
                <w:kern w:val="0"/>
                <w:sz w:val="21"/>
                <w:szCs w:val="21"/>
              </w:rPr>
            </w:pPr>
            <w:r>
              <w:rPr>
                <w:rFonts w:hint="eastAsia"/>
                <w:kern w:val="0"/>
                <w:sz w:val="21"/>
                <w:szCs w:val="21"/>
              </w:rPr>
              <w:t>/</w:t>
            </w:r>
          </w:p>
        </w:tc>
      </w:tr>
    </w:tbl>
    <w:p>
      <w:pPr>
        <w:shd w:val="clear" w:color="auto" w:fill="FFFFFF"/>
        <w:spacing w:line="240" w:lineRule="auto"/>
        <w:ind w:firstLine="0" w:firstLineChars="0"/>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注：1.CO的浓度单位是 mg/m</w:t>
      </w:r>
      <w:r>
        <w:rPr>
          <w:rFonts w:hint="default" w:ascii="Times New Roman" w:hAnsi="Times New Roman" w:eastAsia="仿宋" w:cs="Times New Roman"/>
          <w:bCs/>
          <w:sz w:val="21"/>
          <w:szCs w:val="21"/>
          <w:vertAlign w:val="superscript"/>
        </w:rPr>
        <w:t>3</w:t>
      </w:r>
      <w:r>
        <w:rPr>
          <w:rFonts w:hint="default" w:ascii="Times New Roman" w:hAnsi="Times New Roman" w:eastAsia="仿宋" w:cs="Times New Roman"/>
          <w:bCs/>
          <w:sz w:val="21"/>
          <w:szCs w:val="21"/>
        </w:rPr>
        <w:t>，PM</w:t>
      </w:r>
      <w:r>
        <w:rPr>
          <w:rFonts w:hint="default" w:ascii="Times New Roman" w:hAnsi="Times New Roman" w:eastAsia="仿宋" w:cs="Times New Roman"/>
          <w:bCs/>
          <w:sz w:val="21"/>
          <w:szCs w:val="21"/>
          <w:vertAlign w:val="subscript"/>
        </w:rPr>
        <w:t>2.5</w:t>
      </w:r>
      <w:r>
        <w:rPr>
          <w:rFonts w:hint="default" w:ascii="Times New Roman" w:hAnsi="Times New Roman" w:eastAsia="仿宋" w:cs="Times New Roman"/>
          <w:bCs/>
          <w:sz w:val="21"/>
          <w:szCs w:val="21"/>
        </w:rPr>
        <w:t>、PM</w:t>
      </w:r>
      <w:r>
        <w:rPr>
          <w:rFonts w:hint="default" w:ascii="Times New Roman" w:hAnsi="Times New Roman" w:eastAsia="仿宋" w:cs="Times New Roman"/>
          <w:bCs/>
          <w:sz w:val="21"/>
          <w:szCs w:val="21"/>
          <w:vertAlign w:val="subscript"/>
        </w:rPr>
        <w:t>10</w:t>
      </w:r>
      <w:r>
        <w:rPr>
          <w:rFonts w:hint="default" w:ascii="Times New Roman" w:hAnsi="Times New Roman" w:eastAsia="仿宋" w:cs="Times New Roman"/>
          <w:bCs/>
          <w:sz w:val="21"/>
          <w:szCs w:val="21"/>
        </w:rPr>
        <w:t>、NO</w:t>
      </w:r>
      <w:r>
        <w:rPr>
          <w:rFonts w:hint="default" w:ascii="Times New Roman" w:hAnsi="Times New Roman" w:eastAsia="仿宋" w:cs="Times New Roman"/>
          <w:bCs/>
          <w:sz w:val="21"/>
          <w:szCs w:val="21"/>
          <w:vertAlign w:val="subscript"/>
        </w:rPr>
        <w:t>2</w:t>
      </w:r>
      <w:r>
        <w:rPr>
          <w:rFonts w:hint="default" w:ascii="Times New Roman" w:hAnsi="Times New Roman" w:eastAsia="仿宋" w:cs="Times New Roman"/>
          <w:bCs/>
          <w:sz w:val="21"/>
          <w:szCs w:val="21"/>
        </w:rPr>
        <w:t>、SO</w:t>
      </w:r>
      <w:r>
        <w:rPr>
          <w:rFonts w:hint="default" w:ascii="Times New Roman" w:hAnsi="Times New Roman" w:eastAsia="仿宋" w:cs="Times New Roman"/>
          <w:bCs/>
          <w:sz w:val="21"/>
          <w:szCs w:val="21"/>
          <w:vertAlign w:val="subscript"/>
        </w:rPr>
        <w:t>2</w:t>
      </w:r>
      <w:r>
        <w:rPr>
          <w:rFonts w:hint="default" w:ascii="Times New Roman" w:hAnsi="Times New Roman" w:eastAsia="仿宋" w:cs="Times New Roman"/>
          <w:bCs/>
          <w:sz w:val="21"/>
          <w:szCs w:val="21"/>
        </w:rPr>
        <w:t>、O</w:t>
      </w:r>
      <w:r>
        <w:rPr>
          <w:rFonts w:hint="default" w:ascii="Times New Roman" w:hAnsi="Times New Roman" w:eastAsia="仿宋" w:cs="Times New Roman"/>
          <w:bCs/>
          <w:sz w:val="21"/>
          <w:szCs w:val="21"/>
          <w:vertAlign w:val="subscript"/>
        </w:rPr>
        <w:t>3</w:t>
      </w:r>
      <w:r>
        <w:rPr>
          <w:rFonts w:hint="default" w:ascii="Times New Roman" w:hAnsi="Times New Roman" w:eastAsia="仿宋" w:cs="Times New Roman"/>
          <w:bCs/>
          <w:sz w:val="21"/>
          <w:szCs w:val="21"/>
        </w:rPr>
        <w:t>的浓度单位是μg/m</w:t>
      </w:r>
      <w:r>
        <w:rPr>
          <w:rFonts w:hint="default" w:ascii="Times New Roman" w:hAnsi="Times New Roman" w:eastAsia="仿宋" w:cs="Times New Roman"/>
          <w:bCs/>
          <w:sz w:val="21"/>
          <w:szCs w:val="21"/>
          <w:vertAlign w:val="superscript"/>
        </w:rPr>
        <w:t>3</w:t>
      </w:r>
      <w:r>
        <w:rPr>
          <w:rFonts w:hint="default" w:ascii="Times New Roman" w:hAnsi="Times New Roman" w:eastAsia="仿宋" w:cs="Times New Roman"/>
          <w:bCs/>
          <w:sz w:val="21"/>
          <w:szCs w:val="21"/>
        </w:rPr>
        <w:t>；2.CO为24小时平均第95百分位数，O</w:t>
      </w:r>
      <w:r>
        <w:rPr>
          <w:rFonts w:hint="default" w:ascii="Times New Roman" w:hAnsi="Times New Roman" w:eastAsia="仿宋" w:cs="Times New Roman"/>
          <w:bCs/>
          <w:sz w:val="21"/>
          <w:szCs w:val="21"/>
          <w:vertAlign w:val="subscript"/>
        </w:rPr>
        <w:t>3</w:t>
      </w:r>
      <w:r>
        <w:rPr>
          <w:rFonts w:hint="default" w:ascii="Times New Roman" w:hAnsi="Times New Roman" w:eastAsia="仿宋" w:cs="Times New Roman"/>
          <w:bCs/>
          <w:sz w:val="21"/>
          <w:szCs w:val="21"/>
        </w:rPr>
        <w:t>为日最大8小时平均第90百分位数；3.表中CO为24小时均值、O</w:t>
      </w:r>
      <w:r>
        <w:rPr>
          <w:rFonts w:hint="default" w:ascii="Times New Roman" w:hAnsi="Times New Roman" w:eastAsia="仿宋" w:cs="Times New Roman"/>
          <w:bCs/>
          <w:sz w:val="21"/>
          <w:szCs w:val="21"/>
          <w:vertAlign w:val="subscript"/>
        </w:rPr>
        <w:t>3</w:t>
      </w:r>
      <w:r>
        <w:rPr>
          <w:rFonts w:hint="default" w:ascii="Times New Roman" w:hAnsi="Times New Roman" w:eastAsia="仿宋" w:cs="Times New Roman"/>
          <w:bCs/>
          <w:sz w:val="21"/>
          <w:szCs w:val="21"/>
        </w:rPr>
        <w:t>为日最大8小时平均值，其余为年均值。</w:t>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pPr>
      <w:r>
        <w:rPr>
          <w:rFonts w:hint="eastAsia"/>
        </w:rPr>
        <w:t>由上表可见，项目所在</w:t>
      </w:r>
      <w:r>
        <w:rPr>
          <w:rFonts w:hint="eastAsia" w:ascii="Times New Roman" w:hAnsi="Times New Roman" w:cs="Times New Roman"/>
          <w:b w:val="0"/>
          <w:bCs w:val="0"/>
          <w:color w:val="auto"/>
          <w:sz w:val="24"/>
          <w:szCs w:val="24"/>
          <w:lang w:val="en-US" w:eastAsia="zh-CN"/>
        </w:rPr>
        <w:t>区域</w:t>
      </w:r>
      <w:r>
        <w:rPr>
          <w:rFonts w:hint="eastAsia" w:cs="Times New Roman"/>
          <w:b w:val="0"/>
          <w:bCs w:val="0"/>
          <w:color w:val="auto"/>
          <w:sz w:val="24"/>
          <w:szCs w:val="24"/>
          <w:lang w:val="en-US" w:eastAsia="zh-CN"/>
        </w:rPr>
        <w:t>兴隆</w:t>
      </w:r>
      <w:r>
        <w:rPr>
          <w:rFonts w:hint="eastAsia" w:ascii="Times New Roman" w:hAnsi="Times New Roman" w:cs="Times New Roman"/>
          <w:b w:val="0"/>
          <w:bCs w:val="0"/>
          <w:color w:val="auto"/>
          <w:sz w:val="24"/>
          <w:szCs w:val="24"/>
          <w:lang w:val="en-US" w:eastAsia="zh-CN"/>
        </w:rPr>
        <w:t>县</w:t>
      </w:r>
      <w:r>
        <w:rPr>
          <w:rFonts w:hint="default" w:ascii="Times New Roman" w:hAnsi="Times New Roman" w:cs="Times New Roman"/>
          <w:b w:val="0"/>
          <w:bCs w:val="0"/>
          <w:color w:val="auto"/>
          <w:sz w:val="24"/>
          <w:szCs w:val="24"/>
        </w:rPr>
        <w:t>环境空气质量中</w:t>
      </w:r>
      <w:r>
        <w:rPr>
          <w:rFonts w:hint="eastAsia" w:ascii="Times New Roman" w:hAnsi="Times New Roman" w:cs="Times New Roman"/>
          <w:b w:val="0"/>
          <w:bCs w:val="0"/>
          <w:color w:val="auto"/>
          <w:sz w:val="24"/>
          <w:szCs w:val="24"/>
          <w:lang w:val="en-US" w:eastAsia="zh-CN"/>
        </w:rPr>
        <w:t>六项基本污染物浓度</w:t>
      </w:r>
      <w:r>
        <w:rPr>
          <w:rFonts w:hint="default" w:ascii="Times New Roman" w:hAnsi="Times New Roman" w:cs="Times New Roman"/>
          <w:b w:val="0"/>
          <w:bCs w:val="0"/>
          <w:color w:val="auto"/>
          <w:sz w:val="24"/>
          <w:szCs w:val="24"/>
        </w:rPr>
        <w:t>均符合《环境空气质量标准》（GB3095-2012）</w:t>
      </w:r>
      <w:r>
        <w:rPr>
          <w:rFonts w:hint="default" w:ascii="Times New Roman" w:hAnsi="Times New Roman" w:cs="Times New Roman"/>
          <w:b w:val="0"/>
          <w:bCs w:val="0"/>
          <w:color w:val="auto"/>
          <w:sz w:val="24"/>
          <w:szCs w:val="24"/>
          <w:lang w:val="en-US" w:eastAsia="zh-CN"/>
        </w:rPr>
        <w:t>及其修改单中的</w:t>
      </w:r>
      <w:r>
        <w:rPr>
          <w:rFonts w:hint="default" w:ascii="Times New Roman" w:hAnsi="Times New Roman" w:cs="Times New Roman"/>
          <w:b w:val="0"/>
          <w:bCs w:val="0"/>
          <w:color w:val="auto"/>
          <w:sz w:val="24"/>
          <w:szCs w:val="24"/>
        </w:rPr>
        <w:t>二级标准</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项目所在区域为环境空气质量达标区。</w:t>
      </w:r>
    </w:p>
    <w:p>
      <w:pPr>
        <w:pStyle w:val="6"/>
      </w:pPr>
      <w:bookmarkStart w:id="390" w:name="_Toc26691"/>
      <w:bookmarkStart w:id="391" w:name="_Toc426554620"/>
      <w:bookmarkStart w:id="392" w:name="_Toc470785871"/>
      <w:r>
        <w:t>4.3.2 地表水环境质量现状评价</w:t>
      </w:r>
      <w:bookmarkEnd w:id="390"/>
      <w:bookmarkEnd w:id="391"/>
      <w:bookmarkEnd w:id="392"/>
    </w:p>
    <w:p>
      <w:pPr>
        <w:pStyle w:val="7"/>
        <w:bidi w:val="0"/>
      </w:pPr>
      <w:r>
        <w:rPr>
          <w:rFonts w:hint="eastAsia"/>
          <w:lang w:val="en-US" w:eastAsia="zh-CN"/>
        </w:rPr>
        <w:t>4.3.2.1</w:t>
      </w:r>
      <w:r>
        <w:rPr>
          <w:rFonts w:hint="eastAsia"/>
        </w:rPr>
        <w:t>水质现状调查</w:t>
      </w:r>
    </w:p>
    <w:p>
      <w:pPr>
        <w:rPr>
          <w:rFonts w:hint="default"/>
          <w:sz w:val="24"/>
          <w:szCs w:val="24"/>
        </w:rPr>
      </w:pPr>
      <w:r>
        <w:rPr>
          <w:rFonts w:hint="default"/>
          <w:sz w:val="24"/>
          <w:szCs w:val="24"/>
        </w:rPr>
        <w:t>区域河流水体为柳河。根据河北省水利厅、河北省环境保护厅《关于调整公布&lt;河北省水环境功能区划的通知&gt;》（冀水资[2017]127号），柳河属于III类水体，执行《地表水环境质量标准》（GB3838-2002）III类水质标准。</w:t>
      </w:r>
      <w:r>
        <w:rPr>
          <w:rFonts w:hint="eastAsia"/>
          <w:snapToGrid w:val="0"/>
          <w:color w:val="000000"/>
        </w:rPr>
        <w:t>评价引用</w:t>
      </w:r>
      <w:r>
        <w:rPr>
          <w:snapToGrid w:val="0"/>
          <w:color w:val="000000"/>
        </w:rPr>
        <w:t>《2021年承德市</w:t>
      </w:r>
      <w:r>
        <w:rPr>
          <w:rFonts w:hint="eastAsia"/>
          <w:snapToGrid w:val="0"/>
          <w:color w:val="000000"/>
        </w:rPr>
        <w:t>生态</w:t>
      </w:r>
      <w:r>
        <w:rPr>
          <w:snapToGrid w:val="0"/>
          <w:color w:val="000000"/>
        </w:rPr>
        <w:t>环境状况公报》</w:t>
      </w:r>
      <w:r>
        <w:rPr>
          <w:rFonts w:hint="eastAsia"/>
          <w:snapToGrid w:val="0"/>
          <w:color w:val="000000"/>
        </w:rPr>
        <w:t>（20</w:t>
      </w:r>
      <w:r>
        <w:rPr>
          <w:snapToGrid w:val="0"/>
          <w:color w:val="000000"/>
        </w:rPr>
        <w:t>22</w:t>
      </w:r>
      <w:r>
        <w:rPr>
          <w:rFonts w:hint="eastAsia"/>
          <w:snapToGrid w:val="0"/>
          <w:color w:val="000000"/>
        </w:rPr>
        <w:t>年</w:t>
      </w:r>
      <w:r>
        <w:rPr>
          <w:snapToGrid w:val="0"/>
          <w:color w:val="000000"/>
        </w:rPr>
        <w:t>4</w:t>
      </w:r>
      <w:r>
        <w:rPr>
          <w:rFonts w:hint="eastAsia"/>
          <w:snapToGrid w:val="0"/>
          <w:color w:val="000000"/>
        </w:rPr>
        <w:t>月，承德市生态环境局）</w:t>
      </w:r>
      <w:r>
        <w:rPr>
          <w:snapToGrid w:val="0"/>
          <w:color w:val="000000"/>
        </w:rPr>
        <w:t>中</w:t>
      </w:r>
      <w:r>
        <w:rPr>
          <w:rFonts w:hint="eastAsia"/>
          <w:snapToGrid w:val="0"/>
          <w:color w:val="000000"/>
          <w:lang w:eastAsia="zh-CN"/>
        </w:rPr>
        <w:t>柳河</w:t>
      </w:r>
      <w:r>
        <w:rPr>
          <w:rFonts w:hint="eastAsia"/>
          <w:snapToGrid w:val="0"/>
          <w:color w:val="000000"/>
        </w:rPr>
        <w:t>水质及常规断面监测数据情况</w:t>
      </w:r>
      <w:r>
        <w:rPr>
          <w:rFonts w:hint="eastAsia"/>
          <w:snapToGrid w:val="0"/>
          <w:color w:val="000000"/>
          <w:lang w:eastAsia="zh-CN"/>
        </w:rPr>
        <w:t>。</w:t>
      </w:r>
    </w:p>
    <w:p>
      <w:pPr>
        <w:ind w:firstLine="480"/>
        <w:rPr>
          <w:rFonts w:hint="eastAsia" w:ascii="Times New Roman" w:hAnsi="Times New Roman" w:eastAsia="宋体" w:cs="Times New Roman"/>
          <w:color w:val="auto"/>
          <w:sz w:val="24"/>
          <w:lang w:eastAsia="zh-CN"/>
        </w:rPr>
      </w:pPr>
      <w:r>
        <w:rPr>
          <w:rFonts w:hint="default"/>
          <w:sz w:val="24"/>
          <w:szCs w:val="24"/>
        </w:rPr>
        <w:t>柳河发源于兴隆县六里坪山，经兴隆县小东区、土城头至北马圈，后由西南流经鹰手营子矿区，在大营子乡入承德县境内，复入兴隆县汇入滦河。干流长度114公里，流域面积1199平方公里。柳河共布设地表水常规监测断面3个，2021年三块石、大杖子</w:t>
      </w:r>
      <w:r>
        <w:rPr>
          <w:rFonts w:hint="eastAsia"/>
          <w:sz w:val="24"/>
          <w:szCs w:val="24"/>
          <w:lang w:eastAsia="zh-CN"/>
        </w:rPr>
        <w:t>（二）</w:t>
      </w:r>
      <w:r>
        <w:rPr>
          <w:rFonts w:hint="default"/>
          <w:sz w:val="24"/>
          <w:szCs w:val="24"/>
        </w:rPr>
        <w:t>断面水质类别均为I类，26#桥断面水质类别为II类，柳河流域总体水质状况为优，与2020年相比继续保持优的水质。</w:t>
      </w:r>
    </w:p>
    <w:p>
      <w:pPr>
        <w:adjustRightInd w:val="0"/>
        <w:snapToGrid w:val="0"/>
        <w:spacing w:line="360" w:lineRule="auto"/>
        <w:ind w:firstLine="0" w:firstLineChars="0"/>
        <w:jc w:val="center"/>
        <w:rPr>
          <w:rFonts w:ascii="Times New Roman" w:hAnsi="Times New Roman" w:eastAsia="宋体" w:cs="Times New Roman"/>
          <w:b/>
          <w:bCs/>
          <w:color w:val="auto"/>
          <w:sz w:val="21"/>
          <w:szCs w:val="21"/>
        </w:rPr>
      </w:pPr>
      <w:r>
        <w:rPr>
          <w:rFonts w:ascii="Times New Roman" w:hAnsi="Times New Roman" w:cs="Times New Roman"/>
          <w:b/>
          <w:color w:val="auto"/>
          <w:sz w:val="21"/>
          <w:szCs w:val="21"/>
        </w:rPr>
        <w:t>表</w:t>
      </w:r>
      <w:r>
        <w:rPr>
          <w:rFonts w:hint="eastAsia" w:cs="Times New Roman"/>
          <w:b/>
          <w:color w:val="auto"/>
          <w:sz w:val="21"/>
          <w:szCs w:val="21"/>
          <w:lang w:val="en-US" w:eastAsia="zh-CN"/>
        </w:rPr>
        <w:t>4.3-2</w:t>
      </w:r>
      <w:r>
        <w:rPr>
          <w:rFonts w:hint="eastAsia" w:ascii="Times New Roman" w:hAnsi="Times New Roman" w:cs="Times New Roman"/>
          <w:b/>
          <w:color w:val="auto"/>
          <w:sz w:val="21"/>
          <w:szCs w:val="21"/>
        </w:rPr>
        <w:t xml:space="preserve"> </w:t>
      </w:r>
      <w:r>
        <w:rPr>
          <w:rFonts w:ascii="Times New Roman" w:hAnsi="Times New Roman" w:cs="Times New Roman"/>
          <w:b/>
          <w:color w:val="auto"/>
          <w:sz w:val="21"/>
          <w:szCs w:val="21"/>
        </w:rPr>
        <w:t xml:space="preserve"> 20</w:t>
      </w:r>
      <w:r>
        <w:rPr>
          <w:rFonts w:hint="eastAsia" w:ascii="Times New Roman" w:hAnsi="Times New Roman" w:cs="Times New Roman"/>
          <w:b/>
          <w:color w:val="auto"/>
          <w:sz w:val="21"/>
          <w:szCs w:val="21"/>
        </w:rPr>
        <w:t>2</w:t>
      </w:r>
      <w:r>
        <w:rPr>
          <w:rFonts w:hint="eastAsia" w:ascii="Times New Roman" w:hAnsi="Times New Roman" w:cs="Times New Roman"/>
          <w:b/>
          <w:color w:val="auto"/>
          <w:sz w:val="21"/>
          <w:szCs w:val="21"/>
          <w:lang w:val="en-US" w:eastAsia="zh-CN"/>
        </w:rPr>
        <w:t>1</w:t>
      </w:r>
      <w:r>
        <w:rPr>
          <w:rFonts w:ascii="Times New Roman" w:hAnsi="Times New Roman" w:cs="Times New Roman"/>
          <w:b/>
          <w:color w:val="auto"/>
          <w:sz w:val="21"/>
          <w:szCs w:val="21"/>
        </w:rPr>
        <w:t>年</w:t>
      </w:r>
      <w:r>
        <w:rPr>
          <w:rFonts w:hint="eastAsia" w:cs="Times New Roman"/>
          <w:b/>
          <w:color w:val="auto"/>
          <w:sz w:val="21"/>
          <w:szCs w:val="21"/>
          <w:lang w:eastAsia="zh-CN"/>
        </w:rPr>
        <w:t>柳河</w:t>
      </w:r>
      <w:r>
        <w:rPr>
          <w:rFonts w:ascii="Times New Roman" w:hAnsi="Times New Roman" w:eastAsia="宋体" w:cs="Times New Roman"/>
          <w:b/>
          <w:bCs/>
          <w:color w:val="auto"/>
          <w:sz w:val="21"/>
          <w:szCs w:val="21"/>
        </w:rPr>
        <w:t>监测断面水质评价结果表</w:t>
      </w:r>
    </w:p>
    <w:tbl>
      <w:tblPr>
        <w:tblStyle w:val="39"/>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333"/>
        <w:gridCol w:w="968"/>
        <w:gridCol w:w="895"/>
        <w:gridCol w:w="1509"/>
        <w:gridCol w:w="1286"/>
        <w:gridCol w:w="1012"/>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河流名称</w:t>
            </w:r>
          </w:p>
        </w:tc>
        <w:tc>
          <w:tcPr>
            <w:tcW w:w="767"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断面名称</w:t>
            </w:r>
          </w:p>
        </w:tc>
        <w:tc>
          <w:tcPr>
            <w:tcW w:w="2680" w:type="pct"/>
            <w:gridSpan w:val="4"/>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rPr>
              <w:t>各监测断面水质情况</w:t>
            </w:r>
          </w:p>
        </w:tc>
        <w:tc>
          <w:tcPr>
            <w:tcW w:w="582"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20</w:t>
            </w:r>
            <w:r>
              <w:rPr>
                <w:rFonts w:hint="eastAsia" w:ascii="Times New Roman" w:hAnsi="Times New Roman" w:eastAsia="宋体" w:cs="Times New Roman"/>
                <w:b/>
                <w:bCs/>
                <w:color w:val="auto"/>
                <w:sz w:val="21"/>
                <w:szCs w:val="21"/>
                <w:lang w:val="en-US" w:eastAsia="zh-CN"/>
              </w:rPr>
              <w:t>20年</w:t>
            </w:r>
            <w:r>
              <w:rPr>
                <w:rFonts w:hint="eastAsia" w:ascii="Times New Roman" w:hAnsi="Times New Roman" w:eastAsia="宋体" w:cs="Times New Roman"/>
                <w:b/>
                <w:bCs/>
                <w:color w:val="auto"/>
                <w:sz w:val="21"/>
                <w:szCs w:val="21"/>
              </w:rPr>
              <w:t>河流</w:t>
            </w:r>
            <w:r>
              <w:rPr>
                <w:rFonts w:hint="default" w:ascii="Times New Roman" w:hAnsi="Times New Roman" w:eastAsia="宋体" w:cs="Times New Roman"/>
                <w:b/>
                <w:bCs/>
                <w:color w:val="auto"/>
                <w:sz w:val="21"/>
                <w:szCs w:val="21"/>
              </w:rPr>
              <w:t>水质状况</w:t>
            </w:r>
          </w:p>
        </w:tc>
        <w:tc>
          <w:tcPr>
            <w:tcW w:w="603"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202</w:t>
            </w:r>
            <w:r>
              <w:rPr>
                <w:rFonts w:hint="eastAsia"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rPr>
              <w:t>年河流</w:t>
            </w:r>
            <w:r>
              <w:rPr>
                <w:rFonts w:hint="default" w:ascii="Times New Roman" w:hAnsi="Times New Roman" w:eastAsia="宋体" w:cs="Times New Roman"/>
                <w:b/>
                <w:bCs/>
                <w:color w:val="auto"/>
                <w:sz w:val="21"/>
                <w:szCs w:val="21"/>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p>
        </w:tc>
        <w:tc>
          <w:tcPr>
            <w:tcW w:w="767"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p>
        </w:tc>
        <w:tc>
          <w:tcPr>
            <w:tcW w:w="55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rPr>
              <w:t>20</w:t>
            </w:r>
            <w:r>
              <w:rPr>
                <w:rFonts w:hint="eastAsia" w:ascii="Times New Roman" w:hAnsi="Times New Roman" w:cs="Times New Roman"/>
                <w:b/>
                <w:bCs/>
                <w:color w:val="auto"/>
                <w:sz w:val="21"/>
                <w:szCs w:val="21"/>
                <w:lang w:val="en-US" w:eastAsia="zh-CN"/>
              </w:rPr>
              <w:t>20</w:t>
            </w:r>
            <w:r>
              <w:rPr>
                <w:rFonts w:hint="eastAsia" w:ascii="Times New Roman" w:hAnsi="Times New Roman" w:cs="Times New Roman"/>
                <w:b/>
                <w:bCs/>
                <w:color w:val="auto"/>
                <w:sz w:val="21"/>
                <w:szCs w:val="21"/>
              </w:rPr>
              <w:t>年</w:t>
            </w:r>
          </w:p>
        </w:tc>
        <w:tc>
          <w:tcPr>
            <w:tcW w:w="51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rPr>
              <w:t>202</w:t>
            </w:r>
            <w:r>
              <w:rPr>
                <w:rFonts w:hint="eastAsia" w:ascii="Times New Roman" w:hAnsi="Times New Roman" w:cs="Times New Roman"/>
                <w:b/>
                <w:bCs/>
                <w:color w:val="auto"/>
                <w:sz w:val="21"/>
                <w:szCs w:val="21"/>
                <w:lang w:val="en-US" w:eastAsia="zh-CN"/>
              </w:rPr>
              <w:t>1</w:t>
            </w:r>
            <w:r>
              <w:rPr>
                <w:rFonts w:hint="eastAsia" w:ascii="Times New Roman" w:hAnsi="Times New Roman" w:cs="Times New Roman"/>
                <w:b/>
                <w:bCs/>
                <w:color w:val="auto"/>
                <w:sz w:val="21"/>
                <w:szCs w:val="21"/>
              </w:rPr>
              <w:t>年</w:t>
            </w:r>
          </w:p>
        </w:tc>
        <w:tc>
          <w:tcPr>
            <w:tcW w:w="8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rPr>
              <w:t>水质达标情况</w:t>
            </w:r>
          </w:p>
        </w:tc>
        <w:tc>
          <w:tcPr>
            <w:tcW w:w="74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sz w:val="21"/>
                <w:szCs w:val="21"/>
              </w:rPr>
              <w:t>主要</w:t>
            </w:r>
            <w:r>
              <w:rPr>
                <w:rFonts w:hint="default" w:ascii="Times New Roman" w:hAnsi="Times New Roman" w:eastAsia="宋体" w:cs="Times New Roman"/>
                <w:b/>
                <w:bCs/>
                <w:color w:val="auto"/>
                <w:sz w:val="21"/>
                <w:szCs w:val="21"/>
              </w:rPr>
              <w:t>污染物</w:t>
            </w:r>
          </w:p>
        </w:tc>
        <w:tc>
          <w:tcPr>
            <w:tcW w:w="582"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p>
        </w:tc>
        <w:tc>
          <w:tcPr>
            <w:tcW w:w="603"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Merge w:val="restart"/>
            <w:vAlign w:val="center"/>
          </w:tcPr>
          <w:p>
            <w:pPr>
              <w:keepNext w:val="0"/>
              <w:keepLines w:val="0"/>
              <w:suppressLineNumbers w:val="0"/>
              <w:adjustRightInd/>
              <w:snapToGrid/>
              <w:spacing w:before="0" w:beforeAutospacing="0" w:after="0" w:afterAutospacing="0" w:line="312" w:lineRule="exact"/>
              <w:ind w:left="0" w:right="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潮河</w:t>
            </w:r>
          </w:p>
        </w:tc>
        <w:tc>
          <w:tcPr>
            <w:tcW w:w="767" w:type="pct"/>
            <w:vAlign w:val="center"/>
          </w:tcPr>
          <w:p>
            <w:pPr>
              <w:keepNext w:val="0"/>
              <w:keepLines w:val="0"/>
              <w:suppressLineNumbers w:val="0"/>
              <w:adjustRightInd/>
              <w:snapToGrid/>
              <w:spacing w:before="0" w:beforeAutospacing="0" w:after="0" w:afterAutospacing="0" w:line="312" w:lineRule="exact"/>
              <w:ind w:left="0" w:right="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26#桥</w:t>
            </w:r>
          </w:p>
        </w:tc>
        <w:tc>
          <w:tcPr>
            <w:tcW w:w="557"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II</w:t>
            </w:r>
          </w:p>
        </w:tc>
        <w:tc>
          <w:tcPr>
            <w:tcW w:w="515"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II</w:t>
            </w:r>
          </w:p>
        </w:tc>
        <w:tc>
          <w:tcPr>
            <w:tcW w:w="8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c>
          <w:tcPr>
            <w:tcW w:w="74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82"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优</w:t>
            </w:r>
          </w:p>
        </w:tc>
        <w:tc>
          <w:tcPr>
            <w:tcW w:w="603" w:type="pct"/>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Merge w:val="continue"/>
            <w:vAlign w:val="center"/>
          </w:tcPr>
          <w:p>
            <w:pPr>
              <w:keepNext w:val="0"/>
              <w:keepLines w:val="0"/>
              <w:suppressLineNumbers w:val="0"/>
              <w:adjustRightInd/>
              <w:snapToGrid/>
              <w:spacing w:before="0" w:beforeAutospacing="0" w:after="0" w:afterAutospacing="0" w:line="312" w:lineRule="exact"/>
              <w:ind w:left="0" w:right="0" w:firstLine="0" w:firstLineChars="0"/>
              <w:jc w:val="center"/>
              <w:rPr>
                <w:rFonts w:hint="default" w:ascii="Calibri" w:hAnsi="Calibri" w:cs="Times New Roman"/>
                <w:color w:val="auto"/>
                <w:sz w:val="21"/>
                <w:szCs w:val="21"/>
              </w:rPr>
            </w:pPr>
          </w:p>
        </w:tc>
        <w:tc>
          <w:tcPr>
            <w:tcW w:w="767" w:type="pct"/>
            <w:vAlign w:val="center"/>
          </w:tcPr>
          <w:p>
            <w:pPr>
              <w:keepNext w:val="0"/>
              <w:keepLines w:val="0"/>
              <w:suppressLineNumbers w:val="0"/>
              <w:adjustRightInd/>
              <w:snapToGrid/>
              <w:spacing w:before="0" w:beforeAutospacing="0" w:after="0" w:afterAutospacing="0" w:line="312" w:lineRule="exact"/>
              <w:ind w:left="0" w:right="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三块石</w:t>
            </w:r>
          </w:p>
        </w:tc>
        <w:tc>
          <w:tcPr>
            <w:tcW w:w="557"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II</w:t>
            </w:r>
          </w:p>
        </w:tc>
        <w:tc>
          <w:tcPr>
            <w:tcW w:w="515"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Ⅰ</w:t>
            </w:r>
          </w:p>
        </w:tc>
        <w:tc>
          <w:tcPr>
            <w:tcW w:w="8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c>
          <w:tcPr>
            <w:tcW w:w="74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82"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603"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7" w:type="pct"/>
            <w:vMerge w:val="continue"/>
            <w:vAlign w:val="center"/>
          </w:tcPr>
          <w:p>
            <w:pPr>
              <w:keepNext w:val="0"/>
              <w:keepLines w:val="0"/>
              <w:suppressLineNumbers w:val="0"/>
              <w:adjustRightInd/>
              <w:snapToGrid/>
              <w:spacing w:before="0" w:beforeAutospacing="0" w:after="0" w:afterAutospacing="0" w:line="312" w:lineRule="exact"/>
              <w:ind w:left="0" w:right="0" w:firstLine="0" w:firstLineChars="0"/>
              <w:jc w:val="center"/>
              <w:rPr>
                <w:rFonts w:hint="default" w:ascii="Calibri" w:hAnsi="Calibri" w:cs="Times New Roman"/>
                <w:color w:val="auto"/>
                <w:sz w:val="21"/>
                <w:szCs w:val="21"/>
              </w:rPr>
            </w:pPr>
            <w:bookmarkStart w:id="393" w:name="_Toc286934658"/>
            <w:bookmarkStart w:id="394" w:name="_Toc332632563"/>
            <w:bookmarkStart w:id="395" w:name="_Toc282946146"/>
            <w:bookmarkStart w:id="396" w:name="_Toc426554621"/>
            <w:bookmarkStart w:id="397" w:name="_Toc308012397"/>
            <w:bookmarkStart w:id="398" w:name="_Toc326754968"/>
            <w:bookmarkStart w:id="399" w:name="_Toc470785872"/>
            <w:bookmarkStart w:id="400" w:name="_Toc283110191"/>
            <w:bookmarkStart w:id="401" w:name="_Toc16997"/>
            <w:bookmarkStart w:id="402" w:name="_Toc282959716"/>
            <w:bookmarkStart w:id="403" w:name="_Toc286835723"/>
          </w:p>
        </w:tc>
        <w:tc>
          <w:tcPr>
            <w:tcW w:w="767" w:type="pct"/>
            <w:vAlign w:val="center"/>
          </w:tcPr>
          <w:p>
            <w:pPr>
              <w:keepNext w:val="0"/>
              <w:keepLines w:val="0"/>
              <w:suppressLineNumbers w:val="0"/>
              <w:adjustRightInd/>
              <w:snapToGrid/>
              <w:spacing w:before="0" w:beforeAutospacing="0" w:after="0" w:afterAutospacing="0" w:line="312" w:lineRule="exact"/>
              <w:ind w:left="0" w:right="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大杖子（二）</w:t>
            </w:r>
          </w:p>
        </w:tc>
        <w:tc>
          <w:tcPr>
            <w:tcW w:w="557"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Ⅰ</w:t>
            </w:r>
          </w:p>
        </w:tc>
        <w:tc>
          <w:tcPr>
            <w:tcW w:w="515" w:type="pct"/>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Ⅰ</w:t>
            </w:r>
          </w:p>
        </w:tc>
        <w:tc>
          <w:tcPr>
            <w:tcW w:w="868"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740" w:type="pc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2"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c>
          <w:tcPr>
            <w:tcW w:w="603" w:type="pct"/>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p>
        </w:tc>
      </w:tr>
    </w:tbl>
    <w:p>
      <w:pPr>
        <w:pStyle w:val="7"/>
        <w:keepNext/>
        <w:keepLines/>
        <w:pageBreakBefore w:val="0"/>
        <w:widowControl w:val="0"/>
        <w:kinsoku/>
        <w:wordWrap/>
        <w:overflowPunct/>
        <w:topLinePunct w:val="0"/>
        <w:autoSpaceDE/>
        <w:autoSpaceDN/>
        <w:bidi w:val="0"/>
        <w:adjustRightInd w:val="0"/>
        <w:snapToGrid w:val="0"/>
        <w:spacing w:before="164" w:beforeLines="50"/>
        <w:textAlignment w:val="auto"/>
        <w:rPr>
          <w:rFonts w:hint="default"/>
          <w:lang w:val="en-US" w:eastAsia="zh-CN"/>
        </w:rPr>
      </w:pPr>
      <w:r>
        <w:rPr>
          <w:rFonts w:hint="eastAsia"/>
          <w:lang w:val="en-US" w:eastAsia="zh-CN"/>
        </w:rPr>
        <w:t>4.3.2.2 水资源与开发利用情况</w:t>
      </w:r>
    </w:p>
    <w:p>
      <w:r>
        <w:rPr>
          <w:rFonts w:hint="eastAsia"/>
          <w:lang w:eastAsia="zh-CN"/>
        </w:rPr>
        <w:t>对照《关于调整公布&lt;河北省水环境功能区划的通知&gt;》（冀水资[2017]127号），项目所在区域属于柳河承德开发利用区，流域长度</w:t>
      </w:r>
      <w:r>
        <w:rPr>
          <w:rFonts w:hint="eastAsia"/>
          <w:lang w:val="en-US" w:eastAsia="zh-CN"/>
        </w:rPr>
        <w:t>33km，项目所在区域上游河段涉及的用水户主要为：居民生活、农田灌溉等。</w:t>
      </w:r>
      <w:r>
        <w:rPr>
          <w:rFonts w:hint="eastAsia"/>
        </w:rPr>
        <w:t>流域水资源主要依靠降水，且年内分配不均衡性凸显，汛期占全年降水量的80%以上，期间洪水很难利用，枯季无水可用。流域农业种植以传统的地面灌溉为主，用水效率整体偏低。</w:t>
      </w:r>
    </w:p>
    <w:p>
      <w:pPr>
        <w:pStyle w:val="6"/>
        <w:keepNext/>
        <w:keepLines/>
        <w:pageBreakBefore w:val="0"/>
        <w:widowControl w:val="0"/>
        <w:kinsoku/>
        <w:wordWrap/>
        <w:overflowPunct/>
        <w:topLinePunct w:val="0"/>
        <w:autoSpaceDE/>
        <w:autoSpaceDN/>
        <w:bidi w:val="0"/>
        <w:adjustRightInd w:val="0"/>
        <w:snapToGrid w:val="0"/>
        <w:textAlignment w:val="auto"/>
        <w:rPr>
          <w:highlight w:val="none"/>
        </w:rPr>
      </w:pPr>
      <w:bookmarkStart w:id="404" w:name="_Toc21640"/>
      <w:r>
        <w:rPr>
          <w:highlight w:val="none"/>
        </w:rPr>
        <w:t>4.3.3 地下水质量现状评价</w:t>
      </w:r>
      <w:bookmarkEnd w:id="393"/>
      <w:bookmarkEnd w:id="394"/>
      <w:bookmarkEnd w:id="395"/>
      <w:bookmarkEnd w:id="396"/>
      <w:bookmarkEnd w:id="397"/>
      <w:bookmarkEnd w:id="398"/>
      <w:bookmarkEnd w:id="399"/>
      <w:bookmarkEnd w:id="400"/>
      <w:bookmarkEnd w:id="401"/>
      <w:bookmarkEnd w:id="402"/>
      <w:bookmarkEnd w:id="403"/>
      <w:bookmarkEnd w:id="404"/>
    </w:p>
    <w:p>
      <w:pPr>
        <w:bidi w:val="0"/>
        <w:rPr>
          <w:rFonts w:hint="eastAsia"/>
          <w:lang w:eastAsia="zh-CN"/>
        </w:rPr>
      </w:pPr>
      <w:bookmarkStart w:id="405" w:name="_Toc269200638"/>
      <w:r>
        <w:rPr>
          <w:rFonts w:hint="eastAsia"/>
          <w:lang w:eastAsia="zh-CN"/>
        </w:rPr>
        <w:t>为了解项目区域地下水质量现状，委托辽宁鹏宇环境监测有限公司对区域地下水质量进行了现状</w:t>
      </w:r>
      <w:r>
        <w:rPr>
          <w:rFonts w:hint="eastAsia"/>
          <w:highlight w:val="none"/>
          <w:lang w:eastAsia="zh-CN"/>
        </w:rPr>
        <w:t>监测，并出具了《兴隆三块石断面区域环境综合整治工程环境质量现状检测报告》（辽鹏环测字PY2209488-001号）。</w:t>
      </w:r>
    </w:p>
    <w:p>
      <w:pPr>
        <w:pStyle w:val="7"/>
        <w:ind w:firstLine="0" w:firstLineChars="0"/>
        <w:rPr>
          <w:rFonts w:eastAsia="宋体"/>
          <w:szCs w:val="24"/>
        </w:rPr>
      </w:pPr>
      <w:r>
        <w:rPr>
          <w:rFonts w:eastAsia="宋体"/>
          <w:szCs w:val="24"/>
        </w:rPr>
        <w:t>4.3.3.1 监测点位布置</w:t>
      </w:r>
    </w:p>
    <w:p>
      <w:pPr>
        <w:ind w:firstLine="480"/>
      </w:pPr>
      <w:r>
        <w:t>项目地下水设置地下水监测点3个，分别为：</w:t>
      </w:r>
    </w:p>
    <w:p>
      <w:pPr>
        <w:bidi w:val="0"/>
        <w:rPr>
          <w:rFonts w:hint="eastAsia"/>
        </w:rPr>
      </w:pPr>
      <w:r>
        <w:rPr>
          <w:rFonts w:hint="eastAsia"/>
        </w:rPr>
        <w:t>dx1#</w:t>
      </w:r>
      <w:r>
        <w:rPr>
          <w:rFonts w:hint="eastAsia"/>
          <w:lang w:val="en-US" w:eastAsia="zh-CN"/>
        </w:rPr>
        <w:t>--</w:t>
      </w:r>
      <w:r>
        <w:rPr>
          <w:rFonts w:hint="eastAsia"/>
        </w:rPr>
        <w:t>上游杨树底下村民井</w:t>
      </w:r>
    </w:p>
    <w:p>
      <w:pPr>
        <w:bidi w:val="0"/>
        <w:rPr>
          <w:rFonts w:hint="eastAsia"/>
        </w:rPr>
      </w:pPr>
      <w:r>
        <w:rPr>
          <w:rFonts w:hint="eastAsia"/>
        </w:rPr>
        <w:t>dx2#</w:t>
      </w:r>
      <w:r>
        <w:rPr>
          <w:rFonts w:hint="eastAsia"/>
          <w:lang w:val="en-US" w:eastAsia="zh-CN"/>
        </w:rPr>
        <w:t>--</w:t>
      </w:r>
      <w:r>
        <w:rPr>
          <w:rFonts w:hint="eastAsia"/>
        </w:rPr>
        <w:t>中游三块石村民井</w:t>
      </w:r>
    </w:p>
    <w:p>
      <w:pPr>
        <w:bidi w:val="0"/>
        <w:rPr>
          <w:rFonts w:hint="eastAsia"/>
        </w:rPr>
      </w:pPr>
      <w:r>
        <w:rPr>
          <w:rFonts w:hint="eastAsia"/>
        </w:rPr>
        <w:t>dx3#</w:t>
      </w:r>
      <w:r>
        <w:rPr>
          <w:rFonts w:hint="eastAsia"/>
          <w:lang w:val="en-US" w:eastAsia="zh-CN"/>
        </w:rPr>
        <w:t>--</w:t>
      </w:r>
      <w:r>
        <w:rPr>
          <w:rFonts w:hint="eastAsia"/>
        </w:rPr>
        <w:t>下游三块石村民井</w:t>
      </w:r>
    </w:p>
    <w:p>
      <w:pPr>
        <w:pStyle w:val="7"/>
        <w:ind w:firstLine="0" w:firstLineChars="0"/>
        <w:rPr>
          <w:rFonts w:eastAsia="宋体"/>
          <w:szCs w:val="24"/>
        </w:rPr>
      </w:pPr>
      <w:bookmarkStart w:id="406" w:name="_Toc426554623"/>
      <w:r>
        <w:rPr>
          <w:rFonts w:eastAsia="宋体"/>
          <w:szCs w:val="24"/>
        </w:rPr>
        <w:t>4.3.3.2 监测因子</w:t>
      </w:r>
      <w:bookmarkEnd w:id="406"/>
    </w:p>
    <w:p>
      <w:pPr>
        <w:ind w:firstLine="480"/>
        <w:rPr>
          <w:rFonts w:hint="eastAsia"/>
          <w:lang w:val="en-US" w:eastAsia="zh-CN"/>
        </w:rPr>
      </w:pPr>
      <w:r>
        <w:t>K</w:t>
      </w:r>
      <w:r>
        <w:rPr>
          <w:vertAlign w:val="superscript"/>
        </w:rPr>
        <w:t>+</w:t>
      </w:r>
      <w:r>
        <w:t>、Na</w:t>
      </w:r>
      <w:r>
        <w:rPr>
          <w:vertAlign w:val="superscript"/>
        </w:rPr>
        <w:t>+</w:t>
      </w:r>
      <w:r>
        <w:t>、Ca</w:t>
      </w:r>
      <w:r>
        <w:rPr>
          <w:vertAlign w:val="superscript"/>
        </w:rPr>
        <w:t>2+</w:t>
      </w:r>
      <w:r>
        <w:t>、Mg</w:t>
      </w:r>
      <w:r>
        <w:rPr>
          <w:vertAlign w:val="superscript"/>
        </w:rPr>
        <w:t>2+</w:t>
      </w:r>
      <w:r>
        <w:t>、CO</w:t>
      </w:r>
      <w:r>
        <w:rPr>
          <w:vertAlign w:val="subscript"/>
        </w:rPr>
        <w:t>3</w:t>
      </w:r>
      <w:r>
        <w:rPr>
          <w:vertAlign w:val="superscript"/>
        </w:rPr>
        <w:t>2-</w:t>
      </w:r>
      <w:r>
        <w:t>、HCO</w:t>
      </w:r>
      <w:r>
        <w:rPr>
          <w:vertAlign w:val="subscript"/>
        </w:rPr>
        <w:t>3</w:t>
      </w:r>
      <w:r>
        <w:rPr>
          <w:vertAlign w:val="superscript"/>
        </w:rPr>
        <w:t>-</w:t>
      </w:r>
      <w:r>
        <w:t>、Cl</w:t>
      </w:r>
      <w:r>
        <w:rPr>
          <w:vertAlign w:val="superscript"/>
        </w:rPr>
        <w:t>-</w:t>
      </w:r>
      <w:r>
        <w:t>、SO</w:t>
      </w:r>
      <w:r>
        <w:rPr>
          <w:vertAlign w:val="subscript"/>
        </w:rPr>
        <w:t>4</w:t>
      </w:r>
      <w:r>
        <w:rPr>
          <w:vertAlign w:val="superscript"/>
        </w:rPr>
        <w:t>2-</w:t>
      </w:r>
      <w:r>
        <w:t>的浓度</w:t>
      </w:r>
      <w:r>
        <w:rPr>
          <w:rFonts w:hint="eastAsia"/>
          <w:lang w:val="en-US" w:eastAsia="zh-CN"/>
        </w:rPr>
        <w:t>；</w:t>
      </w:r>
    </w:p>
    <w:p>
      <w:pPr>
        <w:ind w:firstLine="480"/>
        <w:rPr>
          <w:color w:val="auto"/>
        </w:rPr>
      </w:pPr>
      <w:r>
        <w:rPr>
          <w:color w:val="auto"/>
        </w:rPr>
        <w:t>pH、总硬度、溶解性总固体、硫酸盐、氯化物、铁、锰、挥发性酚类、耗氧量、氨氮、总大肠菌群数、菌落总数、亚硝酸盐（以N计）、硝酸盐（以N计）、氰化物、氟化物、汞、砷、镉、六价铬、铅。</w:t>
      </w:r>
    </w:p>
    <w:p>
      <w:pPr>
        <w:pStyle w:val="7"/>
        <w:ind w:firstLine="0" w:firstLineChars="0"/>
        <w:rPr>
          <w:rFonts w:eastAsia="宋体"/>
          <w:szCs w:val="24"/>
        </w:rPr>
      </w:pPr>
      <w:bookmarkStart w:id="407" w:name="_Toc426554625"/>
      <w:r>
        <w:rPr>
          <w:rFonts w:eastAsia="宋体"/>
          <w:szCs w:val="24"/>
        </w:rPr>
        <w:t>4.3.3.</w:t>
      </w:r>
      <w:r>
        <w:rPr>
          <w:rFonts w:hint="eastAsia"/>
          <w:szCs w:val="24"/>
          <w:lang w:val="en-US" w:eastAsia="zh-CN"/>
        </w:rPr>
        <w:t>3</w:t>
      </w:r>
      <w:r>
        <w:rPr>
          <w:rFonts w:eastAsia="宋体"/>
          <w:szCs w:val="24"/>
        </w:rPr>
        <w:t xml:space="preserve"> 监测日期及监测频次</w:t>
      </w:r>
    </w:p>
    <w:p>
      <w:pPr>
        <w:ind w:firstLine="480"/>
      </w:pPr>
      <w:r>
        <w:t>地下水环境质量现状监测</w:t>
      </w:r>
      <w:r>
        <w:rPr>
          <w:highlight w:val="none"/>
        </w:rPr>
        <w:t>于202</w:t>
      </w:r>
      <w:r>
        <w:rPr>
          <w:rFonts w:hint="eastAsia"/>
          <w:highlight w:val="none"/>
          <w:lang w:val="en-US" w:eastAsia="zh-CN"/>
        </w:rPr>
        <w:t>2</w:t>
      </w:r>
      <w:r>
        <w:rPr>
          <w:highlight w:val="none"/>
        </w:rPr>
        <w:t>年</w:t>
      </w:r>
      <w:r>
        <w:rPr>
          <w:rFonts w:hint="eastAsia"/>
          <w:highlight w:val="none"/>
          <w:lang w:val="en-US" w:eastAsia="zh-CN"/>
        </w:rPr>
        <w:t>9</w:t>
      </w:r>
      <w:r>
        <w:rPr>
          <w:highlight w:val="none"/>
        </w:rPr>
        <w:t>月</w:t>
      </w:r>
      <w:r>
        <w:rPr>
          <w:rFonts w:hint="eastAsia"/>
          <w:highlight w:val="none"/>
          <w:lang w:val="en-US" w:eastAsia="zh-CN"/>
        </w:rPr>
        <w:t>5</w:t>
      </w:r>
      <w:r>
        <w:rPr>
          <w:highlight w:val="none"/>
        </w:rPr>
        <w:t>日进行，监测1日</w:t>
      </w:r>
      <w:r>
        <w:t>，采样1次。</w:t>
      </w:r>
    </w:p>
    <w:p>
      <w:pPr>
        <w:pStyle w:val="7"/>
        <w:ind w:firstLine="0" w:firstLineChars="0"/>
        <w:rPr>
          <w:rFonts w:hint="default" w:eastAsia="宋体"/>
          <w:szCs w:val="24"/>
          <w:lang w:val="en-US" w:eastAsia="zh-CN"/>
        </w:rPr>
      </w:pPr>
      <w:r>
        <w:rPr>
          <w:rFonts w:hint="eastAsia"/>
          <w:szCs w:val="24"/>
          <w:lang w:val="en-US" w:eastAsia="zh-CN"/>
        </w:rPr>
        <w:t>4.3.3.4</w:t>
      </w:r>
      <w:r>
        <w:rPr>
          <w:rFonts w:eastAsia="宋体"/>
          <w:szCs w:val="24"/>
        </w:rPr>
        <w:t>评价标准与评价方法</w:t>
      </w:r>
    </w:p>
    <w:bookmarkEnd w:id="407"/>
    <w:p>
      <w:pPr>
        <w:bidi w:val="0"/>
      </w:pPr>
      <w:r>
        <w:rPr>
          <w:rFonts w:hint="eastAsia"/>
        </w:rPr>
        <w:t>评价标准采用《地下水质量标准》（GB/T14848-2017）中的Ⅲ类标准。评价方法采用地下水导则《环境影响评价技术导则—地下水环境》（HJ610-2016）中规定的标准指数法。</w:t>
      </w:r>
    </w:p>
    <w:p>
      <w:pPr>
        <w:pStyle w:val="7"/>
        <w:bidi w:val="0"/>
      </w:pPr>
      <w:bookmarkStart w:id="408" w:name="_Toc426554626"/>
      <w:r>
        <w:rPr>
          <w:rFonts w:hint="eastAsia"/>
          <w:lang w:val="en-US" w:eastAsia="zh-CN"/>
        </w:rPr>
        <w:t>4.3.3.5</w:t>
      </w:r>
      <w:r>
        <w:t>监测与统计结果</w:t>
      </w:r>
      <w:bookmarkEnd w:id="408"/>
    </w:p>
    <w:p>
      <w:pPr>
        <w:bidi w:val="0"/>
        <w:sectPr>
          <w:footerReference r:id="rId21" w:type="default"/>
          <w:pgSz w:w="11906" w:h="16838"/>
          <w:pgMar w:top="1701" w:right="1701" w:bottom="1701" w:left="1701" w:header="1020" w:footer="992" w:gutter="0"/>
          <w:pgBorders>
            <w:top w:val="none" w:sz="0" w:space="0"/>
            <w:left w:val="none" w:sz="0" w:space="0"/>
            <w:bottom w:val="none" w:sz="0" w:space="0"/>
            <w:right w:val="none" w:sz="0" w:space="0"/>
          </w:pgBorders>
          <w:cols w:space="425" w:num="1"/>
          <w:docGrid w:linePitch="326" w:charSpace="0"/>
        </w:sectPr>
      </w:pPr>
      <w:r>
        <w:t>地下水环境质量现状监测与统计结果见表4</w:t>
      </w:r>
      <w:r>
        <w:rPr>
          <w:rFonts w:hint="eastAsia"/>
        </w:rPr>
        <w:t>.3</w:t>
      </w:r>
      <w:r>
        <w:t>-</w:t>
      </w:r>
      <w:r>
        <w:rPr>
          <w:rFonts w:hint="eastAsia"/>
          <w:lang w:val="en-US" w:eastAsia="zh-CN"/>
        </w:rPr>
        <w:t>3</w:t>
      </w:r>
      <w:r>
        <w:t>。</w:t>
      </w:r>
    </w:p>
    <w:p>
      <w:pPr>
        <w:ind w:firstLine="0" w:firstLineChars="0"/>
        <w:jc w:val="center"/>
        <w:rPr>
          <w:highlight w:val="none"/>
        </w:rPr>
      </w:pPr>
      <w:r>
        <w:rPr>
          <w:rStyle w:val="46"/>
          <w:highlight w:val="none"/>
        </w:rPr>
        <w:t>表4</w:t>
      </w:r>
      <w:r>
        <w:rPr>
          <w:rStyle w:val="46"/>
          <w:rFonts w:hint="eastAsia"/>
          <w:highlight w:val="none"/>
        </w:rPr>
        <w:t>.3-</w:t>
      </w:r>
      <w:r>
        <w:rPr>
          <w:rStyle w:val="46"/>
          <w:rFonts w:hint="eastAsia"/>
          <w:highlight w:val="none"/>
          <w:lang w:val="en-US" w:eastAsia="zh-CN"/>
        </w:rPr>
        <w:t>3</w:t>
      </w:r>
      <w:r>
        <w:rPr>
          <w:rStyle w:val="46"/>
          <w:highlight w:val="none"/>
        </w:rPr>
        <w:t xml:space="preserve">  </w:t>
      </w:r>
      <w:r>
        <w:rPr>
          <w:rStyle w:val="46"/>
          <w:rFonts w:hint="eastAsia"/>
          <w:highlight w:val="none"/>
        </w:rPr>
        <w:t>地下水</w:t>
      </w:r>
      <w:r>
        <w:rPr>
          <w:rStyle w:val="46"/>
          <w:highlight w:val="none"/>
        </w:rPr>
        <w:t>质量现状监测与统计结果</w:t>
      </w:r>
    </w:p>
    <w:tbl>
      <w:tblPr>
        <w:tblStyle w:val="39"/>
        <w:tblW w:w="472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026"/>
        <w:gridCol w:w="1200"/>
        <w:gridCol w:w="1358"/>
        <w:gridCol w:w="1386"/>
        <w:gridCol w:w="1386"/>
        <w:gridCol w:w="1386"/>
        <w:gridCol w:w="1386"/>
        <w:gridCol w:w="1386"/>
        <w:gridCol w:w="13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785" w:type="pct"/>
            <w:vMerge w:val="restart"/>
            <w:tcBorders>
              <w:top w:val="single" w:color="auto" w:sz="4" w:space="0"/>
              <w:left w:val="single" w:color="auto" w:sz="4" w:space="0"/>
              <w:bottom w:val="single" w:color="auto" w:sz="4" w:space="0"/>
              <w:right w:val="single" w:color="auto" w:sz="4" w:space="0"/>
              <w:tl2br w:val="single" w:color="auto" w:sz="8"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eastAsia" w:cs="Times New Roman"/>
                <w:b/>
                <w:color w:val="auto"/>
                <w:sz w:val="21"/>
                <w:szCs w:val="21"/>
                <w:lang w:val="en-US" w:eastAsia="zh-CN"/>
              </w:rPr>
              <w:t xml:space="preserve">         </w:t>
            </w:r>
            <w:r>
              <w:rPr>
                <w:rFonts w:hint="default" w:ascii="Times New Roman" w:hAnsi="Times New Roman" w:cs="Times New Roman"/>
                <w:b/>
                <w:color w:val="auto"/>
                <w:sz w:val="21"/>
                <w:szCs w:val="21"/>
              </w:rPr>
              <w:t>采样点位</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检测项目</w:t>
            </w:r>
          </w:p>
        </w:tc>
        <w:tc>
          <w:tcPr>
            <w:tcW w:w="46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color w:val="auto"/>
                <w:sz w:val="21"/>
                <w:szCs w:val="21"/>
              </w:rPr>
              <w:t>标准值</w:t>
            </w:r>
          </w:p>
        </w:tc>
        <w:tc>
          <w:tcPr>
            <w:tcW w:w="52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color w:val="auto"/>
                <w:sz w:val="21"/>
                <w:szCs w:val="21"/>
                <w:lang w:eastAsia="zh-CN"/>
              </w:rPr>
              <w:t>单位</w:t>
            </w:r>
          </w:p>
        </w:tc>
        <w:tc>
          <w:tcPr>
            <w:tcW w:w="107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eastAsia"/>
                <w:sz w:val="21"/>
                <w:szCs w:val="21"/>
                <w:highlight w:val="none"/>
              </w:rPr>
              <w:t>Dxs</w:t>
            </w:r>
            <w:r>
              <w:rPr>
                <w:rFonts w:hint="eastAsia"/>
                <w:sz w:val="21"/>
                <w:szCs w:val="21"/>
                <w:highlight w:val="none"/>
                <w:lang w:val="en-US" w:eastAsia="zh-CN"/>
              </w:rPr>
              <w:t>1#</w:t>
            </w:r>
          </w:p>
        </w:tc>
        <w:tc>
          <w:tcPr>
            <w:tcW w:w="107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eastAsia"/>
                <w:sz w:val="21"/>
                <w:szCs w:val="21"/>
                <w:highlight w:val="none"/>
              </w:rPr>
              <w:t>Dxs</w:t>
            </w:r>
            <w:r>
              <w:rPr>
                <w:rFonts w:hint="eastAsia"/>
                <w:sz w:val="21"/>
                <w:szCs w:val="21"/>
                <w:highlight w:val="none"/>
                <w:lang w:val="en-US" w:eastAsia="zh-CN"/>
              </w:rPr>
              <w:t>2#</w:t>
            </w:r>
          </w:p>
        </w:tc>
        <w:tc>
          <w:tcPr>
            <w:tcW w:w="107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eastAsia"/>
                <w:sz w:val="21"/>
                <w:szCs w:val="21"/>
                <w:highlight w:val="none"/>
              </w:rPr>
              <w:t>Dxs</w:t>
            </w:r>
            <w:r>
              <w:rPr>
                <w:rFonts w:hint="eastAsia"/>
                <w:sz w:val="21"/>
                <w:szCs w:val="21"/>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785" w:type="pct"/>
            <w:vMerge w:val="continue"/>
            <w:tcBorders>
              <w:top w:val="single" w:color="auto" w:sz="4" w:space="0"/>
              <w:left w:val="single" w:color="auto" w:sz="4" w:space="0"/>
              <w:bottom w:val="single" w:color="auto" w:sz="4" w:space="0"/>
              <w:right w:val="single" w:color="auto" w:sz="4" w:space="0"/>
              <w:tl2br w:val="single" w:color="auto" w:sz="8"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p>
        </w:tc>
        <w:tc>
          <w:tcPr>
            <w:tcW w:w="46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2"/>
                <w:sz w:val="21"/>
                <w:szCs w:val="21"/>
                <w:lang w:val="en-US" w:eastAsia="zh-CN" w:bidi="ar-SA"/>
              </w:rPr>
            </w:pPr>
          </w:p>
        </w:tc>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2"/>
                <w:sz w:val="21"/>
                <w:szCs w:val="21"/>
                <w:lang w:val="en-US" w:eastAsia="zh-CN" w:bidi="ar-SA"/>
              </w:rPr>
            </w:pP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检测值</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标准指数</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检测值</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标准指数</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检测值</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标准指数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K</w:t>
            </w:r>
            <w:r>
              <w:rPr>
                <w:rFonts w:hint="default" w:ascii="Times New Roman" w:hAnsi="Times New Roman" w:eastAsia="宋体" w:cs="Times New Roman"/>
                <w:i w:val="0"/>
                <w:iCs w:val="0"/>
                <w:color w:val="000000"/>
                <w:kern w:val="0"/>
                <w:sz w:val="21"/>
                <w:szCs w:val="21"/>
                <w:u w:val="none"/>
                <w:vertAlign w:val="superscript"/>
                <w:lang w:val="en-US" w:eastAsia="zh-CN" w:bidi="ar"/>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w w:val="100"/>
                <w:sz w:val="21"/>
                <w:szCs w:val="21"/>
                <w:highlight w:val="none"/>
              </w:rPr>
              <w:t>/</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0.88</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Na</w:t>
            </w:r>
            <w:r>
              <w:rPr>
                <w:rFonts w:hint="default" w:ascii="Times New Roman" w:hAnsi="Times New Roman" w:eastAsia="宋体" w:cs="Times New Roman"/>
                <w:i w:val="0"/>
                <w:iCs w:val="0"/>
                <w:color w:val="000000"/>
                <w:kern w:val="0"/>
                <w:sz w:val="21"/>
                <w:szCs w:val="21"/>
                <w:u w:val="none"/>
                <w:vertAlign w:val="superscript"/>
                <w:lang w:val="en-US" w:eastAsia="zh-CN" w:bidi="ar"/>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200</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0.105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0.1425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Ca</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w w:val="100"/>
                <w:sz w:val="21"/>
                <w:szCs w:val="21"/>
                <w:highlight w:val="none"/>
              </w:rPr>
              <w:t>/</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32.1</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52.8</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64.6</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Mg</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w w:val="100"/>
                <w:sz w:val="21"/>
                <w:szCs w:val="21"/>
                <w:highlight w:val="none"/>
              </w:rPr>
              <w:t>/</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CO</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w w:val="100"/>
                <w:sz w:val="21"/>
                <w:szCs w:val="21"/>
                <w:highlight w:val="none"/>
              </w:rPr>
              <w:t>/</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HCO</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vertAlign w:val="superscript"/>
                <w:lang w:val="en-US" w:eastAsia="zh-CN" w:bidi="ar"/>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w w:val="100"/>
                <w:sz w:val="21"/>
                <w:szCs w:val="21"/>
                <w:highlight w:val="none"/>
              </w:rPr>
              <w:t>/</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Cl</w:t>
            </w:r>
            <w:r>
              <w:rPr>
                <w:rFonts w:hint="default" w:ascii="Times New Roman" w:hAnsi="Times New Roman" w:eastAsia="宋体" w:cs="Times New Roman"/>
                <w:i w:val="0"/>
                <w:iCs w:val="0"/>
                <w:color w:val="000000"/>
                <w:kern w:val="0"/>
                <w:sz w:val="21"/>
                <w:szCs w:val="21"/>
                <w:u w:val="none"/>
                <w:vertAlign w:val="superscript"/>
                <w:lang w:val="en-US" w:eastAsia="zh-CN" w:bidi="ar"/>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w w:val="100"/>
                <w:sz w:val="21"/>
                <w:szCs w:val="21"/>
                <w:highlight w:val="none"/>
              </w:rPr>
              <w:t>/</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38.9</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54.1</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63.9</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4</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w w:val="100"/>
                <w:sz w:val="21"/>
                <w:szCs w:val="21"/>
                <w:highlight w:val="none"/>
              </w:rPr>
              <w:t>/</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24.1</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6.5-8.5</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总硬度</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450</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0.287</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0.382</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229</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溶解性总固体</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1000</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270</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硫酸盐</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250</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24.6</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0.098</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39.3</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0.157</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42.6</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氯化物</w:t>
            </w:r>
            <w:r>
              <w:rPr>
                <w:rFonts w:hint="eastAsia" w:cs="Times New Roman"/>
                <w:i w:val="0"/>
                <w:iCs w:val="0"/>
                <w:color w:val="000000"/>
                <w:kern w:val="0"/>
                <w:sz w:val="21"/>
                <w:szCs w:val="21"/>
                <w:u w:val="none"/>
                <w:lang w:val="en-US" w:eastAsia="zh-CN" w:bidi="ar"/>
              </w:rPr>
              <w:t xml:space="preserve"> </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250</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0.156</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54.2</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0.217</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63.7</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铁</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0.3</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锰</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0.1</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挥发酚</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sz w:val="21"/>
                <w:szCs w:val="21"/>
                <w:highlight w:val="none"/>
              </w:rPr>
              <w:t>0.002</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1"/>
                <w:szCs w:val="21"/>
                <w:highlight w:val="yellow"/>
                <w:lang w:val="en-US" w:eastAsia="zh-CN"/>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耗氧量</w:t>
            </w:r>
            <w:r>
              <w:rPr>
                <w:rFonts w:hint="eastAsia" w:cs="Times New Roman"/>
                <w:i w:val="0"/>
                <w:iCs w:val="0"/>
                <w:color w:val="000000"/>
                <w:kern w:val="0"/>
                <w:sz w:val="21"/>
                <w:szCs w:val="21"/>
                <w:u w:val="none"/>
                <w:lang w:val="en-US" w:eastAsia="zh-CN" w:bidi="ar"/>
              </w:rPr>
              <w:t>（COD</w:t>
            </w:r>
            <w:r>
              <w:rPr>
                <w:rFonts w:hint="eastAsia" w:cs="Times New Roman"/>
                <w:i w:val="0"/>
                <w:iCs w:val="0"/>
                <w:color w:val="000000"/>
                <w:kern w:val="0"/>
                <w:sz w:val="21"/>
                <w:szCs w:val="21"/>
                <w:u w:val="none"/>
                <w:vertAlign w:val="subscript"/>
                <w:lang w:val="en-US" w:eastAsia="zh-CN" w:bidi="ar"/>
              </w:rPr>
              <w:t>Mn</w:t>
            </w:r>
            <w:r>
              <w:rPr>
                <w:rFonts w:hint="eastAsia" w:cs="Times New Roman"/>
                <w:i w:val="0"/>
                <w:iCs w:val="0"/>
                <w:color w:val="000000"/>
                <w:kern w:val="0"/>
                <w:sz w:val="21"/>
                <w:szCs w:val="21"/>
                <w:u w:val="none"/>
                <w:lang w:val="en-US" w:eastAsia="zh-CN" w:bidi="ar"/>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w w:val="100"/>
                <w:sz w:val="21"/>
                <w:szCs w:val="21"/>
                <w:highlight w:val="none"/>
              </w:rPr>
              <w:t>3</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1"/>
                <w:szCs w:val="21"/>
                <w:highlight w:val="yellow"/>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0.317</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0.89</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0.297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0.5</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0.272</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0.544</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0.52</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总大肠菌群</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w w:val="100"/>
                <w:sz w:val="21"/>
                <w:szCs w:val="21"/>
                <w:highlight w:val="none"/>
              </w:rPr>
              <w:t>3</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MPN/100mL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菌落总数</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100</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CFU/mL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0.43</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亚硝酸盐氮</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w w:val="100"/>
                <w:sz w:val="21"/>
                <w:szCs w:val="21"/>
                <w:highlight w:val="none"/>
              </w:rPr>
              <w:t>1</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1"/>
                <w:szCs w:val="21"/>
                <w:highlight w:val="yellow"/>
                <w:lang w:val="en-US" w:eastAsia="zh-CN"/>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硝酸盐氮</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sz w:val="21"/>
                <w:szCs w:val="21"/>
                <w:highlight w:val="none"/>
              </w:rPr>
              <w:t>20</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1"/>
                <w:szCs w:val="21"/>
                <w:highlight w:val="yellow"/>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6.59</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21"/>
                <w:szCs w:val="21"/>
                <w:highlight w:val="yellow"/>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0.33</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6.49</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0.325</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6.54</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氰化物</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0.05</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氟化物</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w w:val="100"/>
                <w:sz w:val="21"/>
                <w:szCs w:val="21"/>
                <w:highlight w:val="none"/>
              </w:rPr>
              <w:t>1</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汞</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0.001</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砷</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0.01</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镉</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0.0</w:t>
            </w:r>
            <w:r>
              <w:rPr>
                <w:rFonts w:hint="eastAsia" w:ascii="Times New Roman"/>
                <w:sz w:val="21"/>
                <w:szCs w:val="21"/>
                <w:highlight w:val="none"/>
                <w:lang w:val="en-US" w:eastAsia="zh-CN"/>
              </w:rPr>
              <w:t>05</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六价铬</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0.05</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7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铅</w:t>
            </w:r>
          </w:p>
        </w:tc>
        <w:tc>
          <w:tcPr>
            <w:tcW w:w="465"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sz w:val="21"/>
                <w:szCs w:val="21"/>
                <w:highlight w:val="none"/>
              </w:rPr>
              <w:t>0.0</w:t>
            </w:r>
            <w:r>
              <w:rPr>
                <w:rFonts w:hint="eastAsia" w:ascii="Times New Roman"/>
                <w:sz w:val="21"/>
                <w:szCs w:val="21"/>
                <w:highlight w:val="none"/>
                <w:lang w:val="en-US" w:eastAsia="zh-CN"/>
              </w:rPr>
              <w:t>1</w:t>
            </w:r>
          </w:p>
        </w:tc>
        <w:tc>
          <w:tcPr>
            <w:tcW w:w="526" w:type="pct"/>
            <w:tcBorders>
              <w:top w:val="single" w:color="auto" w:sz="4" w:space="0"/>
              <w:left w:val="single" w:color="auto" w:sz="4" w:space="0"/>
              <w:bottom w:val="single" w:color="auto" w:sz="4" w:space="0"/>
              <w:right w:val="single" w:color="auto" w:sz="4" w:space="0"/>
            </w:tcBorders>
            <w:noWrap w:val="0"/>
            <w:vAlign w:val="center"/>
          </w:tcPr>
          <w:p>
            <w:pPr>
              <w:pStyle w:val="1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sz w:val="21"/>
                <w:szCs w:val="21"/>
              </w:rPr>
              <w:t>mg/L</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未检出</w:t>
            </w:r>
          </w:p>
        </w:tc>
        <w:tc>
          <w:tcPr>
            <w:tcW w:w="5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r>
    </w:tbl>
    <w:p>
      <w:pPr>
        <w:rPr>
          <w:rFonts w:hint="eastAsia"/>
          <w:b/>
          <w:sz w:val="21"/>
          <w:szCs w:val="21"/>
        </w:rPr>
        <w:sectPr>
          <w:pgSz w:w="16838" w:h="11906" w:orient="landscape"/>
          <w:pgMar w:top="1701" w:right="1701" w:bottom="1701" w:left="1701" w:header="1134" w:footer="992" w:gutter="0"/>
          <w:pgBorders>
            <w:top w:val="none" w:sz="0" w:space="0"/>
            <w:left w:val="none" w:sz="0" w:space="0"/>
            <w:bottom w:val="none" w:sz="0" w:space="0"/>
            <w:right w:val="none" w:sz="0" w:space="0"/>
          </w:pgBorders>
          <w:cols w:space="425" w:num="1"/>
          <w:docGrid w:linePitch="326" w:charSpace="0"/>
        </w:sectPr>
      </w:pPr>
      <w:bookmarkStart w:id="409" w:name="_Toc426554627"/>
    </w:p>
    <w:p>
      <w:pPr>
        <w:pStyle w:val="7"/>
        <w:ind w:firstLine="0" w:firstLineChars="0"/>
        <w:rPr>
          <w:rFonts w:eastAsia="宋体"/>
          <w:color w:val="FF0000"/>
          <w:szCs w:val="24"/>
        </w:rPr>
      </w:pPr>
      <w:r>
        <w:rPr>
          <w:rFonts w:eastAsia="宋体"/>
          <w:szCs w:val="24"/>
        </w:rPr>
        <w:t>4.3.3.</w:t>
      </w:r>
      <w:r>
        <w:rPr>
          <w:rFonts w:hint="eastAsia" w:eastAsia="宋体"/>
          <w:szCs w:val="24"/>
          <w:lang w:val="en-US" w:eastAsia="zh-CN"/>
        </w:rPr>
        <w:t>6</w:t>
      </w:r>
      <w:r>
        <w:rPr>
          <w:rFonts w:eastAsia="宋体"/>
          <w:szCs w:val="24"/>
        </w:rPr>
        <w:t xml:space="preserve"> 监测结果评价</w:t>
      </w:r>
    </w:p>
    <w:p>
      <w:pPr>
        <w:ind w:firstLine="480"/>
      </w:pPr>
      <w:r>
        <w:rPr>
          <w:snapToGrid w:val="0"/>
        </w:rPr>
        <w:t>由</w:t>
      </w:r>
      <w:r>
        <w:rPr>
          <w:rFonts w:hint="eastAsia"/>
          <w:snapToGrid w:val="0"/>
          <w:lang w:eastAsia="zh-CN"/>
        </w:rPr>
        <w:t>上表</w:t>
      </w:r>
      <w:r>
        <w:rPr>
          <w:snapToGrid w:val="0"/>
        </w:rPr>
        <w:t>评价结果可知，本项目评价范围内地下水各监测点位各项监测因子均满足《地下水质量标准》（GB/T14848-2017）中的Ⅲ类标准要求。</w:t>
      </w:r>
    </w:p>
    <w:bookmarkEnd w:id="409"/>
    <w:p>
      <w:pPr>
        <w:pStyle w:val="6"/>
      </w:pPr>
      <w:bookmarkStart w:id="410" w:name="_Toc282959717"/>
      <w:bookmarkStart w:id="411" w:name="_Toc426554628"/>
      <w:bookmarkStart w:id="412" w:name="_Toc10661"/>
      <w:bookmarkStart w:id="413" w:name="_Toc11196"/>
      <w:bookmarkStart w:id="414" w:name="_Toc283110192"/>
      <w:bookmarkStart w:id="415" w:name="_Toc470785873"/>
      <w:bookmarkStart w:id="416" w:name="_Toc332632564"/>
      <w:bookmarkStart w:id="417" w:name="_Toc286934659"/>
      <w:bookmarkStart w:id="418" w:name="_Toc286835724"/>
      <w:bookmarkStart w:id="419" w:name="_Toc308012398"/>
      <w:bookmarkStart w:id="420" w:name="_Toc282946147"/>
      <w:bookmarkStart w:id="421" w:name="_Toc326754969"/>
      <w:r>
        <w:t>4.3.4 声环境质量现状评价</w:t>
      </w:r>
      <w:bookmarkEnd w:id="405"/>
      <w:bookmarkEnd w:id="410"/>
      <w:bookmarkEnd w:id="411"/>
      <w:bookmarkEnd w:id="412"/>
      <w:bookmarkEnd w:id="413"/>
      <w:bookmarkEnd w:id="414"/>
      <w:bookmarkEnd w:id="415"/>
      <w:bookmarkEnd w:id="416"/>
      <w:bookmarkEnd w:id="417"/>
      <w:bookmarkEnd w:id="418"/>
      <w:bookmarkEnd w:id="419"/>
      <w:bookmarkEnd w:id="420"/>
      <w:bookmarkEnd w:id="421"/>
    </w:p>
    <w:p>
      <w:pPr>
        <w:bidi w:val="0"/>
      </w:pPr>
      <w:bookmarkStart w:id="422" w:name="_Toc426554629"/>
      <w:r>
        <w:rPr>
          <w:rFonts w:hint="eastAsia"/>
          <w:lang w:eastAsia="zh-CN"/>
        </w:rPr>
        <w:t>（</w:t>
      </w:r>
      <w:r>
        <w:rPr>
          <w:rFonts w:hint="eastAsia"/>
          <w:lang w:val="en-US" w:eastAsia="zh-CN"/>
        </w:rPr>
        <w:t>1</w:t>
      </w:r>
      <w:r>
        <w:rPr>
          <w:rFonts w:hint="eastAsia"/>
          <w:lang w:eastAsia="zh-CN"/>
        </w:rPr>
        <w:t>）</w:t>
      </w:r>
      <w:r>
        <w:t>监测点位布置</w:t>
      </w:r>
      <w:bookmarkEnd w:id="422"/>
    </w:p>
    <w:p>
      <w:pPr>
        <w:ind w:firstLine="480"/>
      </w:pPr>
      <w:r>
        <w:t>共设置监测点位</w:t>
      </w:r>
      <w:r>
        <w:rPr>
          <w:rFonts w:hint="eastAsia"/>
          <w:lang w:val="en-US" w:eastAsia="zh-CN"/>
        </w:rPr>
        <w:t>2</w:t>
      </w:r>
      <w:r>
        <w:t>个，详见项目监测点位图。</w:t>
      </w:r>
    </w:p>
    <w:p>
      <w:pPr>
        <w:ind w:firstLine="480"/>
        <w:rPr>
          <w:rFonts w:hint="eastAsia"/>
        </w:rPr>
      </w:pPr>
      <w:bookmarkStart w:id="423" w:name="_Toc426554630"/>
      <w:r>
        <w:rPr>
          <w:rFonts w:hint="eastAsia"/>
        </w:rPr>
        <w:t>Zs</w:t>
      </w:r>
      <w:r>
        <w:t>1#</w:t>
      </w:r>
      <w:r>
        <w:rPr>
          <w:rFonts w:hint="eastAsia"/>
        </w:rPr>
        <w:t>--杨树底下村住户</w:t>
      </w:r>
      <w:r>
        <w:rPr>
          <w:rFonts w:hint="eastAsia"/>
          <w:lang w:eastAsia="zh-CN"/>
        </w:rPr>
        <w:t>；</w:t>
      </w:r>
    </w:p>
    <w:p>
      <w:pPr>
        <w:ind w:firstLine="480"/>
        <w:rPr>
          <w:rFonts w:hint="eastAsia"/>
        </w:rPr>
      </w:pPr>
      <w:r>
        <w:rPr>
          <w:rFonts w:hint="eastAsia"/>
        </w:rPr>
        <w:t>Zs</w:t>
      </w:r>
      <w:r>
        <w:rPr>
          <w:rFonts w:hint="eastAsia"/>
          <w:lang w:val="en-US" w:eastAsia="zh-CN"/>
        </w:rPr>
        <w:t>2</w:t>
      </w:r>
      <w:r>
        <w:t>#</w:t>
      </w:r>
      <w:r>
        <w:rPr>
          <w:rFonts w:hint="eastAsia"/>
        </w:rPr>
        <w:t>--三块石村住户</w:t>
      </w:r>
      <w:r>
        <w:rPr>
          <w:rFonts w:hint="eastAsia"/>
          <w:lang w:eastAsia="zh-CN"/>
        </w:rPr>
        <w:t>；</w:t>
      </w:r>
    </w:p>
    <w:p>
      <w:pPr>
        <w:bidi w:val="0"/>
      </w:pPr>
      <w:r>
        <w:rPr>
          <w:rFonts w:hint="eastAsia"/>
          <w:lang w:eastAsia="zh-CN"/>
        </w:rPr>
        <w:t>（</w:t>
      </w:r>
      <w:r>
        <w:rPr>
          <w:rFonts w:hint="eastAsia"/>
          <w:lang w:val="en-US" w:eastAsia="zh-CN"/>
        </w:rPr>
        <w:t>2</w:t>
      </w:r>
      <w:r>
        <w:rPr>
          <w:rFonts w:hint="eastAsia"/>
          <w:lang w:eastAsia="zh-CN"/>
        </w:rPr>
        <w:t>）</w:t>
      </w:r>
      <w:r>
        <w:t>监测项目</w:t>
      </w:r>
      <w:bookmarkEnd w:id="423"/>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
        <w:rPr>
          <w:rFonts w:hint="eastAsia"/>
        </w:rPr>
        <w:t>等效</w:t>
      </w:r>
      <w:r>
        <w:rPr>
          <w:rFonts w:hint="eastAsia"/>
          <w:lang w:eastAsia="zh-CN"/>
        </w:rPr>
        <w:t>连续</w:t>
      </w:r>
      <w:r>
        <w:rPr>
          <w:rFonts w:hint="eastAsia"/>
          <w:lang w:val="en-US" w:eastAsia="zh-CN"/>
        </w:rPr>
        <w:t>A</w:t>
      </w:r>
      <w:r>
        <w:rPr>
          <w:rFonts w:hint="eastAsia"/>
        </w:rPr>
        <w:t>声级（</w:t>
      </w:r>
      <w:r>
        <w:rPr>
          <w:rFonts w:hint="default" w:ascii="Times New Roman" w:hAnsi="Times New Roman" w:eastAsia="宋体" w:cs="Times New Roman"/>
          <w:snapToGrid/>
          <w:kern w:val="0"/>
          <w:sz w:val="21"/>
          <w:szCs w:val="21"/>
          <w:lang w:val="en-US" w:eastAsia="zh-CN" w:bidi="ar"/>
        </w:rPr>
        <w:t>L</w:t>
      </w:r>
      <w:r>
        <w:rPr>
          <w:rFonts w:hint="default" w:ascii="Times New Roman" w:hAnsi="Times New Roman" w:eastAsia="宋体" w:cs="Times New Roman"/>
          <w:snapToGrid/>
          <w:kern w:val="0"/>
          <w:sz w:val="21"/>
          <w:szCs w:val="21"/>
          <w:vertAlign w:val="subscript"/>
          <w:lang w:val="en-US" w:eastAsia="zh-CN" w:bidi="ar"/>
        </w:rPr>
        <w:t>Aeq,T</w:t>
      </w:r>
      <w:r>
        <w:rPr>
          <w:rFonts w:hint="eastAsia"/>
        </w:rPr>
        <w:t>）。</w:t>
      </w:r>
    </w:p>
    <w:p>
      <w:pPr>
        <w:bidi w:val="0"/>
      </w:pPr>
      <w:bookmarkStart w:id="424" w:name="_Toc426554631"/>
      <w:r>
        <w:rPr>
          <w:rFonts w:hint="eastAsia"/>
          <w:lang w:eastAsia="zh-CN"/>
        </w:rPr>
        <w:t>（</w:t>
      </w:r>
      <w:r>
        <w:rPr>
          <w:rFonts w:hint="eastAsia"/>
          <w:lang w:val="en-US" w:eastAsia="zh-CN"/>
        </w:rPr>
        <w:t>3</w:t>
      </w:r>
      <w:r>
        <w:rPr>
          <w:rFonts w:hint="eastAsia"/>
          <w:lang w:eastAsia="zh-CN"/>
        </w:rPr>
        <w:t>）</w:t>
      </w:r>
      <w:r>
        <w:t>监测日期与监测频次</w:t>
      </w:r>
      <w:bookmarkEnd w:id="424"/>
    </w:p>
    <w:p>
      <w:pPr>
        <w:autoSpaceDE w:val="0"/>
        <w:autoSpaceDN w:val="0"/>
        <w:ind w:firstLine="480"/>
        <w:rPr>
          <w:rFonts w:hint="eastAsia" w:eastAsia="宋体"/>
          <w:color w:val="FF0000"/>
          <w:szCs w:val="24"/>
          <w:lang w:val="en-US" w:eastAsia="zh-CN"/>
        </w:rPr>
      </w:pPr>
      <w:r>
        <w:t>声环境质量现状</w:t>
      </w:r>
      <w:r>
        <w:rPr>
          <w:color w:val="000000"/>
        </w:rPr>
        <w:t>监测于</w:t>
      </w:r>
      <w:r>
        <w:rPr>
          <w:color w:val="000000"/>
          <w:spacing w:val="20"/>
          <w:szCs w:val="24"/>
          <w:highlight w:val="none"/>
        </w:rPr>
        <w:t>20</w:t>
      </w:r>
      <w:r>
        <w:rPr>
          <w:rFonts w:hint="eastAsia"/>
          <w:color w:val="000000"/>
          <w:spacing w:val="20"/>
          <w:szCs w:val="24"/>
          <w:highlight w:val="none"/>
        </w:rPr>
        <w:t>2</w:t>
      </w:r>
      <w:r>
        <w:rPr>
          <w:rFonts w:hint="eastAsia"/>
          <w:color w:val="000000"/>
          <w:spacing w:val="20"/>
          <w:szCs w:val="24"/>
          <w:highlight w:val="none"/>
          <w:lang w:val="en-US" w:eastAsia="zh-CN"/>
        </w:rPr>
        <w:t>2</w:t>
      </w:r>
      <w:r>
        <w:rPr>
          <w:color w:val="000000"/>
          <w:spacing w:val="20"/>
          <w:szCs w:val="24"/>
          <w:highlight w:val="none"/>
        </w:rPr>
        <w:t>年</w:t>
      </w:r>
      <w:r>
        <w:rPr>
          <w:rFonts w:hint="eastAsia"/>
          <w:color w:val="000000"/>
          <w:spacing w:val="20"/>
          <w:szCs w:val="24"/>
          <w:highlight w:val="none"/>
          <w:lang w:val="en-US" w:eastAsia="zh-CN"/>
        </w:rPr>
        <w:t>9</w:t>
      </w:r>
      <w:r>
        <w:rPr>
          <w:color w:val="000000"/>
          <w:spacing w:val="20"/>
          <w:szCs w:val="24"/>
          <w:highlight w:val="none"/>
        </w:rPr>
        <w:t>月</w:t>
      </w:r>
      <w:r>
        <w:rPr>
          <w:rFonts w:hint="eastAsia"/>
          <w:color w:val="000000"/>
          <w:spacing w:val="20"/>
          <w:szCs w:val="24"/>
          <w:highlight w:val="none"/>
          <w:lang w:val="en-US" w:eastAsia="zh-CN"/>
        </w:rPr>
        <w:t>5</w:t>
      </w:r>
      <w:r>
        <w:rPr>
          <w:color w:val="000000"/>
          <w:spacing w:val="20"/>
          <w:szCs w:val="24"/>
          <w:highlight w:val="none"/>
        </w:rPr>
        <w:t>日</w:t>
      </w:r>
      <w:r>
        <w:rPr>
          <w:color w:val="000000"/>
          <w:highlight w:val="none"/>
        </w:rPr>
        <w:t>进行，</w:t>
      </w:r>
      <w:r>
        <w:rPr>
          <w:color w:val="000000"/>
          <w:szCs w:val="24"/>
          <w:highlight w:val="none"/>
        </w:rPr>
        <w:t>分别在</w:t>
      </w:r>
      <w:r>
        <w:rPr>
          <w:color w:val="000000"/>
          <w:szCs w:val="24"/>
        </w:rPr>
        <w:t>昼夜</w:t>
      </w:r>
      <w:r>
        <w:rPr>
          <w:szCs w:val="24"/>
        </w:rPr>
        <w:t>两个时段测量，各监测点同步测量。</w:t>
      </w:r>
    </w:p>
    <w:p>
      <w:pPr>
        <w:bidi w:val="0"/>
      </w:pPr>
      <w:bookmarkStart w:id="425" w:name="_Toc426554632"/>
      <w:r>
        <w:rPr>
          <w:rFonts w:hint="eastAsia"/>
          <w:lang w:eastAsia="zh-CN"/>
        </w:rPr>
        <w:t>（</w:t>
      </w:r>
      <w:r>
        <w:rPr>
          <w:rFonts w:hint="eastAsia"/>
          <w:lang w:val="en-US" w:eastAsia="zh-CN"/>
        </w:rPr>
        <w:t>4</w:t>
      </w:r>
      <w:r>
        <w:rPr>
          <w:rFonts w:hint="eastAsia"/>
          <w:lang w:eastAsia="zh-CN"/>
        </w:rPr>
        <w:t>）</w:t>
      </w:r>
      <w:r>
        <w:t>评价标准与评价方法</w:t>
      </w:r>
      <w:bookmarkEnd w:id="425"/>
    </w:p>
    <w:p>
      <w:pPr>
        <w:ind w:firstLine="480"/>
      </w:pPr>
      <w:r>
        <w:t>评价项目与监测项目相同，评价标准采用《声环境质量标准》（GB3096-2008）中</w:t>
      </w:r>
      <w:r>
        <w:rPr>
          <w:rFonts w:hint="eastAsia"/>
          <w:lang w:val="en-US" w:eastAsia="zh-CN"/>
        </w:rPr>
        <w:t>1</w:t>
      </w:r>
      <w:r>
        <w:t>类标准。</w:t>
      </w:r>
    </w:p>
    <w:p>
      <w:pPr>
        <w:bidi w:val="0"/>
        <w:rPr>
          <w:rFonts w:hint="eastAsia" w:eastAsia="宋体"/>
          <w:lang w:eastAsia="zh-CN"/>
        </w:rPr>
      </w:pPr>
      <w:bookmarkStart w:id="426" w:name="_Toc426554633"/>
      <w:r>
        <w:rPr>
          <w:rFonts w:hint="eastAsia"/>
          <w:lang w:eastAsia="zh-CN"/>
        </w:rPr>
        <w:t>（</w:t>
      </w:r>
      <w:r>
        <w:rPr>
          <w:rFonts w:hint="eastAsia"/>
          <w:lang w:val="en-US" w:eastAsia="zh-CN"/>
        </w:rPr>
        <w:t>5</w:t>
      </w:r>
      <w:r>
        <w:rPr>
          <w:rFonts w:hint="eastAsia"/>
          <w:lang w:eastAsia="zh-CN"/>
        </w:rPr>
        <w:t>）</w:t>
      </w:r>
      <w:r>
        <w:t>监测结果</w:t>
      </w:r>
      <w:bookmarkEnd w:id="426"/>
      <w:r>
        <w:rPr>
          <w:rFonts w:hint="eastAsia"/>
          <w:lang w:eastAsia="zh-CN"/>
        </w:rPr>
        <w:t>统计</w:t>
      </w:r>
    </w:p>
    <w:p>
      <w:pPr>
        <w:ind w:firstLine="198" w:firstLineChars="94"/>
        <w:jc w:val="right"/>
        <w:rPr>
          <w:rStyle w:val="46"/>
          <w:b w:val="0"/>
          <w:sz w:val="24"/>
          <w:szCs w:val="20"/>
        </w:rPr>
      </w:pPr>
      <w:r>
        <w:rPr>
          <w:rStyle w:val="46"/>
        </w:rPr>
        <w:t>表4</w:t>
      </w:r>
      <w:r>
        <w:rPr>
          <w:rStyle w:val="46"/>
          <w:rFonts w:hint="eastAsia"/>
        </w:rPr>
        <w:t>.3-</w:t>
      </w:r>
      <w:r>
        <w:rPr>
          <w:rStyle w:val="46"/>
          <w:rFonts w:hint="eastAsia"/>
          <w:lang w:val="en-US" w:eastAsia="zh-CN"/>
        </w:rPr>
        <w:t>4</w:t>
      </w:r>
      <w:r>
        <w:rPr>
          <w:rStyle w:val="46"/>
          <w:rFonts w:hint="eastAsia"/>
        </w:rPr>
        <w:t xml:space="preserve">  </w:t>
      </w:r>
      <w:r>
        <w:rPr>
          <w:rStyle w:val="46"/>
        </w:rPr>
        <w:t xml:space="preserve">项目声环境质量现状监测结果 </w:t>
      </w:r>
      <w:r>
        <w:rPr>
          <w:rStyle w:val="46"/>
          <w:rFonts w:hint="eastAsia"/>
        </w:rPr>
        <w:t xml:space="preserve">            </w:t>
      </w:r>
      <w:r>
        <w:rPr>
          <w:rStyle w:val="46"/>
        </w:rPr>
        <w:t xml:space="preserve"> 单位：dB(A)</w:t>
      </w:r>
    </w:p>
    <w:tbl>
      <w:tblPr>
        <w:tblStyle w:val="39"/>
        <w:tblW w:w="502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16"/>
        <w:gridCol w:w="1428"/>
        <w:gridCol w:w="2871"/>
        <w:gridCol w:w="1431"/>
        <w:gridCol w:w="14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6"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b/>
                <w:bCs/>
                <w:color w:val="000000"/>
                <w:sz w:val="21"/>
                <w:szCs w:val="21"/>
              </w:rPr>
            </w:pPr>
            <w:r>
              <w:rPr>
                <w:rFonts w:hint="eastAsia" w:ascii="宋体" w:hAnsi="宋体" w:cs="宋体"/>
                <w:b/>
                <w:bCs/>
                <w:color w:val="000000"/>
                <w:kern w:val="0"/>
                <w:sz w:val="21"/>
                <w:szCs w:val="21"/>
                <w:lang w:bidi="ar"/>
              </w:rPr>
              <w:t>检测日期</w:t>
            </w:r>
          </w:p>
        </w:tc>
        <w:tc>
          <w:tcPr>
            <w:tcW w:w="832"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b/>
                <w:bCs/>
                <w:color w:val="000000"/>
                <w:sz w:val="21"/>
                <w:szCs w:val="21"/>
              </w:rPr>
            </w:pPr>
            <w:r>
              <w:rPr>
                <w:rFonts w:hint="eastAsia" w:ascii="宋体" w:hAnsi="宋体" w:cs="宋体"/>
                <w:b/>
                <w:bCs/>
                <w:color w:val="000000"/>
                <w:kern w:val="0"/>
                <w:sz w:val="21"/>
                <w:szCs w:val="21"/>
                <w:lang w:bidi="ar"/>
              </w:rPr>
              <w:t>点位编号</w:t>
            </w:r>
          </w:p>
        </w:tc>
        <w:tc>
          <w:tcPr>
            <w:tcW w:w="1672"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b/>
                <w:bCs/>
                <w:color w:val="000000"/>
                <w:sz w:val="21"/>
                <w:szCs w:val="21"/>
              </w:rPr>
            </w:pPr>
            <w:r>
              <w:rPr>
                <w:rFonts w:hint="eastAsia" w:ascii="宋体" w:hAnsi="宋体" w:cs="宋体"/>
                <w:b/>
                <w:bCs/>
                <w:color w:val="000000"/>
                <w:kern w:val="0"/>
                <w:sz w:val="21"/>
                <w:szCs w:val="21"/>
                <w:lang w:bidi="ar"/>
              </w:rPr>
              <w:t>检测点位</w:t>
            </w:r>
          </w:p>
        </w:tc>
        <w:tc>
          <w:tcPr>
            <w:tcW w:w="834"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b/>
                <w:bCs/>
                <w:color w:val="000000"/>
                <w:sz w:val="21"/>
                <w:szCs w:val="21"/>
              </w:rPr>
            </w:pPr>
            <w:r>
              <w:rPr>
                <w:rFonts w:hint="eastAsia" w:ascii="宋体" w:hAnsi="宋体" w:cs="宋体"/>
                <w:b/>
                <w:bCs/>
                <w:color w:val="000000"/>
                <w:kern w:val="0"/>
                <w:sz w:val="21"/>
                <w:szCs w:val="21"/>
                <w:lang w:bidi="ar"/>
              </w:rPr>
              <w:t>昼间</w:t>
            </w:r>
          </w:p>
        </w:tc>
        <w:tc>
          <w:tcPr>
            <w:tcW w:w="834"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b/>
                <w:bCs/>
                <w:color w:val="000000"/>
                <w:sz w:val="21"/>
                <w:szCs w:val="21"/>
              </w:rPr>
            </w:pPr>
            <w:r>
              <w:rPr>
                <w:rFonts w:hint="eastAsia" w:ascii="宋体" w:hAnsi="宋体" w:cs="宋体"/>
                <w:b/>
                <w:bCs/>
                <w:color w:val="000000"/>
                <w:kern w:val="0"/>
                <w:sz w:val="21"/>
                <w:szCs w:val="21"/>
                <w:lang w:bidi="ar"/>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26" w:type="pct"/>
            <w:vMerge w:val="restart"/>
            <w:tcBorders>
              <w:top w:val="single" w:color="auto" w:sz="4" w:space="0"/>
              <w:left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eastAsia="宋体"/>
                <w:color w:val="000000"/>
                <w:sz w:val="21"/>
                <w:szCs w:val="21"/>
                <w:lang w:val="en-US" w:eastAsia="zh-CN"/>
              </w:rPr>
            </w:pPr>
            <w:r>
              <w:rPr>
                <w:rFonts w:hint="default"/>
                <w:color w:val="000000"/>
                <w:kern w:val="0"/>
                <w:sz w:val="21"/>
                <w:szCs w:val="21"/>
                <w:lang w:bidi="ar"/>
              </w:rPr>
              <w:t>202</w:t>
            </w:r>
            <w:r>
              <w:rPr>
                <w:rFonts w:hint="eastAsia"/>
                <w:color w:val="000000"/>
                <w:kern w:val="0"/>
                <w:sz w:val="21"/>
                <w:szCs w:val="21"/>
                <w:lang w:val="en-US" w:eastAsia="zh-CN" w:bidi="ar"/>
              </w:rPr>
              <w:t>2.9.5</w:t>
            </w:r>
          </w:p>
        </w:tc>
        <w:tc>
          <w:tcPr>
            <w:tcW w:w="832"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olor w:val="000000"/>
                <w:sz w:val="21"/>
                <w:szCs w:val="21"/>
              </w:rPr>
            </w:pPr>
            <w:r>
              <w:rPr>
                <w:rFonts w:hint="eastAsia"/>
                <w:color w:val="000000"/>
                <w:kern w:val="0"/>
                <w:sz w:val="21"/>
                <w:szCs w:val="21"/>
                <w:lang w:bidi="ar"/>
              </w:rPr>
              <w:t>Zs</w:t>
            </w:r>
            <w:r>
              <w:rPr>
                <w:rFonts w:hint="default"/>
                <w:color w:val="000000"/>
                <w:kern w:val="0"/>
                <w:sz w:val="21"/>
                <w:szCs w:val="21"/>
                <w:lang w:bidi="ar"/>
              </w:rPr>
              <w:t>1</w:t>
            </w:r>
          </w:p>
        </w:tc>
        <w:tc>
          <w:tcPr>
            <w:tcW w:w="1672"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eastAsia="宋体"/>
                <w:color w:val="000000"/>
                <w:sz w:val="21"/>
                <w:szCs w:val="21"/>
                <w:lang w:eastAsia="zh-CN"/>
              </w:rPr>
            </w:pPr>
            <w:r>
              <w:rPr>
                <w:rFonts w:hint="eastAsia" w:ascii="宋体" w:hAnsi="宋体" w:cs="宋体"/>
                <w:color w:val="000000"/>
                <w:kern w:val="0"/>
                <w:sz w:val="21"/>
                <w:szCs w:val="21"/>
                <w:lang w:eastAsia="zh-CN" w:bidi="ar"/>
              </w:rPr>
              <w:t>杨树底下村</w:t>
            </w:r>
          </w:p>
        </w:tc>
        <w:tc>
          <w:tcPr>
            <w:tcW w:w="834"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000000"/>
                <w:sz w:val="21"/>
                <w:szCs w:val="21"/>
                <w:highlight w:val="none"/>
                <w:lang w:val="en-US"/>
              </w:rPr>
            </w:pPr>
            <w:r>
              <w:rPr>
                <w:rFonts w:hint="eastAsia" w:cs="Times New Roman" w:eastAsiaTheme="minorEastAsia"/>
                <w:bCs/>
                <w:color w:val="auto"/>
                <w:sz w:val="21"/>
                <w:szCs w:val="21"/>
                <w:highlight w:val="none"/>
                <w:lang w:val="en-US" w:eastAsia="zh-CN"/>
              </w:rPr>
              <w:t>50.2</w:t>
            </w:r>
          </w:p>
        </w:tc>
        <w:tc>
          <w:tcPr>
            <w:tcW w:w="834"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26" w:type="pct"/>
            <w:vMerge w:val="continue"/>
            <w:tcBorders>
              <w:left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olor w:val="000000"/>
                <w:kern w:val="0"/>
                <w:sz w:val="21"/>
                <w:szCs w:val="21"/>
                <w:lang w:bidi="ar"/>
              </w:rPr>
            </w:pPr>
          </w:p>
        </w:tc>
        <w:tc>
          <w:tcPr>
            <w:tcW w:w="832"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eastAsia="宋体"/>
                <w:color w:val="000000"/>
                <w:kern w:val="0"/>
                <w:sz w:val="21"/>
                <w:szCs w:val="21"/>
                <w:lang w:val="en-US" w:eastAsia="zh-CN" w:bidi="ar"/>
              </w:rPr>
            </w:pPr>
            <w:r>
              <w:rPr>
                <w:rFonts w:hint="eastAsia"/>
                <w:color w:val="000000"/>
                <w:kern w:val="0"/>
                <w:sz w:val="21"/>
                <w:szCs w:val="21"/>
                <w:lang w:bidi="ar"/>
              </w:rPr>
              <w:t>Zs</w:t>
            </w:r>
            <w:r>
              <w:rPr>
                <w:rFonts w:hint="eastAsia"/>
                <w:color w:val="000000"/>
                <w:kern w:val="0"/>
                <w:sz w:val="21"/>
                <w:szCs w:val="21"/>
                <w:lang w:val="en-US" w:eastAsia="zh-CN" w:bidi="ar"/>
              </w:rPr>
              <w:t>2</w:t>
            </w:r>
          </w:p>
        </w:tc>
        <w:tc>
          <w:tcPr>
            <w:tcW w:w="1672"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三块石村</w:t>
            </w:r>
          </w:p>
        </w:tc>
        <w:tc>
          <w:tcPr>
            <w:tcW w:w="834"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49.8</w:t>
            </w:r>
          </w:p>
        </w:tc>
        <w:tc>
          <w:tcPr>
            <w:tcW w:w="834"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eastAsiaTheme="minorEastAsia"/>
                <w:bCs/>
                <w:color w:val="auto"/>
                <w:sz w:val="21"/>
                <w:szCs w:val="21"/>
                <w:highlight w:val="none"/>
                <w:lang w:val="en-US" w:eastAsia="zh-CN"/>
              </w:rPr>
              <w:t>39.8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31" w:type="pct"/>
            <w:gridSpan w:val="3"/>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cs="宋体"/>
                <w:color w:val="000000"/>
                <w:kern w:val="0"/>
                <w:sz w:val="21"/>
                <w:szCs w:val="21"/>
                <w:lang w:bidi="ar"/>
              </w:rPr>
            </w:pPr>
            <w:r>
              <w:rPr>
                <w:rFonts w:hint="default"/>
                <w:color w:val="000000"/>
                <w:spacing w:val="-2"/>
                <w:kern w:val="0"/>
                <w:sz w:val="21"/>
                <w:szCs w:val="21"/>
                <w:lang w:bidi="ar"/>
              </w:rPr>
              <w:t>《声环境质量标准》（GB3096-2008）</w:t>
            </w:r>
            <w:r>
              <w:rPr>
                <w:rFonts w:hint="eastAsia"/>
                <w:color w:val="000000"/>
                <w:spacing w:val="-2"/>
                <w:kern w:val="0"/>
                <w:sz w:val="21"/>
                <w:szCs w:val="21"/>
                <w:lang w:val="en-US" w:eastAsia="zh-CN" w:bidi="ar"/>
              </w:rPr>
              <w:t>1</w:t>
            </w:r>
            <w:r>
              <w:rPr>
                <w:rFonts w:hint="default"/>
                <w:color w:val="000000"/>
                <w:spacing w:val="-2"/>
                <w:kern w:val="0"/>
                <w:sz w:val="21"/>
                <w:szCs w:val="21"/>
                <w:lang w:bidi="ar"/>
              </w:rPr>
              <w:t>类标准</w:t>
            </w:r>
          </w:p>
        </w:tc>
        <w:tc>
          <w:tcPr>
            <w:tcW w:w="834"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pStyle w:val="65"/>
              <w:keepNext w:val="0"/>
              <w:keepLines w:val="0"/>
              <w:suppressLineNumbers w:val="0"/>
              <w:spacing w:before="0" w:beforeAutospacing="0" w:after="0" w:afterAutospacing="0"/>
              <w:ind w:left="0" w:right="0" w:firstLine="0" w:firstLineChars="0"/>
              <w:rPr>
                <w:rFonts w:hint="eastAsia" w:eastAsia="宋体"/>
                <w:color w:val="000000"/>
                <w:kern w:val="0"/>
                <w:sz w:val="21"/>
                <w:szCs w:val="21"/>
                <w:lang w:eastAsia="zh-CN" w:bidi="ar"/>
              </w:rPr>
            </w:pPr>
            <w:r>
              <w:rPr>
                <w:rFonts w:hint="default"/>
                <w:b/>
              </w:rPr>
              <w:t>55</w:t>
            </w:r>
          </w:p>
        </w:tc>
        <w:tc>
          <w:tcPr>
            <w:tcW w:w="834"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pStyle w:val="65"/>
              <w:keepNext w:val="0"/>
              <w:keepLines w:val="0"/>
              <w:suppressLineNumbers w:val="0"/>
              <w:spacing w:before="0" w:beforeAutospacing="0" w:after="0" w:afterAutospacing="0"/>
              <w:ind w:left="0" w:right="0" w:firstLine="0" w:firstLineChars="0"/>
              <w:rPr>
                <w:rFonts w:hint="eastAsia" w:eastAsia="宋体"/>
                <w:color w:val="000000"/>
                <w:kern w:val="0"/>
                <w:sz w:val="21"/>
                <w:szCs w:val="21"/>
                <w:lang w:eastAsia="zh-CN" w:bidi="ar"/>
              </w:rPr>
            </w:pPr>
            <w:r>
              <w:rPr>
                <w:rFonts w:hint="default"/>
                <w:b/>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31" w:type="pct"/>
            <w:gridSpan w:val="3"/>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cs="宋体"/>
                <w:color w:val="000000"/>
                <w:kern w:val="0"/>
                <w:sz w:val="21"/>
                <w:szCs w:val="21"/>
                <w:lang w:bidi="ar"/>
              </w:rPr>
            </w:pPr>
            <w:r>
              <w:rPr>
                <w:rFonts w:hint="default"/>
                <w:color w:val="000000"/>
                <w:spacing w:val="-2"/>
                <w:kern w:val="0"/>
                <w:sz w:val="21"/>
                <w:szCs w:val="21"/>
                <w:lang w:bidi="ar"/>
              </w:rPr>
              <w:t>达标情况</w:t>
            </w:r>
          </w:p>
        </w:tc>
        <w:tc>
          <w:tcPr>
            <w:tcW w:w="834"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olor w:val="000000"/>
                <w:kern w:val="0"/>
                <w:sz w:val="21"/>
                <w:szCs w:val="21"/>
                <w:lang w:bidi="ar"/>
              </w:rPr>
            </w:pPr>
            <w:r>
              <w:rPr>
                <w:rFonts w:hint="default"/>
                <w:color w:val="000000"/>
                <w:spacing w:val="-2"/>
                <w:kern w:val="0"/>
                <w:sz w:val="21"/>
                <w:szCs w:val="21"/>
                <w:lang w:bidi="ar"/>
              </w:rPr>
              <w:t>达标</w:t>
            </w:r>
          </w:p>
        </w:tc>
        <w:tc>
          <w:tcPr>
            <w:tcW w:w="834" w:type="pct"/>
            <w:tcBorders>
              <w:top w:val="single" w:color="auto" w:sz="4" w:space="0"/>
              <w:left w:val="single" w:color="auto" w:sz="4" w:space="0"/>
              <w:bottom w:val="single" w:color="auto" w:sz="4" w:space="0"/>
              <w:right w:val="single" w:color="auto" w:sz="4" w:space="0"/>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olor w:val="000000"/>
                <w:kern w:val="0"/>
                <w:sz w:val="21"/>
                <w:szCs w:val="21"/>
                <w:lang w:bidi="ar"/>
              </w:rPr>
            </w:pPr>
            <w:r>
              <w:rPr>
                <w:rFonts w:hint="default"/>
                <w:color w:val="000000"/>
                <w:spacing w:val="-2"/>
                <w:kern w:val="0"/>
                <w:sz w:val="21"/>
                <w:szCs w:val="21"/>
                <w:lang w:bidi="ar"/>
              </w:rPr>
              <w:t>达标</w:t>
            </w:r>
          </w:p>
        </w:tc>
      </w:tr>
    </w:tbl>
    <w:p>
      <w:pPr>
        <w:keepNext w:val="0"/>
        <w:keepLines w:val="0"/>
        <w:pageBreakBefore w:val="0"/>
        <w:widowControl w:val="0"/>
        <w:kinsoku/>
        <w:wordWrap/>
        <w:overflowPunct/>
        <w:topLinePunct w:val="0"/>
        <w:autoSpaceDE/>
        <w:autoSpaceDN/>
        <w:bidi w:val="0"/>
        <w:adjustRightInd w:val="0"/>
        <w:snapToGrid w:val="0"/>
        <w:spacing w:before="164" w:beforeLines="50"/>
        <w:textAlignment w:val="auto"/>
      </w:pPr>
      <w:bookmarkStart w:id="427" w:name="_Toc426554634"/>
      <w:r>
        <w:rPr>
          <w:rFonts w:hint="eastAsia"/>
          <w:lang w:eastAsia="zh-CN"/>
        </w:rPr>
        <w:t>（</w:t>
      </w:r>
      <w:r>
        <w:rPr>
          <w:rFonts w:hint="eastAsia"/>
          <w:lang w:val="en-US" w:eastAsia="zh-CN"/>
        </w:rPr>
        <w:t>6</w:t>
      </w:r>
      <w:r>
        <w:rPr>
          <w:rFonts w:hint="eastAsia"/>
          <w:lang w:eastAsia="zh-CN"/>
        </w:rPr>
        <w:t>）</w:t>
      </w:r>
      <w:r>
        <w:t>监测结果评价</w:t>
      </w:r>
      <w:bookmarkEnd w:id="427"/>
    </w:p>
    <w:p>
      <w:pPr>
        <w:ind w:firstLine="480"/>
      </w:pPr>
      <w:r>
        <w:t>由</w:t>
      </w:r>
      <w:r>
        <w:rPr>
          <w:rFonts w:hint="eastAsia"/>
          <w:lang w:eastAsia="zh-CN"/>
        </w:rPr>
        <w:t>上表</w:t>
      </w:r>
      <w:r>
        <w:t>可知，本次监测项目中，监测点噪声值昼间、夜间值均不超标，项目区域声环境质量现状满足《声环境质量标准》（GB3096-2008）中的</w:t>
      </w:r>
      <w:r>
        <w:rPr>
          <w:rFonts w:hint="eastAsia"/>
          <w:lang w:val="en-US" w:eastAsia="zh-CN"/>
        </w:rPr>
        <w:t>1</w:t>
      </w:r>
      <w:r>
        <w:rPr>
          <w:rFonts w:hint="eastAsia"/>
          <w:lang w:eastAsia="zh-CN"/>
        </w:rPr>
        <w:t>类</w:t>
      </w:r>
      <w:r>
        <w:t>区标准要求。</w:t>
      </w:r>
    </w:p>
    <w:p>
      <w:pPr>
        <w:pStyle w:val="6"/>
        <w:rPr>
          <w:bCs/>
        </w:rPr>
      </w:pPr>
      <w:bookmarkStart w:id="428" w:name="_Toc518393524"/>
      <w:bookmarkStart w:id="429" w:name="_Toc17916"/>
      <w:bookmarkStart w:id="430" w:name="_Toc10638"/>
      <w:r>
        <w:t>4.3.</w:t>
      </w:r>
      <w:r>
        <w:rPr>
          <w:rFonts w:hint="eastAsia"/>
        </w:rPr>
        <w:t>5</w:t>
      </w:r>
      <w:r>
        <w:rPr>
          <w:rFonts w:hint="eastAsia"/>
          <w:bCs/>
        </w:rPr>
        <w:t xml:space="preserve"> </w:t>
      </w:r>
      <w:r>
        <w:rPr>
          <w:bCs/>
        </w:rPr>
        <w:t>土壤环境质量现状评价</w:t>
      </w:r>
      <w:bookmarkEnd w:id="428"/>
      <w:bookmarkEnd w:id="429"/>
      <w:bookmarkEnd w:id="430"/>
    </w:p>
    <w:p>
      <w:pPr>
        <w:bidi w:val="0"/>
        <w:rPr>
          <w:rFonts w:hint="eastAsia"/>
          <w:lang w:eastAsia="zh-CN"/>
        </w:rPr>
      </w:pPr>
      <w:r>
        <w:rPr>
          <w:rFonts w:hint="eastAsia"/>
          <w:lang w:eastAsia="zh-CN"/>
        </w:rPr>
        <w:t>项目环评期间，建设单位委托辽宁鹏宇环境监测有限公司对区域土壤环境进行了现状监测，共设置</w:t>
      </w:r>
      <w:r>
        <w:rPr>
          <w:rFonts w:hint="eastAsia"/>
          <w:lang w:val="en-US" w:eastAsia="zh-CN"/>
        </w:rPr>
        <w:t>3个表层样，</w:t>
      </w:r>
      <w:r>
        <w:rPr>
          <w:rFonts w:hint="eastAsia"/>
          <w:lang w:eastAsia="zh-CN"/>
        </w:rPr>
        <w:t>并出具了监测报告。根据该监测报告：</w:t>
      </w:r>
    </w:p>
    <w:p>
      <w:pPr>
        <w:bidi w:val="0"/>
      </w:pPr>
      <w:r>
        <w:rPr>
          <w:rFonts w:hint="eastAsia"/>
          <w:lang w:eastAsia="zh-CN"/>
        </w:rPr>
        <w:t>（</w:t>
      </w:r>
      <w:r>
        <w:rPr>
          <w:rFonts w:hint="eastAsia"/>
          <w:lang w:val="en-US" w:eastAsia="zh-CN"/>
        </w:rPr>
        <w:t>1</w:t>
      </w:r>
      <w:r>
        <w:rPr>
          <w:rFonts w:hint="eastAsia"/>
          <w:lang w:eastAsia="zh-CN"/>
        </w:rPr>
        <w:t>）</w:t>
      </w:r>
      <w:r>
        <w:t>监测点位布置</w:t>
      </w:r>
    </w:p>
    <w:p>
      <w:pPr>
        <w:topLinePunct/>
        <w:spacing w:line="360" w:lineRule="auto"/>
        <w:ind w:firstLine="480" w:firstLineChars="200"/>
        <w:jc w:val="left"/>
        <w:textAlignment w:val="center"/>
        <w:rPr>
          <w:sz w:val="24"/>
          <w:szCs w:val="24"/>
        </w:rPr>
      </w:pPr>
      <w:r>
        <w:rPr>
          <w:rFonts w:hint="eastAsia"/>
          <w:sz w:val="24"/>
          <w:szCs w:val="24"/>
          <w:lang w:val="en-US" w:eastAsia="zh-CN"/>
        </w:rPr>
        <w:t>T</w:t>
      </w:r>
      <w:r>
        <w:rPr>
          <w:sz w:val="24"/>
          <w:szCs w:val="24"/>
        </w:rPr>
        <w:t>r1</w:t>
      </w:r>
      <w:r>
        <w:rPr>
          <w:rFonts w:hint="eastAsia"/>
          <w:sz w:val="24"/>
          <w:szCs w:val="24"/>
          <w:lang w:val="en-US" w:eastAsia="zh-CN"/>
        </w:rPr>
        <w:t>#</w:t>
      </w:r>
      <w:r>
        <w:rPr>
          <w:rFonts w:hint="eastAsia"/>
          <w:sz w:val="24"/>
          <w:szCs w:val="24"/>
        </w:rPr>
        <w:t>：工程</w:t>
      </w:r>
      <w:r>
        <w:rPr>
          <w:rFonts w:hint="eastAsia"/>
          <w:sz w:val="24"/>
          <w:szCs w:val="24"/>
          <w:lang w:eastAsia="zh-CN"/>
        </w:rPr>
        <w:t>起点</w:t>
      </w:r>
      <w:r>
        <w:rPr>
          <w:rFonts w:hint="eastAsia"/>
          <w:sz w:val="24"/>
          <w:szCs w:val="24"/>
        </w:rPr>
        <w:t>杨树底下村附近位置农地</w:t>
      </w:r>
    </w:p>
    <w:p>
      <w:pPr>
        <w:topLinePunct/>
        <w:spacing w:line="360" w:lineRule="auto"/>
        <w:ind w:firstLine="480" w:firstLineChars="200"/>
        <w:jc w:val="left"/>
        <w:textAlignment w:val="center"/>
        <w:rPr>
          <w:rFonts w:hint="eastAsia" w:eastAsia="宋体"/>
          <w:sz w:val="24"/>
          <w:szCs w:val="24"/>
          <w:lang w:val="en-US" w:eastAsia="zh-CN"/>
        </w:rPr>
      </w:pPr>
      <w:r>
        <w:rPr>
          <w:rFonts w:hint="eastAsia"/>
          <w:sz w:val="24"/>
          <w:szCs w:val="24"/>
          <w:lang w:val="en-US" w:eastAsia="zh-CN"/>
        </w:rPr>
        <w:t>T</w:t>
      </w:r>
      <w:r>
        <w:rPr>
          <w:sz w:val="24"/>
          <w:szCs w:val="24"/>
        </w:rPr>
        <w:t>r2</w:t>
      </w:r>
      <w:r>
        <w:rPr>
          <w:rFonts w:hint="eastAsia"/>
          <w:sz w:val="24"/>
          <w:szCs w:val="24"/>
          <w:lang w:val="en-US" w:eastAsia="zh-CN"/>
        </w:rPr>
        <w:t>#</w:t>
      </w:r>
      <w:r>
        <w:rPr>
          <w:rFonts w:hint="eastAsia"/>
          <w:sz w:val="24"/>
          <w:szCs w:val="24"/>
        </w:rPr>
        <w:t>：</w:t>
      </w:r>
      <w:r>
        <w:rPr>
          <w:rFonts w:hint="eastAsia"/>
          <w:sz w:val="24"/>
          <w:szCs w:val="24"/>
          <w:lang w:eastAsia="zh-CN"/>
        </w:rPr>
        <w:t>工程占地范围内农地</w:t>
      </w:r>
    </w:p>
    <w:p>
      <w:pPr>
        <w:topLinePunct/>
        <w:spacing w:line="360" w:lineRule="auto"/>
        <w:ind w:firstLine="480" w:firstLineChars="200"/>
        <w:jc w:val="left"/>
        <w:textAlignment w:val="center"/>
        <w:rPr>
          <w:sz w:val="24"/>
          <w:szCs w:val="24"/>
        </w:rPr>
      </w:pPr>
      <w:r>
        <w:rPr>
          <w:rFonts w:hint="eastAsia"/>
          <w:sz w:val="24"/>
          <w:szCs w:val="24"/>
          <w:lang w:val="en-US" w:eastAsia="zh-CN"/>
        </w:rPr>
        <w:t>T</w:t>
      </w:r>
      <w:r>
        <w:rPr>
          <w:sz w:val="24"/>
          <w:szCs w:val="24"/>
        </w:rPr>
        <w:t>r3</w:t>
      </w:r>
      <w:r>
        <w:rPr>
          <w:rFonts w:hint="eastAsia"/>
          <w:sz w:val="24"/>
          <w:szCs w:val="24"/>
          <w:lang w:val="en-US" w:eastAsia="zh-CN"/>
        </w:rPr>
        <w:t>#</w:t>
      </w:r>
      <w:r>
        <w:rPr>
          <w:rFonts w:hint="eastAsia"/>
          <w:sz w:val="24"/>
          <w:szCs w:val="24"/>
        </w:rPr>
        <w:t>：工程终点</w:t>
      </w:r>
      <w:r>
        <w:rPr>
          <w:rFonts w:hint="eastAsia"/>
          <w:sz w:val="24"/>
          <w:szCs w:val="24"/>
          <w:lang w:eastAsia="zh-CN"/>
        </w:rPr>
        <w:t>三块石村</w:t>
      </w:r>
      <w:r>
        <w:rPr>
          <w:rFonts w:hint="eastAsia"/>
          <w:sz w:val="24"/>
          <w:szCs w:val="24"/>
        </w:rPr>
        <w:t>附近农地</w:t>
      </w:r>
    </w:p>
    <w:p>
      <w:pPr>
        <w:bidi w:val="0"/>
      </w:pPr>
      <w:r>
        <w:rPr>
          <w:rFonts w:hint="eastAsia"/>
          <w:lang w:eastAsia="zh-CN"/>
        </w:rPr>
        <w:t>（</w:t>
      </w:r>
      <w:r>
        <w:rPr>
          <w:rFonts w:hint="eastAsia"/>
          <w:lang w:val="en-US" w:eastAsia="zh-CN"/>
        </w:rPr>
        <w:t>2</w:t>
      </w:r>
      <w:r>
        <w:rPr>
          <w:rFonts w:hint="eastAsia"/>
          <w:lang w:eastAsia="zh-CN"/>
        </w:rPr>
        <w:t>）</w:t>
      </w:r>
      <w:r>
        <w:rPr>
          <w:rFonts w:hint="eastAsia"/>
        </w:rPr>
        <w:t>监测项目</w:t>
      </w:r>
    </w:p>
    <w:p>
      <w:pPr>
        <w:bidi w:val="0"/>
        <w:rPr>
          <w:rFonts w:hint="eastAsia"/>
          <w:sz w:val="24"/>
        </w:rPr>
      </w:pPr>
      <w:r>
        <w:rPr>
          <w:rFonts w:hint="eastAsia"/>
          <w:sz w:val="24"/>
        </w:rPr>
        <w:t>pH、镉、汞、砷、铅、铬、铜、镍、锌；土壤含盐量。</w:t>
      </w:r>
    </w:p>
    <w:p>
      <w:pPr>
        <w:bidi w:val="0"/>
      </w:pPr>
      <w:r>
        <w:rPr>
          <w:rFonts w:hint="eastAsia"/>
          <w:lang w:eastAsia="zh-CN"/>
        </w:rPr>
        <w:t>（</w:t>
      </w:r>
      <w:r>
        <w:rPr>
          <w:rFonts w:hint="eastAsia"/>
          <w:lang w:val="en-US" w:eastAsia="zh-CN"/>
        </w:rPr>
        <w:t>3</w:t>
      </w:r>
      <w:r>
        <w:rPr>
          <w:rFonts w:hint="eastAsia"/>
          <w:lang w:eastAsia="zh-CN"/>
        </w:rPr>
        <w:t>）</w:t>
      </w:r>
      <w:r>
        <w:rPr>
          <w:rFonts w:hint="eastAsia"/>
        </w:rPr>
        <w:t>监测日期与监测频次</w:t>
      </w:r>
    </w:p>
    <w:p>
      <w:pPr>
        <w:autoSpaceDE w:val="0"/>
        <w:autoSpaceDN w:val="0"/>
        <w:ind w:firstLine="480"/>
      </w:pPr>
      <w:r>
        <w:t>土壤环境质量现状监</w:t>
      </w:r>
      <w:r>
        <w:rPr>
          <w:highlight w:val="none"/>
        </w:rPr>
        <w:t>测于</w:t>
      </w:r>
      <w:r>
        <w:rPr>
          <w:spacing w:val="20"/>
          <w:highlight w:val="none"/>
        </w:rPr>
        <w:t>2</w:t>
      </w:r>
      <w:r>
        <w:rPr>
          <w:rFonts w:hint="eastAsia"/>
          <w:spacing w:val="20"/>
          <w:highlight w:val="none"/>
          <w:lang w:val="en-US" w:eastAsia="zh-CN"/>
        </w:rPr>
        <w:t>022</w:t>
      </w:r>
      <w:r>
        <w:rPr>
          <w:spacing w:val="20"/>
          <w:highlight w:val="none"/>
        </w:rPr>
        <w:t>年</w:t>
      </w:r>
      <w:r>
        <w:rPr>
          <w:rFonts w:hint="eastAsia"/>
          <w:spacing w:val="20"/>
          <w:highlight w:val="none"/>
          <w:lang w:val="en-US" w:eastAsia="zh-CN"/>
        </w:rPr>
        <w:t>9</w:t>
      </w:r>
      <w:r>
        <w:rPr>
          <w:spacing w:val="20"/>
          <w:highlight w:val="none"/>
        </w:rPr>
        <w:t>月</w:t>
      </w:r>
      <w:r>
        <w:rPr>
          <w:rFonts w:hint="eastAsia"/>
          <w:spacing w:val="20"/>
          <w:highlight w:val="none"/>
          <w:lang w:val="en-US" w:eastAsia="zh-CN"/>
        </w:rPr>
        <w:t>5</w:t>
      </w:r>
      <w:r>
        <w:rPr>
          <w:spacing w:val="20"/>
          <w:highlight w:val="none"/>
        </w:rPr>
        <w:t>日</w:t>
      </w:r>
      <w:r>
        <w:rPr>
          <w:highlight w:val="none"/>
        </w:rPr>
        <w:t>进行</w:t>
      </w:r>
      <w:r>
        <w:t>，</w:t>
      </w:r>
      <w:r>
        <w:rPr>
          <w:rFonts w:hint="eastAsia"/>
        </w:rPr>
        <w:t>分别</w:t>
      </w:r>
      <w:r>
        <w:t>监测1日，日采样1次。</w:t>
      </w:r>
    </w:p>
    <w:p>
      <w:pPr>
        <w:bidi w:val="0"/>
      </w:pPr>
      <w:r>
        <w:rPr>
          <w:rFonts w:hint="eastAsia"/>
          <w:lang w:eastAsia="zh-CN"/>
        </w:rPr>
        <w:t>（</w:t>
      </w:r>
      <w:r>
        <w:rPr>
          <w:rFonts w:hint="eastAsia"/>
          <w:lang w:val="en-US" w:eastAsia="zh-CN"/>
        </w:rPr>
        <w:t>4</w:t>
      </w:r>
      <w:r>
        <w:rPr>
          <w:rFonts w:hint="eastAsia"/>
          <w:lang w:eastAsia="zh-CN"/>
        </w:rPr>
        <w:t>）</w:t>
      </w:r>
      <w:r>
        <w:rPr>
          <w:rFonts w:hint="eastAsia"/>
        </w:rPr>
        <w:t>评价标准与评价方法</w:t>
      </w:r>
    </w:p>
    <w:p>
      <w:pPr>
        <w:rPr>
          <w:color w:val="000000"/>
        </w:rPr>
      </w:pPr>
      <w:r>
        <w:rPr>
          <w:color w:val="000000"/>
        </w:rPr>
        <w:t>评价标准采用《土壤环境质量 农用地土壤污染风险管控标准（试行）》（GB15618-2018）中的表1标准要求。</w:t>
      </w:r>
      <w:r>
        <w:rPr>
          <w:rFonts w:hint="eastAsia"/>
          <w:color w:val="000000"/>
        </w:rPr>
        <w:t>评价方法采用标准指数法。</w:t>
      </w:r>
    </w:p>
    <w:p>
      <w:pPr>
        <w:bidi w:val="0"/>
        <w:rPr>
          <w:rFonts w:hint="eastAsia" w:eastAsia="宋体"/>
          <w:lang w:eastAsia="zh-CN"/>
        </w:rPr>
      </w:pPr>
      <w:r>
        <w:rPr>
          <w:rFonts w:hint="eastAsia"/>
          <w:lang w:eastAsia="zh-CN"/>
        </w:rPr>
        <w:t>（</w:t>
      </w:r>
      <w:r>
        <w:rPr>
          <w:rFonts w:hint="eastAsia"/>
          <w:lang w:val="en-US" w:eastAsia="zh-CN"/>
        </w:rPr>
        <w:t>5</w:t>
      </w:r>
      <w:r>
        <w:rPr>
          <w:rFonts w:hint="eastAsia"/>
          <w:lang w:eastAsia="zh-CN"/>
        </w:rPr>
        <w:t>）</w:t>
      </w:r>
      <w:r>
        <w:rPr>
          <w:rFonts w:hint="eastAsia"/>
        </w:rPr>
        <w:t>监测结果</w:t>
      </w:r>
      <w:r>
        <w:rPr>
          <w:rFonts w:hint="eastAsia"/>
          <w:lang w:eastAsia="zh-CN"/>
        </w:rPr>
        <w:t>统计</w:t>
      </w:r>
    </w:p>
    <w:p>
      <w:pPr>
        <w:ind w:firstLine="480"/>
        <w:rPr>
          <w:rFonts w:hint="eastAsia"/>
          <w:highlight w:val="none"/>
          <w:lang w:val="en-US" w:eastAsia="zh-CN"/>
        </w:rPr>
      </w:pPr>
      <w:r>
        <w:t>项目</w:t>
      </w:r>
      <w:r>
        <w:rPr>
          <w:rFonts w:hint="eastAsia"/>
        </w:rPr>
        <w:t>土壤</w:t>
      </w:r>
      <w:r>
        <w:t>环境</w:t>
      </w:r>
      <w:r>
        <w:rPr>
          <w:highlight w:val="none"/>
        </w:rPr>
        <w:t>质量现状监测结果见表4</w:t>
      </w:r>
      <w:r>
        <w:rPr>
          <w:rFonts w:hint="eastAsia"/>
          <w:highlight w:val="none"/>
        </w:rPr>
        <w:t>.3-</w:t>
      </w:r>
      <w:r>
        <w:rPr>
          <w:rFonts w:hint="eastAsia"/>
          <w:highlight w:val="none"/>
          <w:lang w:val="en-US" w:eastAsia="zh-CN"/>
        </w:rPr>
        <w:t>5~</w:t>
      </w:r>
      <w:r>
        <w:rPr>
          <w:rFonts w:hint="eastAsia"/>
          <w:highlight w:val="none"/>
        </w:rPr>
        <w:t>4.3-</w:t>
      </w:r>
      <w:r>
        <w:rPr>
          <w:rFonts w:hint="eastAsia"/>
          <w:highlight w:val="none"/>
          <w:lang w:val="en-US" w:eastAsia="zh-CN"/>
        </w:rPr>
        <w:t>6。</w:t>
      </w:r>
    </w:p>
    <w:p>
      <w:pPr>
        <w:pStyle w:val="1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表4.3-5  土壤污染风险管控指标检测结果一览表</w:t>
      </w:r>
    </w:p>
    <w:tbl>
      <w:tblPr>
        <w:tblStyle w:val="40"/>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10"/>
        <w:gridCol w:w="1320"/>
        <w:gridCol w:w="885"/>
        <w:gridCol w:w="1110"/>
        <w:gridCol w:w="900"/>
        <w:gridCol w:w="1140"/>
        <w:gridCol w:w="79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restart"/>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color w:val="000000"/>
                <w:sz w:val="21"/>
                <w:szCs w:val="21"/>
                <w:highlight w:val="none"/>
                <w:lang w:bidi="ar"/>
              </w:rPr>
            </w:pPr>
            <w:r>
              <w:rPr>
                <w:rFonts w:hint="default"/>
                <w:b/>
                <w:bCs/>
                <w:sz w:val="21"/>
                <w:szCs w:val="21"/>
                <w:highlight w:val="none"/>
              </w:rPr>
              <w:t>检测项目</w:t>
            </w:r>
          </w:p>
        </w:tc>
        <w:tc>
          <w:tcPr>
            <w:tcW w:w="810" w:type="dxa"/>
            <w:vMerge w:val="restart"/>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sz w:val="21"/>
                <w:szCs w:val="21"/>
                <w:highlight w:val="none"/>
              </w:rPr>
            </w:pPr>
            <w:r>
              <w:rPr>
                <w:rFonts w:hint="eastAsia"/>
                <w:b/>
                <w:bCs/>
                <w:sz w:val="21"/>
                <w:szCs w:val="21"/>
                <w:highlight w:val="none"/>
              </w:rPr>
              <w:t>单位</w:t>
            </w:r>
          </w:p>
        </w:tc>
        <w:tc>
          <w:tcPr>
            <w:tcW w:w="132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b/>
                <w:spacing w:val="-10"/>
                <w:sz w:val="21"/>
                <w:szCs w:val="21"/>
                <w:highlight w:val="none"/>
              </w:rPr>
            </w:pPr>
            <w:r>
              <w:rPr>
                <w:rFonts w:hint="eastAsia" w:hAnsi="宋体"/>
                <w:b/>
                <w:spacing w:val="-10"/>
                <w:sz w:val="21"/>
                <w:szCs w:val="21"/>
                <w:highlight w:val="none"/>
              </w:rPr>
              <w:t>筛选值</w:t>
            </w:r>
          </w:p>
        </w:tc>
        <w:tc>
          <w:tcPr>
            <w:tcW w:w="1995" w:type="dxa"/>
            <w:gridSpan w:val="2"/>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sz w:val="21"/>
                <w:szCs w:val="21"/>
                <w:highlight w:val="none"/>
              </w:rPr>
            </w:pPr>
            <w:r>
              <w:rPr>
                <w:rFonts w:hint="default"/>
                <w:b/>
                <w:bCs/>
                <w:sz w:val="21"/>
                <w:szCs w:val="21"/>
                <w:highlight w:val="none"/>
              </w:rPr>
              <w:t>Tr1</w:t>
            </w:r>
            <w:r>
              <w:rPr>
                <w:rFonts w:hint="eastAsia"/>
                <w:b/>
                <w:bCs/>
                <w:sz w:val="21"/>
                <w:szCs w:val="21"/>
                <w:highlight w:val="none"/>
              </w:rPr>
              <w:t>#</w:t>
            </w:r>
          </w:p>
        </w:tc>
        <w:tc>
          <w:tcPr>
            <w:tcW w:w="2040" w:type="dxa"/>
            <w:gridSpan w:val="2"/>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sz w:val="21"/>
                <w:szCs w:val="21"/>
                <w:highlight w:val="none"/>
              </w:rPr>
            </w:pPr>
            <w:r>
              <w:rPr>
                <w:rFonts w:hint="default"/>
                <w:b/>
                <w:bCs/>
                <w:sz w:val="21"/>
                <w:szCs w:val="21"/>
                <w:highlight w:val="none"/>
              </w:rPr>
              <w:t>Tr2</w:t>
            </w:r>
            <w:r>
              <w:rPr>
                <w:rFonts w:hint="eastAsia"/>
                <w:b/>
                <w:bCs/>
                <w:sz w:val="21"/>
                <w:szCs w:val="21"/>
                <w:highlight w:val="none"/>
              </w:rPr>
              <w:t>#</w:t>
            </w:r>
          </w:p>
        </w:tc>
        <w:tc>
          <w:tcPr>
            <w:tcW w:w="1860" w:type="dxa"/>
            <w:gridSpan w:val="2"/>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sz w:val="21"/>
                <w:szCs w:val="21"/>
                <w:highlight w:val="none"/>
              </w:rPr>
            </w:pPr>
            <w:r>
              <w:rPr>
                <w:rFonts w:hint="default"/>
                <w:b/>
                <w:bCs/>
                <w:sz w:val="21"/>
                <w:szCs w:val="21"/>
                <w:highlight w:val="none"/>
              </w:rPr>
              <w:t>Tr3</w:t>
            </w:r>
            <w:r>
              <w:rPr>
                <w:rFonts w:hint="eastAsia"/>
                <w:b/>
                <w:bCs/>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color w:val="000000"/>
                <w:sz w:val="21"/>
                <w:szCs w:val="21"/>
                <w:highlight w:val="none"/>
                <w:lang w:bidi="ar"/>
              </w:rPr>
            </w:pPr>
          </w:p>
        </w:tc>
        <w:tc>
          <w:tcPr>
            <w:tcW w:w="810" w:type="dxa"/>
            <w:vMerge w:val="continue"/>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sz w:val="21"/>
                <w:szCs w:val="21"/>
                <w:highlight w:val="none"/>
              </w:rPr>
            </w:pPr>
          </w:p>
        </w:tc>
        <w:tc>
          <w:tcPr>
            <w:tcW w:w="132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bCs/>
                <w:sz w:val="21"/>
                <w:szCs w:val="21"/>
                <w:highlight w:val="none"/>
              </w:rPr>
            </w:pPr>
            <w:r>
              <w:rPr>
                <w:rFonts w:hint="eastAsia"/>
                <w:b/>
                <w:bCs/>
                <w:sz w:val="21"/>
                <w:szCs w:val="21"/>
                <w:highlight w:val="none"/>
              </w:rPr>
              <w:t>农用地基本项目</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bCs/>
                <w:sz w:val="21"/>
                <w:szCs w:val="21"/>
                <w:highlight w:val="none"/>
              </w:rPr>
            </w:pPr>
            <w:r>
              <w:rPr>
                <w:rFonts w:hint="eastAsia"/>
                <w:b/>
                <w:bCs/>
                <w:sz w:val="21"/>
                <w:szCs w:val="21"/>
                <w:highlight w:val="none"/>
              </w:rPr>
              <w:t>监测结果</w:t>
            </w:r>
          </w:p>
        </w:tc>
        <w:tc>
          <w:tcPr>
            <w:tcW w:w="111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bCs/>
                <w:sz w:val="21"/>
                <w:szCs w:val="21"/>
                <w:highlight w:val="none"/>
              </w:rPr>
            </w:pPr>
            <w:r>
              <w:rPr>
                <w:rFonts w:hint="eastAsia"/>
                <w:b/>
                <w:bCs/>
                <w:sz w:val="21"/>
                <w:szCs w:val="21"/>
                <w:highlight w:val="none"/>
              </w:rPr>
              <w:t>标准指数</w:t>
            </w:r>
          </w:p>
        </w:tc>
        <w:tc>
          <w:tcPr>
            <w:tcW w:w="900" w:type="dxa"/>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sz w:val="21"/>
                <w:szCs w:val="21"/>
                <w:highlight w:val="none"/>
              </w:rPr>
            </w:pPr>
            <w:r>
              <w:rPr>
                <w:rFonts w:hint="eastAsia"/>
                <w:b/>
                <w:bCs/>
                <w:sz w:val="21"/>
                <w:szCs w:val="21"/>
                <w:highlight w:val="none"/>
              </w:rPr>
              <w:t>监测结果</w:t>
            </w:r>
          </w:p>
        </w:tc>
        <w:tc>
          <w:tcPr>
            <w:tcW w:w="1140" w:type="dxa"/>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sz w:val="21"/>
                <w:szCs w:val="21"/>
                <w:highlight w:val="none"/>
              </w:rPr>
            </w:pPr>
            <w:r>
              <w:rPr>
                <w:rFonts w:hint="eastAsia"/>
                <w:b/>
                <w:bCs/>
                <w:sz w:val="21"/>
                <w:szCs w:val="21"/>
                <w:highlight w:val="none"/>
              </w:rPr>
              <w:t>标准指数</w:t>
            </w:r>
          </w:p>
        </w:tc>
        <w:tc>
          <w:tcPr>
            <w:tcW w:w="795" w:type="dxa"/>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sz w:val="21"/>
                <w:szCs w:val="21"/>
                <w:highlight w:val="none"/>
              </w:rPr>
            </w:pPr>
            <w:r>
              <w:rPr>
                <w:rFonts w:hint="eastAsia"/>
                <w:b/>
                <w:bCs/>
                <w:sz w:val="21"/>
                <w:szCs w:val="21"/>
                <w:highlight w:val="none"/>
              </w:rPr>
              <w:t>监测结果</w:t>
            </w:r>
          </w:p>
        </w:tc>
        <w:tc>
          <w:tcPr>
            <w:tcW w:w="1065" w:type="dxa"/>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sz w:val="21"/>
                <w:szCs w:val="21"/>
                <w:highlight w:val="none"/>
              </w:rPr>
            </w:pPr>
            <w:r>
              <w:rPr>
                <w:rFonts w:hint="eastAsia"/>
                <w:b/>
                <w:bCs/>
                <w:sz w:val="21"/>
                <w:szCs w:val="21"/>
                <w:highlight w:val="none"/>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color w:val="000000"/>
                <w:sz w:val="21"/>
                <w:szCs w:val="21"/>
                <w:highlight w:val="none"/>
                <w:lang w:bidi="ar"/>
              </w:rPr>
            </w:pPr>
            <w:r>
              <w:rPr>
                <w:rFonts w:hint="eastAsia"/>
                <w:color w:val="000000"/>
                <w:sz w:val="21"/>
                <w:szCs w:val="21"/>
                <w:highlight w:val="none"/>
                <w:lang w:bidi="ar"/>
              </w:rPr>
              <w:t>p</w:t>
            </w:r>
            <w:r>
              <w:rPr>
                <w:rFonts w:hint="default"/>
                <w:color w:val="000000"/>
                <w:sz w:val="21"/>
                <w:szCs w:val="21"/>
                <w:highlight w:val="none"/>
                <w:lang w:bidi="ar"/>
              </w:rPr>
              <w:t>H</w:t>
            </w:r>
          </w:p>
        </w:tc>
        <w:tc>
          <w:tcPr>
            <w:tcW w:w="81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highlight w:val="none"/>
              </w:rPr>
            </w:pPr>
            <w:r>
              <w:rPr>
                <w:rFonts w:hint="eastAsia"/>
                <w:sz w:val="21"/>
                <w:szCs w:val="21"/>
                <w:highlight w:val="none"/>
              </w:rPr>
              <w:t>/</w:t>
            </w:r>
          </w:p>
        </w:tc>
        <w:tc>
          <w:tcPr>
            <w:tcW w:w="132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spacing w:val="-10"/>
                <w:sz w:val="21"/>
                <w:szCs w:val="21"/>
                <w:highlight w:val="none"/>
              </w:rPr>
            </w:pPr>
            <w:r>
              <w:rPr>
                <w:rFonts w:hint="default"/>
                <w:spacing w:val="-10"/>
                <w:sz w:val="20"/>
                <w:szCs w:val="21"/>
                <w:highlight w:val="none"/>
              </w:rPr>
              <w:t>pH</w:t>
            </w:r>
            <w:r>
              <w:rPr>
                <w:rFonts w:hint="eastAsia"/>
                <w:spacing w:val="-10"/>
                <w:sz w:val="20"/>
                <w:szCs w:val="21"/>
                <w:highlight w:val="none"/>
                <w:lang w:val="en-US" w:eastAsia="zh-CN"/>
              </w:rPr>
              <w:t>&gt;</w:t>
            </w:r>
            <w:r>
              <w:rPr>
                <w:rFonts w:hint="default"/>
                <w:spacing w:val="-10"/>
                <w:sz w:val="20"/>
                <w:szCs w:val="21"/>
                <w:highlight w:val="none"/>
              </w:rPr>
              <w:t>7.5</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8.22</w:t>
            </w:r>
          </w:p>
        </w:tc>
        <w:tc>
          <w:tcPr>
            <w:tcW w:w="1110"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等线"/>
                <w:color w:val="000000"/>
                <w:sz w:val="21"/>
                <w:szCs w:val="21"/>
                <w:highlight w:val="none"/>
                <w:lang w:eastAsia="zh-CN"/>
              </w:rPr>
            </w:pPr>
            <w:r>
              <w:rPr>
                <w:rFonts w:hint="eastAsia" w:eastAsia="等线"/>
                <w:color w:val="000000"/>
                <w:sz w:val="21"/>
                <w:szCs w:val="21"/>
                <w:highlight w:val="none"/>
                <w:lang w:val="en-US" w:eastAsia="zh-CN"/>
              </w:rPr>
              <w:t>/</w:t>
            </w:r>
          </w:p>
        </w:tc>
        <w:tc>
          <w:tcPr>
            <w:tcW w:w="90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8.16</w:t>
            </w:r>
          </w:p>
        </w:tc>
        <w:tc>
          <w:tcPr>
            <w:tcW w:w="1140"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等线"/>
                <w:color w:val="000000"/>
                <w:sz w:val="21"/>
                <w:szCs w:val="21"/>
                <w:highlight w:val="none"/>
                <w:lang w:eastAsia="zh-CN"/>
              </w:rPr>
            </w:pPr>
            <w:r>
              <w:rPr>
                <w:rFonts w:hint="eastAsia" w:eastAsia="等线"/>
                <w:color w:val="000000"/>
                <w:sz w:val="21"/>
                <w:szCs w:val="21"/>
                <w:highlight w:val="none"/>
                <w:lang w:val="en-US" w:eastAsia="zh-CN"/>
              </w:rPr>
              <w:t>/</w:t>
            </w:r>
          </w:p>
        </w:tc>
        <w:tc>
          <w:tcPr>
            <w:tcW w:w="79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8.08</w:t>
            </w:r>
          </w:p>
        </w:tc>
        <w:tc>
          <w:tcPr>
            <w:tcW w:w="106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等线"/>
                <w:color w:val="000000"/>
                <w:sz w:val="21"/>
                <w:szCs w:val="21"/>
                <w:highlight w:val="none"/>
                <w:lang w:eastAsia="zh-CN"/>
              </w:rPr>
            </w:pPr>
            <w:r>
              <w:rPr>
                <w:rFonts w:hint="eastAsia" w:eastAsia="等线"/>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highlight w:val="none"/>
                <w:lang w:bidi="ar"/>
              </w:rPr>
            </w:pPr>
            <w:r>
              <w:rPr>
                <w:rFonts w:hint="eastAsia" w:asciiTheme="minorEastAsia" w:hAnsiTheme="minorEastAsia" w:eastAsiaTheme="minorEastAsia" w:cstheme="minorEastAsia"/>
                <w:color w:val="auto"/>
                <w:sz w:val="21"/>
                <w:szCs w:val="21"/>
                <w:highlight w:val="none"/>
              </w:rPr>
              <w:t>砷</w:t>
            </w:r>
          </w:p>
        </w:tc>
        <w:tc>
          <w:tcPr>
            <w:tcW w:w="81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Cs/>
                <w:sz w:val="21"/>
                <w:szCs w:val="21"/>
                <w:highlight w:val="none"/>
              </w:rPr>
            </w:pPr>
            <w:r>
              <w:rPr>
                <w:rFonts w:hint="default"/>
                <w:sz w:val="21"/>
                <w:szCs w:val="21"/>
                <w:highlight w:val="none"/>
              </w:rPr>
              <w:t>mg/kg</w:t>
            </w:r>
          </w:p>
        </w:tc>
        <w:tc>
          <w:tcPr>
            <w:tcW w:w="132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spacing w:val="-10"/>
                <w:sz w:val="21"/>
                <w:szCs w:val="21"/>
                <w:highlight w:val="none"/>
                <w:lang w:val="en-US" w:eastAsia="zh-CN"/>
              </w:rPr>
            </w:pPr>
            <w:r>
              <w:rPr>
                <w:rFonts w:hint="eastAsia" w:eastAsia="等线"/>
                <w:color w:val="000000"/>
                <w:sz w:val="21"/>
                <w:szCs w:val="21"/>
                <w:highlight w:val="none"/>
                <w:lang w:val="en-US" w:eastAsia="zh-CN"/>
              </w:rPr>
              <w:t>25</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5.04</w:t>
            </w:r>
          </w:p>
        </w:tc>
        <w:tc>
          <w:tcPr>
            <w:tcW w:w="111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0.20</w:t>
            </w:r>
          </w:p>
        </w:tc>
        <w:tc>
          <w:tcPr>
            <w:tcW w:w="900"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5.36</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0.21</w:t>
            </w:r>
          </w:p>
        </w:tc>
        <w:tc>
          <w:tcPr>
            <w:tcW w:w="79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5.91</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highlight w:val="none"/>
                <w:lang w:bidi="ar"/>
              </w:rPr>
            </w:pPr>
            <w:r>
              <w:rPr>
                <w:rFonts w:hint="eastAsia" w:asciiTheme="minorEastAsia" w:hAnsiTheme="minorEastAsia" w:eastAsiaTheme="minorEastAsia" w:cstheme="minorEastAsia"/>
                <w:color w:val="auto"/>
                <w:sz w:val="21"/>
                <w:szCs w:val="21"/>
                <w:highlight w:val="none"/>
              </w:rPr>
              <w:t>镉</w:t>
            </w:r>
          </w:p>
        </w:tc>
        <w:tc>
          <w:tcPr>
            <w:tcW w:w="81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highlight w:val="none"/>
              </w:rPr>
            </w:pPr>
            <w:r>
              <w:rPr>
                <w:rFonts w:hint="default"/>
                <w:sz w:val="21"/>
                <w:szCs w:val="21"/>
                <w:highlight w:val="none"/>
              </w:rPr>
              <w:t>mg/kg</w:t>
            </w:r>
          </w:p>
        </w:tc>
        <w:tc>
          <w:tcPr>
            <w:tcW w:w="132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spacing w:val="-10"/>
                <w:sz w:val="21"/>
                <w:szCs w:val="21"/>
                <w:highlight w:val="none"/>
                <w:lang w:val="en-US" w:eastAsia="zh-CN"/>
              </w:rPr>
            </w:pPr>
            <w:r>
              <w:rPr>
                <w:rFonts w:hint="eastAsia" w:eastAsia="等线"/>
                <w:color w:val="000000"/>
                <w:sz w:val="21"/>
                <w:szCs w:val="21"/>
                <w:highlight w:val="none"/>
                <w:lang w:val="en-US" w:eastAsia="zh-CN"/>
              </w:rPr>
              <w:t>0.6</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0.09</w:t>
            </w:r>
          </w:p>
        </w:tc>
        <w:tc>
          <w:tcPr>
            <w:tcW w:w="111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0.15</w:t>
            </w:r>
          </w:p>
        </w:tc>
        <w:tc>
          <w:tcPr>
            <w:tcW w:w="900"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0.24</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0.40</w:t>
            </w:r>
          </w:p>
        </w:tc>
        <w:tc>
          <w:tcPr>
            <w:tcW w:w="79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0.25</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highlight w:val="none"/>
                <w:lang w:bidi="ar"/>
              </w:rPr>
            </w:pPr>
            <w:r>
              <w:rPr>
                <w:rFonts w:hint="eastAsia" w:asciiTheme="minorEastAsia" w:hAnsiTheme="minorEastAsia" w:eastAsiaTheme="minorEastAsia" w:cstheme="minorEastAsia"/>
                <w:sz w:val="21"/>
                <w:szCs w:val="21"/>
                <w:highlight w:val="none"/>
                <w:lang w:eastAsia="zh-CN"/>
              </w:rPr>
              <w:t>总</w:t>
            </w:r>
            <w:r>
              <w:rPr>
                <w:rFonts w:hint="eastAsia" w:asciiTheme="minorEastAsia" w:hAnsiTheme="minorEastAsia" w:eastAsiaTheme="minorEastAsia" w:cstheme="minorEastAsia"/>
                <w:sz w:val="21"/>
                <w:szCs w:val="21"/>
                <w:highlight w:val="none"/>
              </w:rPr>
              <w:t>铬</w:t>
            </w:r>
          </w:p>
        </w:tc>
        <w:tc>
          <w:tcPr>
            <w:tcW w:w="81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highlight w:val="none"/>
              </w:rPr>
            </w:pPr>
            <w:r>
              <w:rPr>
                <w:rFonts w:hint="default"/>
                <w:sz w:val="21"/>
                <w:szCs w:val="21"/>
                <w:highlight w:val="none"/>
              </w:rPr>
              <w:t>mg/kg</w:t>
            </w:r>
          </w:p>
        </w:tc>
        <w:tc>
          <w:tcPr>
            <w:tcW w:w="132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spacing w:val="-10"/>
                <w:sz w:val="21"/>
                <w:szCs w:val="21"/>
                <w:highlight w:val="none"/>
                <w:lang w:val="en-US" w:eastAsia="zh-CN"/>
              </w:rPr>
            </w:pPr>
            <w:r>
              <w:rPr>
                <w:rFonts w:hint="eastAsia" w:eastAsia="等线"/>
                <w:color w:val="000000"/>
                <w:sz w:val="21"/>
                <w:szCs w:val="21"/>
                <w:highlight w:val="none"/>
                <w:lang w:val="en-US" w:eastAsia="zh-CN"/>
              </w:rPr>
              <w:t>250</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54</w:t>
            </w:r>
          </w:p>
        </w:tc>
        <w:tc>
          <w:tcPr>
            <w:tcW w:w="111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0.22</w:t>
            </w:r>
          </w:p>
        </w:tc>
        <w:tc>
          <w:tcPr>
            <w:tcW w:w="900"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50</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0.20</w:t>
            </w:r>
          </w:p>
        </w:tc>
        <w:tc>
          <w:tcPr>
            <w:tcW w:w="79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49</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highlight w:val="none"/>
                <w:lang w:bidi="ar"/>
              </w:rPr>
            </w:pPr>
            <w:r>
              <w:rPr>
                <w:rFonts w:hint="eastAsia" w:asciiTheme="minorEastAsia" w:hAnsiTheme="minorEastAsia" w:eastAsiaTheme="minorEastAsia" w:cstheme="minorEastAsia"/>
                <w:color w:val="auto"/>
                <w:sz w:val="21"/>
                <w:szCs w:val="21"/>
                <w:highlight w:val="none"/>
              </w:rPr>
              <w:t>铜</w:t>
            </w:r>
          </w:p>
        </w:tc>
        <w:tc>
          <w:tcPr>
            <w:tcW w:w="81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Cs/>
                <w:sz w:val="21"/>
                <w:szCs w:val="21"/>
                <w:highlight w:val="none"/>
              </w:rPr>
            </w:pPr>
            <w:r>
              <w:rPr>
                <w:rFonts w:hint="default"/>
                <w:sz w:val="21"/>
                <w:szCs w:val="21"/>
                <w:highlight w:val="none"/>
              </w:rPr>
              <w:t>mg/kg</w:t>
            </w:r>
          </w:p>
        </w:tc>
        <w:tc>
          <w:tcPr>
            <w:tcW w:w="132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spacing w:val="-10"/>
                <w:sz w:val="21"/>
                <w:szCs w:val="21"/>
                <w:highlight w:val="none"/>
                <w:lang w:val="en-US" w:eastAsia="zh-CN"/>
              </w:rPr>
            </w:pPr>
            <w:r>
              <w:rPr>
                <w:rFonts w:hint="eastAsia" w:eastAsia="等线"/>
                <w:color w:val="000000"/>
                <w:sz w:val="21"/>
                <w:szCs w:val="21"/>
                <w:highlight w:val="none"/>
                <w:lang w:val="en-US" w:eastAsia="zh-CN"/>
              </w:rPr>
              <w:t>100</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32</w:t>
            </w:r>
          </w:p>
        </w:tc>
        <w:tc>
          <w:tcPr>
            <w:tcW w:w="111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0.32</w:t>
            </w:r>
          </w:p>
        </w:tc>
        <w:tc>
          <w:tcPr>
            <w:tcW w:w="900"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36</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0.36</w:t>
            </w:r>
          </w:p>
        </w:tc>
        <w:tc>
          <w:tcPr>
            <w:tcW w:w="79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33</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highlight w:val="none"/>
                <w:lang w:bidi="ar"/>
              </w:rPr>
            </w:pPr>
            <w:r>
              <w:rPr>
                <w:rFonts w:hint="eastAsia" w:asciiTheme="minorEastAsia" w:hAnsiTheme="minorEastAsia" w:eastAsiaTheme="minorEastAsia" w:cstheme="minorEastAsia"/>
                <w:color w:val="auto"/>
                <w:sz w:val="21"/>
                <w:szCs w:val="21"/>
                <w:highlight w:val="none"/>
              </w:rPr>
              <w:t>铅</w:t>
            </w:r>
          </w:p>
        </w:tc>
        <w:tc>
          <w:tcPr>
            <w:tcW w:w="81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Cs/>
                <w:sz w:val="21"/>
                <w:szCs w:val="21"/>
                <w:highlight w:val="none"/>
              </w:rPr>
            </w:pPr>
            <w:r>
              <w:rPr>
                <w:rFonts w:hint="default"/>
                <w:sz w:val="21"/>
                <w:szCs w:val="21"/>
                <w:highlight w:val="none"/>
              </w:rPr>
              <w:t>mg/kg</w:t>
            </w:r>
          </w:p>
        </w:tc>
        <w:tc>
          <w:tcPr>
            <w:tcW w:w="132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spacing w:val="-10"/>
                <w:sz w:val="21"/>
                <w:szCs w:val="21"/>
                <w:highlight w:val="none"/>
                <w:lang w:val="en-US" w:eastAsia="zh-CN"/>
              </w:rPr>
            </w:pPr>
            <w:r>
              <w:rPr>
                <w:rFonts w:hint="eastAsia" w:eastAsia="等线"/>
                <w:color w:val="000000"/>
                <w:sz w:val="21"/>
                <w:szCs w:val="21"/>
                <w:highlight w:val="none"/>
                <w:lang w:val="en-US" w:eastAsia="zh-CN"/>
              </w:rPr>
              <w:t>170</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29</w:t>
            </w:r>
          </w:p>
        </w:tc>
        <w:tc>
          <w:tcPr>
            <w:tcW w:w="111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0.17</w:t>
            </w:r>
          </w:p>
        </w:tc>
        <w:tc>
          <w:tcPr>
            <w:tcW w:w="900"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32</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0.19</w:t>
            </w:r>
          </w:p>
        </w:tc>
        <w:tc>
          <w:tcPr>
            <w:tcW w:w="79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32</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highlight w:val="none"/>
                <w:lang w:bidi="ar"/>
              </w:rPr>
            </w:pPr>
            <w:r>
              <w:rPr>
                <w:rFonts w:hint="eastAsia" w:asciiTheme="minorEastAsia" w:hAnsiTheme="minorEastAsia" w:eastAsiaTheme="minorEastAsia" w:cstheme="minorEastAsia"/>
                <w:color w:val="auto"/>
                <w:sz w:val="21"/>
                <w:szCs w:val="21"/>
                <w:highlight w:val="none"/>
              </w:rPr>
              <w:t>汞</w:t>
            </w:r>
          </w:p>
        </w:tc>
        <w:tc>
          <w:tcPr>
            <w:tcW w:w="81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highlight w:val="none"/>
              </w:rPr>
            </w:pPr>
            <w:r>
              <w:rPr>
                <w:rFonts w:hint="default"/>
                <w:sz w:val="21"/>
                <w:szCs w:val="21"/>
                <w:highlight w:val="none"/>
              </w:rPr>
              <w:t>mg/kg</w:t>
            </w:r>
          </w:p>
        </w:tc>
        <w:tc>
          <w:tcPr>
            <w:tcW w:w="132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spacing w:val="-10"/>
                <w:sz w:val="21"/>
                <w:szCs w:val="21"/>
                <w:highlight w:val="none"/>
                <w:lang w:val="en-US" w:eastAsia="zh-CN"/>
              </w:rPr>
            </w:pPr>
            <w:r>
              <w:rPr>
                <w:rFonts w:hint="eastAsia" w:eastAsia="等线"/>
                <w:color w:val="000000"/>
                <w:sz w:val="21"/>
                <w:szCs w:val="21"/>
                <w:highlight w:val="none"/>
                <w:lang w:val="en-US" w:eastAsia="zh-CN"/>
              </w:rPr>
              <w:t>3.4</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0.051</w:t>
            </w:r>
          </w:p>
        </w:tc>
        <w:tc>
          <w:tcPr>
            <w:tcW w:w="111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0.02</w:t>
            </w:r>
          </w:p>
        </w:tc>
        <w:tc>
          <w:tcPr>
            <w:tcW w:w="900"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0.071</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0.02</w:t>
            </w:r>
          </w:p>
        </w:tc>
        <w:tc>
          <w:tcPr>
            <w:tcW w:w="79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0.068</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highlight w:val="none"/>
                <w:lang w:bidi="ar"/>
              </w:rPr>
            </w:pPr>
            <w:r>
              <w:rPr>
                <w:rFonts w:hint="eastAsia" w:asciiTheme="minorEastAsia" w:hAnsiTheme="minorEastAsia" w:eastAsiaTheme="minorEastAsia" w:cstheme="minorEastAsia"/>
                <w:color w:val="auto"/>
                <w:sz w:val="21"/>
                <w:szCs w:val="21"/>
                <w:highlight w:val="none"/>
                <w:lang w:eastAsia="zh-CN"/>
              </w:rPr>
              <w:t>锌</w:t>
            </w:r>
          </w:p>
        </w:tc>
        <w:tc>
          <w:tcPr>
            <w:tcW w:w="81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highlight w:val="none"/>
              </w:rPr>
            </w:pPr>
            <w:r>
              <w:rPr>
                <w:rFonts w:hint="default"/>
                <w:sz w:val="21"/>
                <w:szCs w:val="21"/>
                <w:highlight w:val="none"/>
              </w:rPr>
              <w:t>mg/kg</w:t>
            </w:r>
          </w:p>
        </w:tc>
        <w:tc>
          <w:tcPr>
            <w:tcW w:w="132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spacing w:val="-10"/>
                <w:sz w:val="21"/>
                <w:szCs w:val="21"/>
                <w:highlight w:val="none"/>
                <w:lang w:val="en-US" w:eastAsia="zh-CN"/>
              </w:rPr>
            </w:pPr>
            <w:r>
              <w:rPr>
                <w:rFonts w:hint="eastAsia" w:eastAsia="等线"/>
                <w:color w:val="000000"/>
                <w:sz w:val="21"/>
                <w:szCs w:val="21"/>
                <w:highlight w:val="none"/>
                <w:lang w:val="en-US" w:eastAsia="zh-CN"/>
              </w:rPr>
              <w:t>300</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53</w:t>
            </w:r>
          </w:p>
        </w:tc>
        <w:tc>
          <w:tcPr>
            <w:tcW w:w="111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0.18</w:t>
            </w:r>
          </w:p>
        </w:tc>
        <w:tc>
          <w:tcPr>
            <w:tcW w:w="900"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60</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0.20</w:t>
            </w:r>
          </w:p>
        </w:tc>
        <w:tc>
          <w:tcPr>
            <w:tcW w:w="79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56</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highlight w:val="none"/>
                <w:lang w:bidi="ar"/>
              </w:rPr>
            </w:pPr>
            <w:r>
              <w:rPr>
                <w:rFonts w:hint="eastAsia" w:asciiTheme="minorEastAsia" w:hAnsiTheme="minorEastAsia" w:eastAsiaTheme="minorEastAsia" w:cstheme="minorEastAsia"/>
                <w:color w:val="auto"/>
                <w:sz w:val="21"/>
                <w:szCs w:val="21"/>
                <w:highlight w:val="none"/>
              </w:rPr>
              <w:t>镍</w:t>
            </w:r>
          </w:p>
        </w:tc>
        <w:tc>
          <w:tcPr>
            <w:tcW w:w="81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Cs/>
                <w:sz w:val="21"/>
                <w:szCs w:val="21"/>
                <w:highlight w:val="none"/>
              </w:rPr>
            </w:pPr>
            <w:r>
              <w:rPr>
                <w:rFonts w:hint="default"/>
                <w:sz w:val="21"/>
                <w:szCs w:val="21"/>
                <w:highlight w:val="none"/>
              </w:rPr>
              <w:t>mg/kg</w:t>
            </w:r>
          </w:p>
        </w:tc>
        <w:tc>
          <w:tcPr>
            <w:tcW w:w="132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spacing w:val="-10"/>
                <w:sz w:val="21"/>
                <w:szCs w:val="21"/>
                <w:highlight w:val="none"/>
                <w:lang w:val="en-US" w:eastAsia="zh-CN"/>
              </w:rPr>
            </w:pPr>
            <w:r>
              <w:rPr>
                <w:rFonts w:hint="eastAsia" w:eastAsia="等线"/>
                <w:color w:val="000000"/>
                <w:sz w:val="21"/>
                <w:szCs w:val="21"/>
                <w:highlight w:val="none"/>
                <w:lang w:val="en-US" w:eastAsia="zh-CN"/>
              </w:rPr>
              <w:t>190</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35</w:t>
            </w:r>
          </w:p>
        </w:tc>
        <w:tc>
          <w:tcPr>
            <w:tcW w:w="111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0.18</w:t>
            </w:r>
          </w:p>
        </w:tc>
        <w:tc>
          <w:tcPr>
            <w:tcW w:w="900"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31</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0.16</w:t>
            </w:r>
          </w:p>
        </w:tc>
        <w:tc>
          <w:tcPr>
            <w:tcW w:w="79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24</w:t>
            </w:r>
          </w:p>
        </w:tc>
        <w:tc>
          <w:tcPr>
            <w:tcW w:w="106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eastAsia="等线"/>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olor w:val="000000"/>
                <w:sz w:val="21"/>
                <w:szCs w:val="21"/>
                <w:highlight w:val="none"/>
                <w:lang w:bidi="ar"/>
              </w:rPr>
            </w:pPr>
            <w:r>
              <w:rPr>
                <w:rFonts w:hint="eastAsia" w:ascii="宋体" w:hAnsi="宋体" w:eastAsia="宋体" w:cs="宋体"/>
                <w:sz w:val="21"/>
                <w:szCs w:val="21"/>
                <w:highlight w:val="none"/>
              </w:rPr>
              <w:t>水溶性盐总量</w:t>
            </w:r>
          </w:p>
        </w:tc>
        <w:tc>
          <w:tcPr>
            <w:tcW w:w="81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1"/>
                <w:szCs w:val="21"/>
                <w:highlight w:val="none"/>
              </w:rPr>
            </w:pPr>
            <w:r>
              <w:rPr>
                <w:rFonts w:hint="default"/>
                <w:sz w:val="21"/>
                <w:szCs w:val="21"/>
                <w:highlight w:val="none"/>
              </w:rPr>
              <w:t>g/kg</w:t>
            </w:r>
          </w:p>
        </w:tc>
        <w:tc>
          <w:tcPr>
            <w:tcW w:w="132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spacing w:val="-10"/>
                <w:sz w:val="21"/>
                <w:szCs w:val="21"/>
                <w:highlight w:val="none"/>
              </w:rPr>
            </w:pPr>
            <w:r>
              <w:rPr>
                <w:rFonts w:hint="eastAsia" w:hAnsi="宋体"/>
                <w:spacing w:val="-10"/>
                <w:sz w:val="21"/>
                <w:szCs w:val="21"/>
                <w:highlight w:val="none"/>
              </w:rPr>
              <w:t>/</w:t>
            </w:r>
          </w:p>
        </w:tc>
        <w:tc>
          <w:tcPr>
            <w:tcW w:w="88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lang w:val="en-US" w:eastAsia="zh-CN"/>
              </w:rPr>
            </w:pPr>
            <w:r>
              <w:rPr>
                <w:rFonts w:hint="eastAsia" w:eastAsia="等线"/>
                <w:color w:val="000000"/>
                <w:sz w:val="21"/>
                <w:szCs w:val="21"/>
                <w:highlight w:val="none"/>
                <w:lang w:val="en-US" w:eastAsia="zh-CN"/>
              </w:rPr>
              <w:t>0.6</w:t>
            </w:r>
          </w:p>
        </w:tc>
        <w:tc>
          <w:tcPr>
            <w:tcW w:w="111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rPr>
            </w:pPr>
            <w:r>
              <w:rPr>
                <w:rFonts w:hint="eastAsia" w:eastAsia="等线"/>
                <w:color w:val="000000"/>
                <w:sz w:val="21"/>
                <w:szCs w:val="21"/>
                <w:highlight w:val="none"/>
              </w:rPr>
              <w:t>/</w:t>
            </w:r>
          </w:p>
        </w:tc>
        <w:tc>
          <w:tcPr>
            <w:tcW w:w="90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rPr>
            </w:pPr>
            <w:r>
              <w:rPr>
                <w:rFonts w:hint="eastAsia" w:eastAsia="等线"/>
                <w:color w:val="000000"/>
                <w:sz w:val="21"/>
                <w:szCs w:val="21"/>
                <w:highlight w:val="none"/>
              </w:rPr>
              <w:t>0</w:t>
            </w:r>
            <w:r>
              <w:rPr>
                <w:rFonts w:hint="default" w:eastAsia="等线"/>
                <w:color w:val="000000"/>
                <w:sz w:val="21"/>
                <w:szCs w:val="21"/>
                <w:highlight w:val="none"/>
              </w:rPr>
              <w:t>.5</w:t>
            </w:r>
          </w:p>
        </w:tc>
        <w:tc>
          <w:tcPr>
            <w:tcW w:w="114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rPr>
            </w:pPr>
            <w:r>
              <w:rPr>
                <w:rFonts w:hint="eastAsia" w:eastAsia="等线"/>
                <w:color w:val="000000"/>
                <w:sz w:val="21"/>
                <w:szCs w:val="21"/>
                <w:highlight w:val="none"/>
              </w:rPr>
              <w:t>/</w:t>
            </w:r>
          </w:p>
        </w:tc>
        <w:tc>
          <w:tcPr>
            <w:tcW w:w="79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rPr>
            </w:pPr>
            <w:r>
              <w:rPr>
                <w:rFonts w:hint="eastAsia" w:eastAsia="等线"/>
                <w:color w:val="000000"/>
                <w:sz w:val="21"/>
                <w:szCs w:val="21"/>
                <w:highlight w:val="none"/>
              </w:rPr>
              <w:t>0</w:t>
            </w:r>
            <w:r>
              <w:rPr>
                <w:rFonts w:hint="default" w:eastAsia="等线"/>
                <w:color w:val="000000"/>
                <w:sz w:val="21"/>
                <w:szCs w:val="21"/>
                <w:highlight w:val="none"/>
              </w:rPr>
              <w:t>.5</w:t>
            </w:r>
          </w:p>
        </w:tc>
        <w:tc>
          <w:tcPr>
            <w:tcW w:w="106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等线"/>
                <w:color w:val="000000"/>
                <w:sz w:val="21"/>
                <w:szCs w:val="21"/>
                <w:highlight w:val="none"/>
              </w:rPr>
            </w:pPr>
            <w:r>
              <w:rPr>
                <w:rFonts w:hint="eastAsia" w:eastAsia="等线"/>
                <w:color w:val="000000"/>
                <w:sz w:val="21"/>
                <w:szCs w:val="21"/>
                <w:highlight w:val="none"/>
              </w:rPr>
              <w:t>/</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64" w:beforeLines="50" w:line="360" w:lineRule="auto"/>
        <w:ind w:left="0" w:left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sz w:val="21"/>
          <w:szCs w:val="21"/>
          <w:highlight w:val="none"/>
        </w:rPr>
        <w:t>表4.3-</w:t>
      </w:r>
      <w:r>
        <w:rPr>
          <w:rFonts w:hint="eastAsia" w:cs="Times New Roman"/>
          <w:b/>
          <w:sz w:val="21"/>
          <w:szCs w:val="21"/>
          <w:highlight w:val="none"/>
          <w:lang w:val="en-US" w:eastAsia="zh-CN"/>
        </w:rPr>
        <w:t>6</w:t>
      </w:r>
      <w:r>
        <w:rPr>
          <w:rFonts w:hint="default" w:ascii="Times New Roman" w:hAnsi="Times New Roman" w:eastAsia="宋体" w:cs="Times New Roman"/>
          <w:b/>
          <w:sz w:val="21"/>
          <w:szCs w:val="21"/>
          <w:highlight w:val="none"/>
        </w:rPr>
        <w:t xml:space="preserve">  </w:t>
      </w:r>
      <w:r>
        <w:rPr>
          <w:rFonts w:hint="default" w:ascii="Times New Roman" w:hAnsi="Times New Roman" w:eastAsia="宋体" w:cs="Times New Roman"/>
          <w:b/>
          <w:bCs w:val="0"/>
          <w:sz w:val="21"/>
          <w:szCs w:val="21"/>
          <w:highlight w:val="none"/>
        </w:rPr>
        <w:t>土壤理化性质检测结果一览表</w:t>
      </w:r>
    </w:p>
    <w:tbl>
      <w:tblPr>
        <w:tblStyle w:val="40"/>
        <w:tblW w:w="51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2408"/>
        <w:gridCol w:w="2408"/>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val="0"/>
                <w:color w:val="000000"/>
                <w:sz w:val="21"/>
                <w:szCs w:val="21"/>
                <w:highlight w:val="none"/>
                <w:vertAlign w:val="baseline"/>
                <w:lang w:eastAsia="zh-CN"/>
              </w:rPr>
            </w:pPr>
            <w:r>
              <w:rPr>
                <w:rFonts w:hint="default" w:ascii="Times New Roman" w:hAnsi="Times New Roman" w:cs="Times New Roman" w:eastAsiaTheme="minorEastAsia"/>
                <w:b/>
                <w:bCs w:val="0"/>
                <w:color w:val="000000"/>
                <w:sz w:val="21"/>
                <w:szCs w:val="21"/>
                <w:highlight w:val="none"/>
                <w:lang w:val="en-US" w:eastAsia="zh-CN"/>
              </w:rPr>
              <w:t>检测点位名称</w:t>
            </w:r>
          </w:p>
        </w:tc>
        <w:tc>
          <w:tcPr>
            <w:tcW w:w="1346"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val="0"/>
                <w:sz w:val="21"/>
                <w:szCs w:val="21"/>
                <w:highlight w:val="none"/>
                <w:vertAlign w:val="baseline"/>
                <w:lang w:val="en-US" w:eastAsia="zh-CN"/>
              </w:rPr>
            </w:pPr>
            <w:r>
              <w:rPr>
                <w:rFonts w:hint="default" w:ascii="Times New Roman" w:hAnsi="Times New Roman" w:cs="Times New Roman" w:eastAsiaTheme="minorEastAsia"/>
                <w:b/>
                <w:bCs w:val="0"/>
                <w:sz w:val="21"/>
                <w:szCs w:val="21"/>
              </w:rPr>
              <w:t>Tr</w:t>
            </w:r>
            <w:r>
              <w:rPr>
                <w:rFonts w:hint="eastAsia" w:ascii="Times New Roman" w:hAnsi="Times New Roman" w:cs="Times New Roman" w:eastAsiaTheme="minorEastAsia"/>
                <w:b/>
                <w:bCs w:val="0"/>
                <w:sz w:val="21"/>
                <w:szCs w:val="21"/>
                <w:lang w:val="en-US" w:eastAsia="zh-CN"/>
              </w:rPr>
              <w:t>1</w:t>
            </w:r>
            <w:r>
              <w:rPr>
                <w:rFonts w:hint="default" w:ascii="Times New Roman" w:hAnsi="Times New Roman" w:cs="Times New Roman" w:eastAsiaTheme="minorEastAsia"/>
                <w:b/>
                <w:bCs w:val="0"/>
                <w:sz w:val="21"/>
                <w:szCs w:val="21"/>
              </w:rPr>
              <w:t>#</w:t>
            </w:r>
            <w:r>
              <w:rPr>
                <w:rFonts w:hint="eastAsia" w:cs="Times New Roman" w:eastAsiaTheme="minorEastAsia"/>
                <w:b/>
                <w:bCs w:val="0"/>
                <w:sz w:val="21"/>
                <w:szCs w:val="21"/>
                <w:lang w:val="en-US" w:eastAsia="zh-CN"/>
              </w:rPr>
              <w:t xml:space="preserve"> </w:t>
            </w:r>
            <w:r>
              <w:rPr>
                <w:rFonts w:hint="default" w:ascii="Times New Roman" w:hAnsi="Times New Roman" w:cs="Times New Roman" w:eastAsiaTheme="minorEastAsia"/>
                <w:b/>
                <w:bCs w:val="0"/>
                <w:sz w:val="21"/>
                <w:szCs w:val="21"/>
                <w:lang w:val="en-US" w:eastAsia="zh-CN"/>
              </w:rPr>
              <w:t>0~</w:t>
            </w:r>
            <w:r>
              <w:rPr>
                <w:rFonts w:hint="default" w:ascii="Times New Roman" w:hAnsi="Times New Roman" w:cs="Times New Roman" w:eastAsiaTheme="minorEastAsia"/>
                <w:b/>
                <w:bCs w:val="0"/>
                <w:color w:val="000000" w:themeColor="text1"/>
                <w:sz w:val="21"/>
                <w:szCs w:val="21"/>
                <w:highlight w:val="none"/>
                <w:lang w:val="en-US" w:eastAsia="zh-CN"/>
                <w14:textFill>
                  <w14:solidFill>
                    <w14:schemeClr w14:val="tx1"/>
                  </w14:solidFill>
                </w14:textFill>
              </w:rPr>
              <w:t>0.</w:t>
            </w:r>
            <w:r>
              <w:rPr>
                <w:rFonts w:hint="eastAsia" w:ascii="Times New Roman" w:hAnsi="Times New Roman" w:cs="Times New Roman" w:eastAsiaTheme="minorEastAsia"/>
                <w:b/>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b/>
                <w:bCs w:val="0"/>
                <w:sz w:val="21"/>
                <w:szCs w:val="21"/>
                <w:lang w:val="en-US" w:eastAsia="zh-CN"/>
              </w:rPr>
              <w:t>m</w:t>
            </w:r>
          </w:p>
        </w:tc>
        <w:tc>
          <w:tcPr>
            <w:tcW w:w="1346"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val="0"/>
                <w:sz w:val="21"/>
                <w:szCs w:val="21"/>
              </w:rPr>
            </w:pPr>
            <w:r>
              <w:rPr>
                <w:rFonts w:hint="default" w:ascii="Times New Roman" w:hAnsi="Times New Roman" w:cs="Times New Roman" w:eastAsiaTheme="minorEastAsia"/>
                <w:b/>
                <w:bCs w:val="0"/>
                <w:sz w:val="21"/>
                <w:szCs w:val="21"/>
              </w:rPr>
              <w:t>Tr</w:t>
            </w:r>
            <w:r>
              <w:rPr>
                <w:rFonts w:hint="default" w:ascii="Times New Roman" w:hAnsi="Times New Roman" w:cs="Times New Roman" w:eastAsiaTheme="minorEastAsia"/>
                <w:b/>
                <w:bCs w:val="0"/>
                <w:sz w:val="21"/>
                <w:szCs w:val="21"/>
                <w:lang w:val="en-US" w:eastAsia="zh-CN"/>
              </w:rPr>
              <w:t>2</w:t>
            </w:r>
            <w:r>
              <w:rPr>
                <w:rFonts w:hint="default" w:ascii="Times New Roman" w:hAnsi="Times New Roman" w:cs="Times New Roman" w:eastAsiaTheme="minorEastAsia"/>
                <w:b/>
                <w:bCs w:val="0"/>
                <w:sz w:val="21"/>
                <w:szCs w:val="21"/>
              </w:rPr>
              <w:t>#</w:t>
            </w:r>
            <w:r>
              <w:rPr>
                <w:rFonts w:hint="eastAsia" w:cs="Times New Roman" w:eastAsiaTheme="minorEastAsia"/>
                <w:b/>
                <w:bCs w:val="0"/>
                <w:sz w:val="21"/>
                <w:szCs w:val="21"/>
                <w:lang w:val="en-US" w:eastAsia="zh-CN"/>
              </w:rPr>
              <w:t xml:space="preserve"> </w:t>
            </w:r>
            <w:r>
              <w:rPr>
                <w:rFonts w:hint="default" w:ascii="Times New Roman" w:hAnsi="Times New Roman" w:cs="Times New Roman" w:eastAsiaTheme="minorEastAsia"/>
                <w:b/>
                <w:bCs w:val="0"/>
                <w:sz w:val="21"/>
                <w:szCs w:val="21"/>
                <w:lang w:val="en-US" w:eastAsia="zh-CN"/>
              </w:rPr>
              <w:t>0~</w:t>
            </w:r>
            <w:r>
              <w:rPr>
                <w:rFonts w:hint="default" w:ascii="Times New Roman" w:hAnsi="Times New Roman" w:cs="Times New Roman" w:eastAsiaTheme="minorEastAsia"/>
                <w:b/>
                <w:bCs w:val="0"/>
                <w:color w:val="000000" w:themeColor="text1"/>
                <w:sz w:val="21"/>
                <w:szCs w:val="21"/>
                <w:highlight w:val="none"/>
                <w:lang w:val="en-US" w:eastAsia="zh-CN"/>
                <w14:textFill>
                  <w14:solidFill>
                    <w14:schemeClr w14:val="tx1"/>
                  </w14:solidFill>
                </w14:textFill>
              </w:rPr>
              <w:t>0.</w:t>
            </w:r>
            <w:r>
              <w:rPr>
                <w:rFonts w:hint="eastAsia" w:ascii="Times New Roman" w:hAnsi="Times New Roman" w:cs="Times New Roman" w:eastAsiaTheme="minorEastAsia"/>
                <w:b/>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b/>
                <w:bCs w:val="0"/>
                <w:sz w:val="21"/>
                <w:szCs w:val="21"/>
                <w:lang w:val="en-US" w:eastAsia="zh-CN"/>
              </w:rPr>
              <w:t>m</w:t>
            </w:r>
          </w:p>
        </w:tc>
        <w:tc>
          <w:tcPr>
            <w:tcW w:w="1347"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val="0"/>
                <w:sz w:val="21"/>
                <w:szCs w:val="21"/>
              </w:rPr>
            </w:pPr>
            <w:r>
              <w:rPr>
                <w:rFonts w:hint="default" w:ascii="Times New Roman" w:hAnsi="Times New Roman" w:cs="Times New Roman" w:eastAsiaTheme="minorEastAsia"/>
                <w:b/>
                <w:bCs w:val="0"/>
                <w:sz w:val="21"/>
                <w:szCs w:val="21"/>
              </w:rPr>
              <w:t>Tr</w:t>
            </w:r>
            <w:r>
              <w:rPr>
                <w:rFonts w:hint="eastAsia" w:ascii="Times New Roman" w:hAnsi="Times New Roman" w:cs="Times New Roman" w:eastAsiaTheme="minorEastAsia"/>
                <w:b/>
                <w:bCs w:val="0"/>
                <w:sz w:val="21"/>
                <w:szCs w:val="21"/>
                <w:lang w:val="en-US" w:eastAsia="zh-CN"/>
              </w:rPr>
              <w:t>3</w:t>
            </w:r>
            <w:r>
              <w:rPr>
                <w:rFonts w:hint="default" w:ascii="Times New Roman" w:hAnsi="Times New Roman" w:cs="Times New Roman" w:eastAsiaTheme="minorEastAsia"/>
                <w:b/>
                <w:bCs w:val="0"/>
                <w:sz w:val="21"/>
                <w:szCs w:val="21"/>
              </w:rPr>
              <w:t>#</w:t>
            </w:r>
            <w:r>
              <w:rPr>
                <w:rFonts w:hint="eastAsia" w:cs="Times New Roman" w:eastAsiaTheme="minorEastAsia"/>
                <w:b/>
                <w:bCs w:val="0"/>
                <w:sz w:val="21"/>
                <w:szCs w:val="21"/>
                <w:lang w:val="en-US" w:eastAsia="zh-CN"/>
              </w:rPr>
              <w:t xml:space="preserve"> </w:t>
            </w:r>
            <w:r>
              <w:rPr>
                <w:rFonts w:hint="default" w:ascii="Times New Roman" w:hAnsi="Times New Roman" w:cs="Times New Roman" w:eastAsiaTheme="minorEastAsia"/>
                <w:b/>
                <w:bCs w:val="0"/>
                <w:sz w:val="21"/>
                <w:szCs w:val="21"/>
                <w:lang w:val="en-US" w:eastAsia="zh-CN"/>
              </w:rPr>
              <w:t>0~</w:t>
            </w:r>
            <w:r>
              <w:rPr>
                <w:rFonts w:hint="default" w:ascii="Times New Roman" w:hAnsi="Times New Roman" w:cs="Times New Roman" w:eastAsiaTheme="minorEastAsia"/>
                <w:b/>
                <w:bCs w:val="0"/>
                <w:color w:val="000000" w:themeColor="text1"/>
                <w:sz w:val="21"/>
                <w:szCs w:val="21"/>
                <w:highlight w:val="none"/>
                <w:lang w:val="en-US" w:eastAsia="zh-CN"/>
                <w14:textFill>
                  <w14:solidFill>
                    <w14:schemeClr w14:val="tx1"/>
                  </w14:solidFill>
                </w14:textFill>
              </w:rPr>
              <w:t>0.</w:t>
            </w:r>
            <w:r>
              <w:rPr>
                <w:rFonts w:hint="eastAsia" w:ascii="Times New Roman" w:hAnsi="Times New Roman" w:cs="Times New Roman" w:eastAsiaTheme="minorEastAsia"/>
                <w:b/>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eastAsiaTheme="minorEastAsia"/>
                <w:b/>
                <w:bCs w:val="0"/>
                <w:sz w:val="21"/>
                <w:szCs w:val="21"/>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none"/>
                <w:vertAlign w:val="baseline"/>
                <w:lang w:eastAsia="zh-CN"/>
              </w:rPr>
            </w:pPr>
            <w:r>
              <w:rPr>
                <w:rFonts w:hint="default" w:ascii="Times New Roman" w:hAnsi="Times New Roman" w:cs="Times New Roman" w:eastAsiaTheme="minorEastAsia"/>
                <w:b w:val="0"/>
                <w:bCs/>
                <w:color w:val="000000"/>
                <w:sz w:val="21"/>
                <w:szCs w:val="21"/>
                <w:highlight w:val="none"/>
                <w:vertAlign w:val="baseline"/>
                <w:lang w:eastAsia="zh-CN"/>
              </w:rPr>
              <w:t>层次（</w:t>
            </w:r>
            <w:r>
              <w:rPr>
                <w:rFonts w:hint="default" w:ascii="Times New Roman" w:hAnsi="Times New Roman" w:cs="Times New Roman" w:eastAsiaTheme="minorEastAsia"/>
                <w:b w:val="0"/>
                <w:bCs/>
                <w:color w:val="000000"/>
                <w:sz w:val="21"/>
                <w:szCs w:val="21"/>
                <w:highlight w:val="none"/>
                <w:vertAlign w:val="baseline"/>
                <w:lang w:val="en-US" w:eastAsia="zh-CN"/>
              </w:rPr>
              <w:t>m</w:t>
            </w:r>
            <w:r>
              <w:rPr>
                <w:rFonts w:hint="default" w:ascii="Times New Roman" w:hAnsi="Times New Roman" w:cs="Times New Roman" w:eastAsiaTheme="minorEastAsia"/>
                <w:b w:val="0"/>
                <w:bCs/>
                <w:color w:val="000000"/>
                <w:sz w:val="21"/>
                <w:szCs w:val="21"/>
                <w:highlight w:val="none"/>
                <w:vertAlign w:val="baseline"/>
                <w:lang w:eastAsia="zh-CN"/>
              </w:rPr>
              <w:t>）</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yellow"/>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0.2</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sz w:val="21"/>
                <w:szCs w:val="21"/>
                <w:highlight w:val="none"/>
                <w:vertAlign w:val="baseline"/>
                <w:lang w:val="en-US" w:eastAsia="zh-CN"/>
              </w:rPr>
              <w:t>0.2</w:t>
            </w:r>
          </w:p>
        </w:tc>
        <w:tc>
          <w:tcPr>
            <w:tcW w:w="13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kern w:val="2"/>
                <w:sz w:val="21"/>
                <w:szCs w:val="21"/>
                <w:highlight w:val="none"/>
                <w:vertAlign w:val="baseline"/>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none"/>
                <w:vertAlign w:val="baseline"/>
                <w:lang w:eastAsia="zh-CN"/>
              </w:rPr>
            </w:pPr>
            <w:r>
              <w:rPr>
                <w:rFonts w:hint="default" w:ascii="Times New Roman" w:hAnsi="Times New Roman" w:cs="Times New Roman" w:eastAsiaTheme="minorEastAsia"/>
                <w:b w:val="0"/>
                <w:bCs/>
                <w:color w:val="000000"/>
                <w:sz w:val="21"/>
                <w:szCs w:val="21"/>
                <w:highlight w:val="none"/>
                <w:vertAlign w:val="baseline"/>
                <w:lang w:eastAsia="zh-CN"/>
              </w:rPr>
              <w:t>颜色</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yellow"/>
                <w:vertAlign w:val="baseline"/>
                <w:lang w:val="en-US" w:eastAsia="zh-CN"/>
              </w:rPr>
            </w:pPr>
            <w:r>
              <w:rPr>
                <w:rFonts w:hint="default" w:ascii="Times New Roman" w:hAnsi="Times New Roman" w:cs="Times New Roman"/>
                <w:b w:val="0"/>
                <w:bCs/>
                <w:color w:val="auto"/>
                <w:sz w:val="21"/>
                <w:szCs w:val="21"/>
                <w:highlight w:val="none"/>
                <w:vertAlign w:val="baseline"/>
                <w:lang w:eastAsia="zh-CN"/>
              </w:rPr>
              <w:t>黄棕</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sz w:val="21"/>
                <w:szCs w:val="21"/>
                <w:highlight w:val="none"/>
                <w:vertAlign w:val="baseline"/>
                <w:lang w:eastAsia="zh-CN"/>
              </w:rPr>
              <w:t>黄棕</w:t>
            </w:r>
          </w:p>
        </w:tc>
        <w:tc>
          <w:tcPr>
            <w:tcW w:w="13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sz w:val="21"/>
                <w:szCs w:val="21"/>
                <w:highlight w:val="none"/>
                <w:vertAlign w:val="baseline"/>
                <w:lang w:eastAsia="zh-CN"/>
              </w:rPr>
              <w:t>黄棕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none"/>
                <w:vertAlign w:val="baseline"/>
                <w:lang w:eastAsia="zh-CN"/>
              </w:rPr>
            </w:pPr>
            <w:r>
              <w:rPr>
                <w:rFonts w:hint="default" w:ascii="Times New Roman" w:hAnsi="Times New Roman" w:cs="Times New Roman" w:eastAsiaTheme="minorEastAsia"/>
                <w:b w:val="0"/>
                <w:bCs/>
                <w:color w:val="000000"/>
                <w:sz w:val="21"/>
                <w:szCs w:val="21"/>
                <w:highlight w:val="none"/>
                <w:vertAlign w:val="baseline"/>
                <w:lang w:eastAsia="zh-CN"/>
              </w:rPr>
              <w:t>结构</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yellow"/>
                <w:vertAlign w:val="baseline"/>
                <w:lang w:eastAsia="zh-CN"/>
              </w:rPr>
            </w:pPr>
            <w:r>
              <w:rPr>
                <w:rFonts w:hint="default" w:ascii="Times New Roman" w:hAnsi="Times New Roman" w:cs="Times New Roman"/>
                <w:b w:val="0"/>
                <w:bCs/>
                <w:color w:val="auto"/>
                <w:sz w:val="21"/>
                <w:szCs w:val="21"/>
                <w:highlight w:val="none"/>
                <w:vertAlign w:val="baseline"/>
                <w:lang w:val="en-US" w:eastAsia="zh-CN"/>
              </w:rPr>
              <w:t>团粒结构体</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sz w:val="21"/>
                <w:szCs w:val="21"/>
                <w:highlight w:val="none"/>
                <w:vertAlign w:val="baseline"/>
                <w:lang w:val="en-US" w:eastAsia="zh-CN"/>
              </w:rPr>
              <w:t>团粒结构体</w:t>
            </w:r>
          </w:p>
        </w:tc>
        <w:tc>
          <w:tcPr>
            <w:tcW w:w="13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sz w:val="21"/>
                <w:szCs w:val="21"/>
                <w:highlight w:val="none"/>
                <w:vertAlign w:val="baseline"/>
                <w:lang w:val="en-US" w:eastAsia="zh-CN"/>
              </w:rPr>
              <w:t>团粒结构体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none"/>
                <w:vertAlign w:val="baseline"/>
                <w:lang w:eastAsia="zh-CN"/>
              </w:rPr>
            </w:pPr>
            <w:r>
              <w:rPr>
                <w:rFonts w:hint="default" w:ascii="Times New Roman" w:hAnsi="Times New Roman" w:cs="Times New Roman" w:eastAsiaTheme="minorEastAsia"/>
                <w:b w:val="0"/>
                <w:bCs/>
                <w:color w:val="000000"/>
                <w:sz w:val="21"/>
                <w:szCs w:val="21"/>
                <w:highlight w:val="none"/>
                <w:vertAlign w:val="baseline"/>
                <w:lang w:eastAsia="zh-CN"/>
              </w:rPr>
              <w:t>质地</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yellow"/>
                <w:vertAlign w:val="baseline"/>
                <w:lang w:eastAsia="zh-CN"/>
              </w:rPr>
            </w:pPr>
            <w:r>
              <w:rPr>
                <w:rFonts w:hint="default" w:ascii="Times New Roman" w:hAnsi="Times New Roman" w:cs="Times New Roman"/>
                <w:b w:val="0"/>
                <w:bCs/>
                <w:color w:val="auto"/>
                <w:sz w:val="21"/>
                <w:szCs w:val="21"/>
                <w:highlight w:val="none"/>
                <w:vertAlign w:val="baseline"/>
                <w:lang w:val="en-US" w:eastAsia="zh-CN"/>
              </w:rPr>
              <w:t>轻壤土</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sz w:val="21"/>
                <w:szCs w:val="21"/>
                <w:highlight w:val="none"/>
                <w:vertAlign w:val="baseline"/>
                <w:lang w:val="en-US" w:eastAsia="zh-CN"/>
              </w:rPr>
              <w:t>轻壤土</w:t>
            </w:r>
          </w:p>
        </w:tc>
        <w:tc>
          <w:tcPr>
            <w:tcW w:w="13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sz w:val="21"/>
                <w:szCs w:val="21"/>
                <w:highlight w:val="none"/>
                <w:vertAlign w:val="baseline"/>
                <w:lang w:val="en-US" w:eastAsia="zh-CN"/>
              </w:rPr>
              <w:t>轻壤土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none"/>
                <w:vertAlign w:val="baseline"/>
                <w:lang w:eastAsia="zh-CN"/>
              </w:rPr>
            </w:pPr>
            <w:r>
              <w:rPr>
                <w:rFonts w:hint="default" w:ascii="Times New Roman" w:hAnsi="Times New Roman" w:cs="Times New Roman" w:eastAsiaTheme="minorEastAsia"/>
                <w:b w:val="0"/>
                <w:bCs/>
                <w:color w:val="000000"/>
                <w:sz w:val="21"/>
                <w:szCs w:val="21"/>
                <w:highlight w:val="none"/>
                <w:vertAlign w:val="baseline"/>
                <w:lang w:eastAsia="zh-CN"/>
              </w:rPr>
              <w:t>砂砾含量（</w:t>
            </w:r>
            <w:r>
              <w:rPr>
                <w:rFonts w:hint="default" w:ascii="Times New Roman" w:hAnsi="Times New Roman" w:cs="Times New Roman" w:eastAsiaTheme="minorEastAsia"/>
                <w:b w:val="0"/>
                <w:bCs/>
                <w:color w:val="000000"/>
                <w:sz w:val="21"/>
                <w:szCs w:val="21"/>
                <w:highlight w:val="none"/>
                <w:vertAlign w:val="baseline"/>
                <w:lang w:val="en-US" w:eastAsia="zh-CN"/>
              </w:rPr>
              <w:t>%</w:t>
            </w:r>
            <w:r>
              <w:rPr>
                <w:rFonts w:hint="default" w:ascii="Times New Roman" w:hAnsi="Times New Roman" w:cs="Times New Roman" w:eastAsiaTheme="minorEastAsia"/>
                <w:b w:val="0"/>
                <w:bCs/>
                <w:color w:val="000000"/>
                <w:sz w:val="21"/>
                <w:szCs w:val="21"/>
                <w:highlight w:val="none"/>
                <w:vertAlign w:val="baseline"/>
                <w:lang w:eastAsia="zh-CN"/>
              </w:rPr>
              <w:t>）</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yellow"/>
                <w:vertAlign w:val="baseline"/>
                <w:lang w:val="en-US" w:eastAsia="zh-CN"/>
              </w:rPr>
            </w:pPr>
            <w:r>
              <w:rPr>
                <w:rFonts w:hint="default" w:ascii="Times New Roman" w:hAnsi="Times New Roman" w:cs="Times New Roman"/>
                <w:b w:val="0"/>
                <w:bCs/>
                <w:color w:val="auto"/>
                <w:kern w:val="2"/>
                <w:sz w:val="21"/>
                <w:szCs w:val="21"/>
                <w:highlight w:val="none"/>
                <w:vertAlign w:val="baseline"/>
                <w:lang w:val="en-US" w:eastAsia="zh-CN" w:bidi="ar-SA"/>
              </w:rPr>
              <w:t>15</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kern w:val="2"/>
                <w:sz w:val="21"/>
                <w:szCs w:val="21"/>
                <w:highlight w:val="none"/>
                <w:vertAlign w:val="baseline"/>
                <w:lang w:val="en-US" w:eastAsia="zh-CN" w:bidi="ar-SA"/>
              </w:rPr>
              <w:t>10</w:t>
            </w:r>
          </w:p>
        </w:tc>
        <w:tc>
          <w:tcPr>
            <w:tcW w:w="13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kern w:val="2"/>
                <w:sz w:val="21"/>
                <w:szCs w:val="21"/>
                <w:highlight w:val="none"/>
                <w:vertAlign w:val="baselin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none"/>
                <w:vertAlign w:val="baseline"/>
                <w:lang w:eastAsia="zh-CN"/>
              </w:rPr>
            </w:pPr>
            <w:r>
              <w:rPr>
                <w:rFonts w:hint="default" w:ascii="Times New Roman" w:hAnsi="Times New Roman" w:cs="Times New Roman" w:eastAsiaTheme="minorEastAsia"/>
                <w:b w:val="0"/>
                <w:bCs/>
                <w:color w:val="000000"/>
                <w:sz w:val="21"/>
                <w:szCs w:val="21"/>
                <w:highlight w:val="none"/>
                <w:vertAlign w:val="baseline"/>
                <w:lang w:eastAsia="zh-CN"/>
              </w:rPr>
              <w:t>其他异物</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sz w:val="21"/>
                <w:szCs w:val="21"/>
                <w:highlight w:val="none"/>
                <w:vertAlign w:val="baseline"/>
                <w:lang w:val="en-US" w:eastAsia="zh-CN"/>
              </w:rPr>
              <w:t>石子</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sz w:val="21"/>
                <w:szCs w:val="21"/>
                <w:highlight w:val="none"/>
                <w:vertAlign w:val="baseline"/>
                <w:lang w:val="en-US" w:eastAsia="zh-CN"/>
              </w:rPr>
              <w:t>石子</w:t>
            </w:r>
          </w:p>
        </w:tc>
        <w:tc>
          <w:tcPr>
            <w:tcW w:w="13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sz w:val="21"/>
                <w:szCs w:val="21"/>
                <w:highlight w:val="none"/>
                <w:vertAlign w:val="baseline"/>
                <w:lang w:val="en-US" w:eastAsia="zh-CN"/>
              </w:rPr>
              <w:t>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none"/>
                <w:vertAlign w:val="baseline"/>
                <w:lang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pH值</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sz w:val="21"/>
                <w:szCs w:val="21"/>
                <w:highlight w:val="none"/>
                <w:vertAlign w:val="baseline"/>
                <w:lang w:val="en-US" w:eastAsia="zh-CN"/>
              </w:rPr>
              <w:t>8.22</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sz w:val="21"/>
                <w:szCs w:val="21"/>
                <w:highlight w:val="none"/>
                <w:vertAlign w:val="baseline"/>
                <w:lang w:val="en-US" w:eastAsia="zh-CN"/>
              </w:rPr>
              <w:t>8.16</w:t>
            </w:r>
          </w:p>
        </w:tc>
        <w:tc>
          <w:tcPr>
            <w:tcW w:w="13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4"/>
                <w:highlight w:val="yellow"/>
                <w:lang w:val="en-US" w:eastAsia="zh-CN" w:bidi="ar-SA"/>
              </w:rPr>
            </w:pPr>
            <w:r>
              <w:rPr>
                <w:rFonts w:hint="default" w:ascii="Times New Roman" w:hAnsi="Times New Roman" w:cs="Times New Roman"/>
                <w:b w:val="0"/>
                <w:bCs/>
                <w:color w:val="auto"/>
                <w:kern w:val="2"/>
                <w:sz w:val="21"/>
                <w:szCs w:val="21"/>
                <w:highlight w:val="none"/>
                <w:vertAlign w:val="baseline"/>
                <w:lang w:val="en-US" w:eastAsia="zh-CN" w:bidi="ar-SA"/>
              </w:rPr>
              <w:t>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none"/>
                <w:vertAlign w:val="baseline"/>
                <w:lang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阳离子交换量（cmol</w:t>
            </w:r>
            <w:r>
              <w:rPr>
                <w:rFonts w:hint="default" w:ascii="Times New Roman" w:hAnsi="Times New Roman" w:cs="Times New Roman" w:eastAsiaTheme="minorEastAsia"/>
                <w:b w:val="0"/>
                <w:bCs w:val="0"/>
                <w:color w:val="auto"/>
                <w:sz w:val="21"/>
                <w:szCs w:val="21"/>
                <w:highlight w:val="none"/>
                <w:vertAlign w:val="superscript"/>
                <w:lang w:val="en-US" w:eastAsia="zh-CN"/>
              </w:rPr>
              <w:t>+</w:t>
            </w:r>
            <w:r>
              <w:rPr>
                <w:rFonts w:hint="default" w:ascii="Times New Roman" w:hAnsi="Times New Roman" w:cs="Times New Roman" w:eastAsiaTheme="minorEastAsia"/>
                <w:b w:val="0"/>
                <w:bCs w:val="0"/>
                <w:color w:val="auto"/>
                <w:sz w:val="21"/>
                <w:szCs w:val="21"/>
                <w:highlight w:val="none"/>
                <w:vertAlign w:val="baseline"/>
                <w:lang w:val="en-US" w:eastAsia="zh-CN"/>
              </w:rPr>
              <w:t>/kg）</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sz w:val="21"/>
                <w:szCs w:val="21"/>
                <w:highlight w:val="none"/>
                <w:vertAlign w:val="baseline"/>
                <w:lang w:val="en-US" w:eastAsia="zh-CN"/>
              </w:rPr>
              <w:t>18.2</w:t>
            </w:r>
          </w:p>
        </w:tc>
        <w:tc>
          <w:tcPr>
            <w:tcW w:w="134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sz w:val="21"/>
                <w:szCs w:val="21"/>
                <w:highlight w:val="none"/>
                <w:vertAlign w:val="baseline"/>
                <w:lang w:val="en-US" w:eastAsia="zh-CN"/>
              </w:rPr>
              <w:t>19.6</w:t>
            </w:r>
          </w:p>
        </w:tc>
        <w:tc>
          <w:tcPr>
            <w:tcW w:w="13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kern w:val="2"/>
                <w:sz w:val="21"/>
                <w:szCs w:val="21"/>
                <w:highlight w:val="none"/>
                <w:vertAlign w:val="baseline"/>
                <w:lang w:val="en-US" w:eastAsia="zh-CN" w:bidi="ar-SA"/>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none"/>
                <w:vertAlign w:val="baseline"/>
                <w:lang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氧化还原电位（mv）</w:t>
            </w:r>
          </w:p>
        </w:tc>
        <w:tc>
          <w:tcPr>
            <w:tcW w:w="134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sz w:val="21"/>
                <w:szCs w:val="21"/>
                <w:highlight w:val="none"/>
                <w:vertAlign w:val="baseline"/>
                <w:lang w:val="en-US" w:eastAsia="zh-CN"/>
              </w:rPr>
              <w:t>341</w:t>
            </w:r>
          </w:p>
        </w:tc>
        <w:tc>
          <w:tcPr>
            <w:tcW w:w="134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sz w:val="21"/>
                <w:szCs w:val="21"/>
                <w:highlight w:val="none"/>
                <w:vertAlign w:val="baseline"/>
                <w:lang w:val="en-US" w:eastAsia="zh-CN"/>
              </w:rPr>
              <w:t>327</w:t>
            </w:r>
          </w:p>
        </w:tc>
        <w:tc>
          <w:tcPr>
            <w:tcW w:w="134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kern w:val="2"/>
                <w:sz w:val="21"/>
                <w:szCs w:val="21"/>
                <w:highlight w:val="none"/>
                <w:vertAlign w:val="baseline"/>
                <w:lang w:val="en-US" w:eastAsia="zh-CN" w:bidi="ar-SA"/>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none"/>
                <w:vertAlign w:val="baseline"/>
                <w:lang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渗透率（cm/s）</w:t>
            </w:r>
          </w:p>
        </w:tc>
        <w:tc>
          <w:tcPr>
            <w:tcW w:w="134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eastAsiaTheme="minorEastAsia"/>
                <w:b w:val="0"/>
                <w:bCs/>
                <w:color w:val="auto"/>
                <w:sz w:val="21"/>
                <w:szCs w:val="21"/>
                <w:highlight w:val="none"/>
                <w:vertAlign w:val="baseline"/>
                <w:lang w:val="en-US" w:eastAsia="zh-CN"/>
              </w:rPr>
              <w:t>1.00×10</w:t>
            </w:r>
            <w:r>
              <w:rPr>
                <w:rFonts w:hint="default" w:ascii="Times New Roman" w:hAnsi="Times New Roman" w:cs="Times New Roman" w:eastAsiaTheme="minorEastAsia"/>
                <w:b w:val="0"/>
                <w:bCs/>
                <w:color w:val="auto"/>
                <w:sz w:val="21"/>
                <w:szCs w:val="21"/>
                <w:highlight w:val="none"/>
                <w:vertAlign w:val="superscript"/>
                <w:lang w:val="en-US" w:eastAsia="zh-CN"/>
              </w:rPr>
              <w:t>-3</w:t>
            </w:r>
          </w:p>
        </w:tc>
        <w:tc>
          <w:tcPr>
            <w:tcW w:w="134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eastAsiaTheme="minorEastAsia"/>
                <w:b w:val="0"/>
                <w:bCs/>
                <w:color w:val="auto"/>
                <w:sz w:val="21"/>
                <w:szCs w:val="21"/>
                <w:highlight w:val="none"/>
                <w:vertAlign w:val="baseline"/>
                <w:lang w:val="en-US" w:eastAsia="zh-CN"/>
              </w:rPr>
              <w:t>1.02×10</w:t>
            </w:r>
            <w:r>
              <w:rPr>
                <w:rFonts w:hint="default" w:ascii="Times New Roman" w:hAnsi="Times New Roman" w:cs="Times New Roman" w:eastAsiaTheme="minorEastAsia"/>
                <w:b w:val="0"/>
                <w:bCs/>
                <w:color w:val="auto"/>
                <w:sz w:val="21"/>
                <w:szCs w:val="21"/>
                <w:highlight w:val="none"/>
                <w:vertAlign w:val="superscript"/>
                <w:lang w:val="en-US" w:eastAsia="zh-CN"/>
              </w:rPr>
              <w:t>-3</w:t>
            </w:r>
          </w:p>
        </w:tc>
        <w:tc>
          <w:tcPr>
            <w:tcW w:w="134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eastAsiaTheme="minorEastAsia"/>
                <w:b w:val="0"/>
                <w:bCs/>
                <w:color w:val="auto"/>
                <w:sz w:val="21"/>
                <w:szCs w:val="21"/>
                <w:highlight w:val="none"/>
                <w:vertAlign w:val="baseline"/>
                <w:lang w:val="en-US" w:eastAsia="zh-CN"/>
              </w:rPr>
              <w:t>1.03×10</w:t>
            </w:r>
            <w:r>
              <w:rPr>
                <w:rFonts w:hint="default" w:ascii="Times New Roman" w:hAnsi="Times New Roman" w:cs="Times New Roman" w:eastAsiaTheme="minorEastAsia"/>
                <w:b w:val="0"/>
                <w:bCs/>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none"/>
                <w:vertAlign w:val="baseline"/>
                <w:lang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土壤容重（g/cm</w:t>
            </w:r>
            <w:r>
              <w:rPr>
                <w:rFonts w:hint="default" w:ascii="Times New Roman" w:hAnsi="Times New Roman" w:cs="Times New Roman" w:eastAsiaTheme="minorEastAsia"/>
                <w:b w:val="0"/>
                <w:bCs w:val="0"/>
                <w:color w:val="auto"/>
                <w:sz w:val="21"/>
                <w:szCs w:val="21"/>
                <w:highlight w:val="none"/>
                <w:vertAlign w:val="superscript"/>
                <w:lang w:val="en-US" w:eastAsia="zh-CN"/>
              </w:rPr>
              <w:t>3</w:t>
            </w:r>
            <w:r>
              <w:rPr>
                <w:rFonts w:hint="default" w:ascii="Times New Roman" w:hAnsi="Times New Roman" w:cs="Times New Roman" w:eastAsiaTheme="minorEastAsia"/>
                <w:b w:val="0"/>
                <w:bCs w:val="0"/>
                <w:color w:val="auto"/>
                <w:sz w:val="21"/>
                <w:szCs w:val="21"/>
                <w:highlight w:val="none"/>
                <w:vertAlign w:val="baseline"/>
                <w:lang w:val="en-US" w:eastAsia="zh-CN"/>
              </w:rPr>
              <w:t>）</w:t>
            </w:r>
          </w:p>
        </w:tc>
        <w:tc>
          <w:tcPr>
            <w:tcW w:w="134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sz w:val="21"/>
                <w:szCs w:val="21"/>
                <w:highlight w:val="none"/>
                <w:vertAlign w:val="baseline"/>
                <w:lang w:val="en-US" w:eastAsia="zh-CN"/>
              </w:rPr>
              <w:t>1.26</w:t>
            </w:r>
          </w:p>
        </w:tc>
        <w:tc>
          <w:tcPr>
            <w:tcW w:w="134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sz w:val="21"/>
                <w:szCs w:val="21"/>
                <w:highlight w:val="none"/>
                <w:vertAlign w:val="baseline"/>
                <w:lang w:val="en-US" w:eastAsia="zh-CN"/>
              </w:rPr>
              <w:t>1.12</w:t>
            </w:r>
          </w:p>
        </w:tc>
        <w:tc>
          <w:tcPr>
            <w:tcW w:w="134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kern w:val="2"/>
                <w:sz w:val="21"/>
                <w:szCs w:val="21"/>
                <w:highlight w:val="none"/>
                <w:vertAlign w:val="baseline"/>
                <w:lang w:val="en-US" w:eastAsia="zh-CN" w:bidi="ar-SA"/>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sz w:val="21"/>
                <w:szCs w:val="21"/>
                <w:highlight w:val="none"/>
                <w:vertAlign w:val="baseline"/>
                <w:lang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孔隙率（%）</w:t>
            </w:r>
          </w:p>
        </w:tc>
        <w:tc>
          <w:tcPr>
            <w:tcW w:w="134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sz w:val="21"/>
                <w:szCs w:val="21"/>
                <w:highlight w:val="none"/>
                <w:vertAlign w:val="baseline"/>
                <w:lang w:val="en-US" w:eastAsia="zh-CN"/>
              </w:rPr>
              <w:t>47</w:t>
            </w:r>
          </w:p>
        </w:tc>
        <w:tc>
          <w:tcPr>
            <w:tcW w:w="134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sz w:val="21"/>
                <w:szCs w:val="21"/>
                <w:highlight w:val="none"/>
                <w:vertAlign w:val="baseline"/>
                <w:lang w:val="en-US" w:eastAsia="zh-CN"/>
              </w:rPr>
              <w:t>52</w:t>
            </w:r>
          </w:p>
        </w:tc>
        <w:tc>
          <w:tcPr>
            <w:tcW w:w="134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000000"/>
                <w:kern w:val="2"/>
                <w:sz w:val="21"/>
                <w:szCs w:val="21"/>
                <w:highlight w:val="yellow"/>
                <w:vertAlign w:val="baseline"/>
                <w:lang w:val="en-US" w:eastAsia="zh-CN" w:bidi="ar-SA"/>
              </w:rPr>
            </w:pPr>
            <w:r>
              <w:rPr>
                <w:rFonts w:hint="default" w:ascii="Times New Roman" w:hAnsi="Times New Roman" w:cs="Times New Roman"/>
                <w:b w:val="0"/>
                <w:bCs/>
                <w:color w:val="auto"/>
                <w:kern w:val="2"/>
                <w:sz w:val="21"/>
                <w:szCs w:val="21"/>
                <w:highlight w:val="none"/>
                <w:vertAlign w:val="baseline"/>
                <w:lang w:val="en-US" w:eastAsia="zh-CN" w:bidi="ar-SA"/>
              </w:rPr>
              <w:t>39</w:t>
            </w:r>
          </w:p>
        </w:tc>
      </w:tr>
    </w:tbl>
    <w:p>
      <w:pPr>
        <w:keepNext w:val="0"/>
        <w:keepLines w:val="0"/>
        <w:pageBreakBefore w:val="0"/>
        <w:widowControl w:val="0"/>
        <w:kinsoku/>
        <w:wordWrap/>
        <w:overflowPunct/>
        <w:topLinePunct w:val="0"/>
        <w:autoSpaceDE/>
        <w:autoSpaceDN/>
        <w:bidi w:val="0"/>
        <w:adjustRightInd w:val="0"/>
        <w:snapToGrid w:val="0"/>
        <w:spacing w:before="164" w:beforeLines="50"/>
        <w:textAlignment w:val="auto"/>
      </w:pPr>
      <w:r>
        <w:rPr>
          <w:rFonts w:hint="eastAsia"/>
          <w:lang w:eastAsia="zh-CN"/>
        </w:rPr>
        <w:t>（</w:t>
      </w:r>
      <w:r>
        <w:rPr>
          <w:rFonts w:hint="eastAsia"/>
          <w:lang w:val="en-US" w:eastAsia="zh-CN"/>
        </w:rPr>
        <w:t>6</w:t>
      </w:r>
      <w:r>
        <w:rPr>
          <w:rFonts w:hint="eastAsia"/>
          <w:lang w:eastAsia="zh-CN"/>
        </w:rPr>
        <w:t>）</w:t>
      </w:r>
      <w:r>
        <w:rPr>
          <w:rFonts w:hint="eastAsia"/>
        </w:rPr>
        <w:t>监测结果评价</w:t>
      </w:r>
    </w:p>
    <w:p>
      <w:pPr>
        <w:ind w:firstLine="480"/>
        <w:rPr>
          <w:rFonts w:hint="eastAsia"/>
          <w:color w:val="000000"/>
          <w:highlight w:val="none"/>
        </w:rPr>
      </w:pPr>
      <w:r>
        <w:rPr>
          <w:color w:val="000000"/>
        </w:rPr>
        <w:t>由</w:t>
      </w:r>
      <w:r>
        <w:rPr>
          <w:rFonts w:hint="eastAsia"/>
          <w:color w:val="000000"/>
          <w:lang w:eastAsia="zh-CN"/>
        </w:rPr>
        <w:t>数据分析</w:t>
      </w:r>
      <w:r>
        <w:rPr>
          <w:color w:val="000000"/>
        </w:rPr>
        <w:t>可知，</w:t>
      </w:r>
      <w:r>
        <w:rPr>
          <w:rFonts w:hint="eastAsia"/>
          <w:color w:val="000000"/>
        </w:rPr>
        <w:t>各土壤监测点各项监测因子均满足《土壤环境质量-农用地土壤污染风险管控标准》（GB15618 -2018）相应标准要求</w:t>
      </w:r>
      <w:r>
        <w:rPr>
          <w:rFonts w:hint="eastAsia"/>
          <w:color w:val="000000"/>
          <w:lang w:eastAsia="zh-CN"/>
        </w:rPr>
        <w:t>，</w:t>
      </w:r>
      <w:r>
        <w:rPr>
          <w:rFonts w:hint="eastAsia"/>
          <w:color w:val="000000"/>
        </w:rPr>
        <w:t>区域农用地土壤污染风险较低。由上表4</w:t>
      </w:r>
      <w:r>
        <w:rPr>
          <w:rFonts w:hint="eastAsia"/>
          <w:color w:val="000000"/>
          <w:lang w:val="en-US" w:eastAsia="zh-CN"/>
        </w:rPr>
        <w:t>.3-5</w:t>
      </w:r>
      <w:r>
        <w:rPr>
          <w:rFonts w:hint="eastAsia"/>
          <w:color w:val="000000"/>
        </w:rPr>
        <w:t>统计结果分析知：区域土壤含盐量为0.5</w:t>
      </w:r>
      <w:r>
        <w:rPr>
          <w:rFonts w:hint="eastAsia"/>
          <w:color w:val="000000"/>
          <w:lang w:val="en-US" w:eastAsia="zh-CN"/>
        </w:rPr>
        <w:t>~0.6g</w:t>
      </w:r>
      <w:r>
        <w:rPr>
          <w:rFonts w:hint="eastAsia"/>
          <w:color w:val="000000"/>
        </w:rPr>
        <w:t>/kg，未发生盐化</w:t>
      </w:r>
      <w:r>
        <w:rPr>
          <w:rFonts w:hint="eastAsia"/>
          <w:color w:val="000000"/>
          <w:highlight w:val="none"/>
        </w:rPr>
        <w:t>情况。</w:t>
      </w:r>
    </w:p>
    <w:p>
      <w:pPr>
        <w:pStyle w:val="6"/>
        <w:bidi w:val="0"/>
        <w:rPr>
          <w:rFonts w:hint="eastAsia" w:eastAsia="宋体"/>
          <w:color w:val="auto"/>
          <w:highlight w:val="none"/>
          <w:lang w:eastAsia="zh-CN"/>
        </w:rPr>
      </w:pPr>
      <w:bookmarkStart w:id="431" w:name="_Toc8608"/>
      <w:r>
        <w:rPr>
          <w:color w:val="auto"/>
          <w:highlight w:val="none"/>
        </w:rPr>
        <w:t>4.3.</w:t>
      </w:r>
      <w:r>
        <w:rPr>
          <w:rFonts w:hint="eastAsia"/>
          <w:color w:val="auto"/>
          <w:highlight w:val="none"/>
        </w:rPr>
        <w:t>6</w:t>
      </w:r>
      <w:r>
        <w:rPr>
          <w:color w:val="auto"/>
          <w:highlight w:val="none"/>
        </w:rPr>
        <w:t xml:space="preserve"> </w:t>
      </w:r>
      <w:r>
        <w:rPr>
          <w:rFonts w:hint="eastAsia"/>
          <w:color w:val="auto"/>
          <w:highlight w:val="none"/>
          <w:lang w:eastAsia="zh-CN"/>
        </w:rPr>
        <w:t>河流底质环境质量调查</w:t>
      </w:r>
      <w:bookmarkEnd w:id="431"/>
    </w:p>
    <w:p>
      <w:pPr>
        <w:bidi w:val="0"/>
        <w:rPr>
          <w:rFonts w:hint="eastAsia"/>
          <w:color w:val="auto"/>
          <w:highlight w:val="none"/>
          <w:lang w:eastAsia="zh-CN"/>
        </w:rPr>
      </w:pPr>
      <w:r>
        <w:rPr>
          <w:rFonts w:hint="eastAsia"/>
          <w:color w:val="auto"/>
          <w:highlight w:val="none"/>
          <w:lang w:eastAsia="zh-CN"/>
        </w:rPr>
        <w:t>为了解项目区域河流底质现状，委托辽宁鹏宇环境监测有限公司对河流底质进行了现状监测，并出具了《兴隆三块石断面区域环境综合整治工程河道底泥检测》（（辽鹏环测）字PY2212217-001号）。</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监测点位布置</w:t>
      </w:r>
    </w:p>
    <w:p>
      <w:pPr>
        <w:bidi w:val="0"/>
        <w:rPr>
          <w:rFonts w:hint="eastAsia"/>
          <w:color w:val="auto"/>
          <w:sz w:val="24"/>
          <w:szCs w:val="24"/>
          <w:highlight w:val="none"/>
          <w:lang w:val="en-US" w:eastAsia="zh-CN"/>
        </w:rPr>
      </w:pPr>
      <w:r>
        <w:rPr>
          <w:rFonts w:hint="eastAsia"/>
          <w:color w:val="auto"/>
          <w:sz w:val="24"/>
          <w:szCs w:val="24"/>
          <w:highlight w:val="none"/>
          <w:lang w:val="en-US" w:eastAsia="zh-CN"/>
        </w:rPr>
        <w:t>Dn1：治理河段东侧河道底泥</w:t>
      </w:r>
    </w:p>
    <w:p>
      <w:pPr>
        <w:bidi w:val="0"/>
        <w:rPr>
          <w:rFonts w:hint="eastAsia"/>
          <w:color w:val="auto"/>
          <w:sz w:val="24"/>
          <w:szCs w:val="24"/>
          <w:highlight w:val="none"/>
          <w:lang w:val="en-US" w:eastAsia="zh-CN"/>
        </w:rPr>
      </w:pPr>
      <w:r>
        <w:rPr>
          <w:rFonts w:hint="eastAsia"/>
          <w:color w:val="auto"/>
          <w:sz w:val="24"/>
          <w:szCs w:val="24"/>
          <w:highlight w:val="none"/>
          <w:lang w:val="en-US" w:eastAsia="zh-CN"/>
        </w:rPr>
        <w:t>Dn2：治理河段西侧河道底泥</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监测项目</w:t>
      </w:r>
    </w:p>
    <w:p>
      <w:pPr>
        <w:bidi w:val="0"/>
        <w:rPr>
          <w:rFonts w:hint="eastAsia"/>
          <w:color w:val="auto"/>
          <w:sz w:val="24"/>
          <w:highlight w:val="none"/>
        </w:rPr>
      </w:pPr>
      <w:r>
        <w:rPr>
          <w:rFonts w:hint="eastAsia"/>
          <w:color w:val="auto"/>
          <w:sz w:val="24"/>
          <w:highlight w:val="none"/>
        </w:rPr>
        <w:t>pH、镉、汞、砷、铅、铬、铜、镍、锌；含盐量；同步记录</w:t>
      </w:r>
      <w:r>
        <w:rPr>
          <w:rFonts w:hint="eastAsia"/>
          <w:color w:val="auto"/>
          <w:sz w:val="24"/>
          <w:highlight w:val="none"/>
          <w:lang w:eastAsia="zh-CN"/>
        </w:rPr>
        <w:t>底泥</w:t>
      </w:r>
      <w:r>
        <w:rPr>
          <w:rFonts w:hint="eastAsia"/>
          <w:color w:val="auto"/>
          <w:sz w:val="24"/>
          <w:highlight w:val="none"/>
        </w:rPr>
        <w:t>理化性质。。</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监测日期与监测频次</w:t>
      </w:r>
    </w:p>
    <w:p>
      <w:pPr>
        <w:autoSpaceDE w:val="0"/>
        <w:autoSpaceDN w:val="0"/>
        <w:ind w:firstLine="480"/>
        <w:rPr>
          <w:color w:val="auto"/>
          <w:highlight w:val="none"/>
        </w:rPr>
      </w:pPr>
      <w:r>
        <w:rPr>
          <w:color w:val="auto"/>
          <w:highlight w:val="none"/>
        </w:rPr>
        <w:t>现状监测于</w:t>
      </w:r>
      <w:r>
        <w:rPr>
          <w:color w:val="auto"/>
          <w:spacing w:val="20"/>
          <w:highlight w:val="none"/>
        </w:rPr>
        <w:t>2</w:t>
      </w:r>
      <w:r>
        <w:rPr>
          <w:rFonts w:hint="eastAsia"/>
          <w:color w:val="auto"/>
          <w:spacing w:val="20"/>
          <w:highlight w:val="none"/>
          <w:lang w:val="en-US" w:eastAsia="zh-CN"/>
        </w:rPr>
        <w:t>022</w:t>
      </w:r>
      <w:r>
        <w:rPr>
          <w:color w:val="auto"/>
          <w:spacing w:val="20"/>
          <w:highlight w:val="none"/>
        </w:rPr>
        <w:t>年</w:t>
      </w:r>
      <w:r>
        <w:rPr>
          <w:rFonts w:hint="eastAsia"/>
          <w:color w:val="auto"/>
          <w:spacing w:val="20"/>
          <w:highlight w:val="none"/>
          <w:lang w:val="en-US" w:eastAsia="zh-CN"/>
        </w:rPr>
        <w:t>12</w:t>
      </w:r>
      <w:r>
        <w:rPr>
          <w:color w:val="auto"/>
          <w:spacing w:val="20"/>
          <w:highlight w:val="none"/>
        </w:rPr>
        <w:t>月</w:t>
      </w:r>
      <w:r>
        <w:rPr>
          <w:rFonts w:hint="eastAsia"/>
          <w:color w:val="auto"/>
          <w:spacing w:val="20"/>
          <w:highlight w:val="none"/>
          <w:lang w:val="en-US" w:eastAsia="zh-CN"/>
        </w:rPr>
        <w:t>6</w:t>
      </w:r>
      <w:r>
        <w:rPr>
          <w:color w:val="auto"/>
          <w:spacing w:val="20"/>
          <w:highlight w:val="none"/>
        </w:rPr>
        <w:t>日</w:t>
      </w:r>
      <w:r>
        <w:rPr>
          <w:color w:val="auto"/>
          <w:highlight w:val="none"/>
        </w:rPr>
        <w:t>进行，</w:t>
      </w:r>
      <w:r>
        <w:rPr>
          <w:rFonts w:hint="eastAsia"/>
          <w:color w:val="auto"/>
          <w:highlight w:val="none"/>
        </w:rPr>
        <w:t>分别</w:t>
      </w:r>
      <w:r>
        <w:rPr>
          <w:color w:val="auto"/>
          <w:highlight w:val="none"/>
        </w:rPr>
        <w:t>监测1日，日采样1次。</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评价标准与评价方法</w:t>
      </w:r>
    </w:p>
    <w:p>
      <w:pPr>
        <w:rPr>
          <w:color w:val="auto"/>
          <w:highlight w:val="none"/>
        </w:rPr>
      </w:pPr>
      <w:r>
        <w:rPr>
          <w:color w:val="auto"/>
          <w:highlight w:val="none"/>
        </w:rPr>
        <w:t>评价标准采用《土壤环境质量 农用地土壤污染风险管控标准（试行）》（GB15618-2018）中的表1标准要求。</w:t>
      </w:r>
    </w:p>
    <w:p>
      <w:pPr>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rPr>
        <w:t>监测结果</w:t>
      </w:r>
      <w:r>
        <w:rPr>
          <w:rFonts w:hint="eastAsia"/>
          <w:color w:val="auto"/>
          <w:highlight w:val="none"/>
          <w:lang w:eastAsia="zh-CN"/>
        </w:rPr>
        <w:t>统计</w:t>
      </w:r>
    </w:p>
    <w:p>
      <w:pPr>
        <w:ind w:firstLine="480"/>
        <w:rPr>
          <w:rFonts w:hint="eastAsia"/>
          <w:color w:val="auto"/>
          <w:highlight w:val="none"/>
          <w:lang w:val="en-US" w:eastAsia="zh-CN"/>
        </w:rPr>
      </w:pPr>
      <w:r>
        <w:rPr>
          <w:color w:val="auto"/>
          <w:highlight w:val="none"/>
        </w:rPr>
        <w:t>项目</w:t>
      </w:r>
      <w:r>
        <w:rPr>
          <w:rFonts w:hint="eastAsia"/>
          <w:color w:val="auto"/>
          <w:highlight w:val="none"/>
          <w:lang w:eastAsia="zh-CN"/>
        </w:rPr>
        <w:t>底泥质量</w:t>
      </w:r>
      <w:r>
        <w:rPr>
          <w:color w:val="auto"/>
          <w:highlight w:val="none"/>
        </w:rPr>
        <w:t>现状监测结果见表4</w:t>
      </w:r>
      <w:r>
        <w:rPr>
          <w:rFonts w:hint="eastAsia"/>
          <w:color w:val="auto"/>
          <w:highlight w:val="none"/>
        </w:rPr>
        <w:t>.3-</w:t>
      </w:r>
      <w:r>
        <w:rPr>
          <w:rFonts w:hint="eastAsia"/>
          <w:color w:val="auto"/>
          <w:highlight w:val="none"/>
          <w:lang w:val="en-US" w:eastAsia="zh-CN"/>
        </w:rPr>
        <w:t>7~</w:t>
      </w:r>
      <w:r>
        <w:rPr>
          <w:rFonts w:hint="eastAsia"/>
          <w:color w:val="auto"/>
          <w:highlight w:val="none"/>
        </w:rPr>
        <w:t>4.3-</w:t>
      </w:r>
      <w:r>
        <w:rPr>
          <w:rFonts w:hint="eastAsia"/>
          <w:color w:val="auto"/>
          <w:highlight w:val="none"/>
          <w:lang w:val="en-US" w:eastAsia="zh-CN"/>
        </w:rPr>
        <w:t>8。</w:t>
      </w:r>
    </w:p>
    <w:p>
      <w:pPr>
        <w:pStyle w:val="1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表4.3-7  底泥理化性质检测结果一览表</w:t>
      </w:r>
    </w:p>
    <w:tbl>
      <w:tblPr>
        <w:tblStyle w:val="4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992"/>
        <w:gridCol w:w="1618"/>
        <w:gridCol w:w="1085"/>
        <w:gridCol w:w="1362"/>
        <w:gridCol w:w="1102"/>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Merge w:val="restart"/>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color w:val="auto"/>
                <w:sz w:val="21"/>
                <w:szCs w:val="21"/>
                <w:highlight w:val="none"/>
                <w:lang w:bidi="ar"/>
              </w:rPr>
            </w:pPr>
            <w:r>
              <w:rPr>
                <w:rFonts w:hint="default"/>
                <w:b/>
                <w:bCs/>
                <w:color w:val="auto"/>
                <w:sz w:val="21"/>
                <w:szCs w:val="21"/>
                <w:highlight w:val="none"/>
              </w:rPr>
              <w:t>检测项目</w:t>
            </w:r>
          </w:p>
        </w:tc>
        <w:tc>
          <w:tcPr>
            <w:tcW w:w="569" w:type="pct"/>
            <w:vMerge w:val="restart"/>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color w:val="auto"/>
                <w:sz w:val="21"/>
                <w:szCs w:val="21"/>
                <w:highlight w:val="none"/>
              </w:rPr>
            </w:pPr>
            <w:r>
              <w:rPr>
                <w:rFonts w:hint="eastAsia"/>
                <w:b/>
                <w:bCs/>
                <w:color w:val="auto"/>
                <w:sz w:val="21"/>
                <w:szCs w:val="21"/>
                <w:highlight w:val="none"/>
              </w:rPr>
              <w:t>单位</w:t>
            </w:r>
          </w:p>
        </w:tc>
        <w:tc>
          <w:tcPr>
            <w:tcW w:w="9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b/>
                <w:color w:val="auto"/>
                <w:spacing w:val="-10"/>
                <w:sz w:val="21"/>
                <w:szCs w:val="21"/>
                <w:highlight w:val="none"/>
              </w:rPr>
            </w:pPr>
            <w:r>
              <w:rPr>
                <w:rFonts w:hint="eastAsia" w:hAnsi="宋体"/>
                <w:b/>
                <w:color w:val="auto"/>
                <w:spacing w:val="-10"/>
                <w:sz w:val="21"/>
                <w:szCs w:val="21"/>
                <w:highlight w:val="none"/>
              </w:rPr>
              <w:t>筛选值</w:t>
            </w:r>
          </w:p>
        </w:tc>
        <w:tc>
          <w:tcPr>
            <w:tcW w:w="1403" w:type="pct"/>
            <w:gridSpan w:val="2"/>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color w:val="auto"/>
                <w:sz w:val="21"/>
                <w:szCs w:val="21"/>
                <w:highlight w:val="none"/>
              </w:rPr>
            </w:pPr>
            <w:r>
              <w:rPr>
                <w:rFonts w:hint="eastAsia"/>
                <w:b/>
                <w:bCs/>
                <w:color w:val="auto"/>
                <w:sz w:val="21"/>
                <w:szCs w:val="21"/>
                <w:highlight w:val="none"/>
                <w:lang w:val="en-US" w:eastAsia="zh-CN"/>
              </w:rPr>
              <w:t>Dn</w:t>
            </w:r>
            <w:r>
              <w:rPr>
                <w:rFonts w:hint="default"/>
                <w:b/>
                <w:bCs/>
                <w:color w:val="auto"/>
                <w:sz w:val="21"/>
                <w:szCs w:val="21"/>
                <w:highlight w:val="none"/>
              </w:rPr>
              <w:t>1</w:t>
            </w:r>
            <w:r>
              <w:rPr>
                <w:rFonts w:hint="eastAsia"/>
                <w:b/>
                <w:bCs/>
                <w:color w:val="auto"/>
                <w:sz w:val="21"/>
                <w:szCs w:val="21"/>
                <w:highlight w:val="none"/>
              </w:rPr>
              <w:t>#</w:t>
            </w:r>
          </w:p>
        </w:tc>
        <w:tc>
          <w:tcPr>
            <w:tcW w:w="1434" w:type="pct"/>
            <w:gridSpan w:val="2"/>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color w:val="auto"/>
                <w:sz w:val="21"/>
                <w:szCs w:val="21"/>
                <w:highlight w:val="none"/>
              </w:rPr>
            </w:pPr>
            <w:r>
              <w:rPr>
                <w:rFonts w:hint="eastAsia"/>
                <w:b/>
                <w:bCs/>
                <w:color w:val="auto"/>
                <w:sz w:val="21"/>
                <w:szCs w:val="21"/>
                <w:highlight w:val="none"/>
                <w:lang w:val="en-US" w:eastAsia="zh-CN"/>
              </w:rPr>
              <w:t>Dn</w:t>
            </w:r>
            <w:r>
              <w:rPr>
                <w:rFonts w:hint="default"/>
                <w:b/>
                <w:bCs/>
                <w:color w:val="auto"/>
                <w:sz w:val="21"/>
                <w:szCs w:val="21"/>
                <w:highlight w:val="none"/>
              </w:rPr>
              <w:t>2</w:t>
            </w:r>
            <w:r>
              <w:rPr>
                <w:rFonts w:hint="eastAsia"/>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Merge w:val="continue"/>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color w:val="auto"/>
                <w:sz w:val="21"/>
                <w:szCs w:val="21"/>
                <w:highlight w:val="none"/>
                <w:lang w:bidi="ar"/>
              </w:rPr>
            </w:pPr>
          </w:p>
        </w:tc>
        <w:tc>
          <w:tcPr>
            <w:tcW w:w="569" w:type="pct"/>
            <w:vMerge w:val="continue"/>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color w:val="auto"/>
                <w:sz w:val="21"/>
                <w:szCs w:val="21"/>
                <w:highlight w:val="none"/>
              </w:rPr>
            </w:pPr>
          </w:p>
        </w:tc>
        <w:tc>
          <w:tcPr>
            <w:tcW w:w="9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highlight w:val="none"/>
              </w:rPr>
            </w:pPr>
            <w:r>
              <w:rPr>
                <w:rFonts w:hint="eastAsia"/>
                <w:b/>
                <w:bCs/>
                <w:color w:val="auto"/>
                <w:sz w:val="21"/>
                <w:szCs w:val="21"/>
                <w:highlight w:val="none"/>
              </w:rPr>
              <w:t>农用地基本项目</w:t>
            </w:r>
          </w:p>
        </w:tc>
        <w:tc>
          <w:tcPr>
            <w:tcW w:w="622"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highlight w:val="none"/>
              </w:rPr>
            </w:pPr>
            <w:r>
              <w:rPr>
                <w:rFonts w:hint="eastAsia"/>
                <w:b/>
                <w:bCs/>
                <w:color w:val="auto"/>
                <w:sz w:val="21"/>
                <w:szCs w:val="21"/>
                <w:highlight w:val="none"/>
              </w:rPr>
              <w:t>监测结果</w:t>
            </w:r>
          </w:p>
        </w:tc>
        <w:tc>
          <w:tcPr>
            <w:tcW w:w="78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highlight w:val="none"/>
              </w:rPr>
            </w:pPr>
            <w:r>
              <w:rPr>
                <w:rFonts w:hint="eastAsia"/>
                <w:b/>
                <w:bCs/>
                <w:color w:val="auto"/>
                <w:sz w:val="21"/>
                <w:szCs w:val="21"/>
                <w:highlight w:val="none"/>
              </w:rPr>
              <w:t>标准指数</w:t>
            </w:r>
          </w:p>
        </w:tc>
        <w:tc>
          <w:tcPr>
            <w:tcW w:w="632" w:type="pct"/>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color w:val="auto"/>
                <w:sz w:val="21"/>
                <w:szCs w:val="21"/>
                <w:highlight w:val="none"/>
              </w:rPr>
            </w:pPr>
            <w:r>
              <w:rPr>
                <w:rFonts w:hint="eastAsia"/>
                <w:b/>
                <w:bCs/>
                <w:color w:val="auto"/>
                <w:sz w:val="21"/>
                <w:szCs w:val="21"/>
                <w:highlight w:val="none"/>
              </w:rPr>
              <w:t>监测结果</w:t>
            </w:r>
          </w:p>
        </w:tc>
        <w:tc>
          <w:tcPr>
            <w:tcW w:w="801" w:type="pct"/>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b/>
                <w:bCs/>
                <w:color w:val="auto"/>
                <w:sz w:val="21"/>
                <w:szCs w:val="21"/>
                <w:highlight w:val="none"/>
              </w:rPr>
            </w:pPr>
            <w:r>
              <w:rPr>
                <w:rFonts w:hint="eastAsia"/>
                <w:b/>
                <w:bCs/>
                <w:color w:val="auto"/>
                <w:sz w:val="21"/>
                <w:szCs w:val="21"/>
                <w:highlight w:val="none"/>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pPr>
              <w:keepNext w:val="0"/>
              <w:keepLines w:val="0"/>
              <w:suppressLineNumbers w:val="0"/>
              <w:spacing w:before="0" w:beforeAutospacing="0" w:after="0" w:afterAutospacing="0" w:line="240" w:lineRule="auto"/>
              <w:ind w:left="0" w:right="0" w:firstLine="0" w:firstLineChars="0"/>
              <w:jc w:val="center"/>
              <w:textAlignment w:val="center"/>
              <w:rPr>
                <w:rFonts w:hint="default"/>
                <w:color w:val="auto"/>
                <w:sz w:val="21"/>
                <w:szCs w:val="21"/>
                <w:highlight w:val="none"/>
                <w:lang w:bidi="ar"/>
              </w:rPr>
            </w:pPr>
            <w:r>
              <w:rPr>
                <w:rFonts w:hint="eastAsia"/>
                <w:color w:val="auto"/>
                <w:sz w:val="21"/>
                <w:szCs w:val="21"/>
                <w:highlight w:val="none"/>
                <w:lang w:bidi="ar"/>
              </w:rPr>
              <w:t>p</w:t>
            </w:r>
            <w:r>
              <w:rPr>
                <w:rFonts w:hint="default"/>
                <w:color w:val="auto"/>
                <w:sz w:val="21"/>
                <w:szCs w:val="21"/>
                <w:highlight w:val="none"/>
                <w:lang w:bidi="ar"/>
              </w:rPr>
              <w:t>H</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w:t>
            </w:r>
          </w:p>
        </w:tc>
        <w:tc>
          <w:tcPr>
            <w:tcW w:w="9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color w:val="auto"/>
                <w:spacing w:val="-10"/>
                <w:sz w:val="21"/>
                <w:szCs w:val="21"/>
                <w:highlight w:val="none"/>
              </w:rPr>
            </w:pPr>
            <w:r>
              <w:rPr>
                <w:rFonts w:hint="default"/>
                <w:color w:val="auto"/>
                <w:spacing w:val="-10"/>
                <w:sz w:val="20"/>
                <w:szCs w:val="21"/>
                <w:highlight w:val="none"/>
              </w:rPr>
              <w:t>pH</w:t>
            </w:r>
            <w:r>
              <w:rPr>
                <w:rFonts w:hint="eastAsia"/>
                <w:color w:val="auto"/>
                <w:spacing w:val="-10"/>
                <w:sz w:val="20"/>
                <w:szCs w:val="21"/>
                <w:highlight w:val="none"/>
                <w:lang w:val="en-US" w:eastAsia="zh-CN"/>
              </w:rPr>
              <w:t>&gt;</w:t>
            </w:r>
            <w:r>
              <w:rPr>
                <w:rFonts w:hint="default"/>
                <w:color w:val="auto"/>
                <w:spacing w:val="-10"/>
                <w:sz w:val="20"/>
                <w:szCs w:val="21"/>
                <w:highlight w:val="none"/>
              </w:rPr>
              <w:t>7.5</w:t>
            </w:r>
          </w:p>
        </w:tc>
        <w:tc>
          <w:tcPr>
            <w:tcW w:w="6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8.07</w:t>
            </w:r>
          </w:p>
        </w:tc>
        <w:tc>
          <w:tcPr>
            <w:tcW w:w="780"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eastAsia="zh-CN"/>
              </w:rPr>
            </w:pPr>
            <w:r>
              <w:rPr>
                <w:rFonts w:hint="default" w:ascii="Times New Roman" w:hAnsi="Times New Roman" w:eastAsia="等线" w:cs="Times New Roman"/>
                <w:color w:val="auto"/>
                <w:sz w:val="21"/>
                <w:szCs w:val="21"/>
                <w:highlight w:val="none"/>
                <w:lang w:val="en-US" w:eastAsia="zh-CN"/>
              </w:rPr>
              <w:t>/</w:t>
            </w:r>
          </w:p>
        </w:tc>
        <w:tc>
          <w:tcPr>
            <w:tcW w:w="63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8.21</w:t>
            </w:r>
          </w:p>
        </w:tc>
        <w:tc>
          <w:tcPr>
            <w:tcW w:w="801"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eastAsia="zh-CN"/>
              </w:rPr>
            </w:pPr>
            <w:r>
              <w:rPr>
                <w:rFonts w:hint="default" w:ascii="Times New Roman" w:hAnsi="Times New Roman" w:eastAsia="等线"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砷</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highlight w:val="none"/>
              </w:rPr>
            </w:pPr>
            <w:r>
              <w:rPr>
                <w:rFonts w:hint="default"/>
                <w:color w:val="auto"/>
                <w:sz w:val="21"/>
                <w:szCs w:val="21"/>
                <w:highlight w:val="none"/>
              </w:rPr>
              <w:t>mg/kg</w:t>
            </w:r>
          </w:p>
        </w:tc>
        <w:tc>
          <w:tcPr>
            <w:tcW w:w="9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color w:val="auto"/>
                <w:spacing w:val="-10"/>
                <w:sz w:val="21"/>
                <w:szCs w:val="21"/>
                <w:highlight w:val="none"/>
                <w:lang w:val="en-US" w:eastAsia="zh-CN"/>
              </w:rPr>
            </w:pPr>
            <w:r>
              <w:rPr>
                <w:rFonts w:hint="eastAsia" w:eastAsia="等线"/>
                <w:color w:val="auto"/>
                <w:sz w:val="21"/>
                <w:szCs w:val="21"/>
                <w:highlight w:val="none"/>
                <w:lang w:val="en-US" w:eastAsia="zh-CN"/>
              </w:rPr>
              <w:t>25</w:t>
            </w:r>
          </w:p>
        </w:tc>
        <w:tc>
          <w:tcPr>
            <w:tcW w:w="6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6.77</w:t>
            </w:r>
          </w:p>
        </w:tc>
        <w:tc>
          <w:tcPr>
            <w:tcW w:w="13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0.27</w:t>
            </w:r>
          </w:p>
        </w:tc>
        <w:tc>
          <w:tcPr>
            <w:tcW w:w="63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7.32</w:t>
            </w:r>
          </w:p>
        </w:tc>
        <w:tc>
          <w:tcPr>
            <w:tcW w:w="13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镉</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mg/kg</w:t>
            </w:r>
          </w:p>
        </w:tc>
        <w:tc>
          <w:tcPr>
            <w:tcW w:w="9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color w:val="auto"/>
                <w:spacing w:val="-10"/>
                <w:sz w:val="21"/>
                <w:szCs w:val="21"/>
                <w:highlight w:val="none"/>
                <w:lang w:val="en-US" w:eastAsia="zh-CN"/>
              </w:rPr>
            </w:pPr>
            <w:r>
              <w:rPr>
                <w:rFonts w:hint="eastAsia" w:eastAsia="等线"/>
                <w:color w:val="auto"/>
                <w:sz w:val="21"/>
                <w:szCs w:val="21"/>
                <w:highlight w:val="none"/>
                <w:lang w:val="en-US" w:eastAsia="zh-CN"/>
              </w:rPr>
              <w:t>0.6</w:t>
            </w:r>
          </w:p>
        </w:tc>
        <w:tc>
          <w:tcPr>
            <w:tcW w:w="6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0.15</w:t>
            </w:r>
          </w:p>
        </w:tc>
        <w:tc>
          <w:tcPr>
            <w:tcW w:w="13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63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0.16</w:t>
            </w:r>
          </w:p>
        </w:tc>
        <w:tc>
          <w:tcPr>
            <w:tcW w:w="13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lang w:bidi="ar"/>
              </w:rPr>
            </w:pPr>
            <w:r>
              <w:rPr>
                <w:rFonts w:hint="eastAsia" w:asciiTheme="minorEastAsia" w:hAnsiTheme="minorEastAsia" w:eastAsiaTheme="minorEastAsia" w:cstheme="minorEastAsia"/>
                <w:color w:val="auto"/>
                <w:sz w:val="21"/>
                <w:szCs w:val="21"/>
                <w:highlight w:val="none"/>
                <w:lang w:eastAsia="zh-CN"/>
              </w:rPr>
              <w:t>总</w:t>
            </w:r>
            <w:r>
              <w:rPr>
                <w:rFonts w:hint="eastAsia" w:asciiTheme="minorEastAsia" w:hAnsiTheme="minorEastAsia" w:eastAsiaTheme="minorEastAsia" w:cstheme="minorEastAsia"/>
                <w:color w:val="auto"/>
                <w:sz w:val="21"/>
                <w:szCs w:val="21"/>
                <w:highlight w:val="none"/>
              </w:rPr>
              <w:t>铬</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mg/kg</w:t>
            </w:r>
          </w:p>
        </w:tc>
        <w:tc>
          <w:tcPr>
            <w:tcW w:w="9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color w:val="auto"/>
                <w:spacing w:val="-10"/>
                <w:sz w:val="21"/>
                <w:szCs w:val="21"/>
                <w:highlight w:val="none"/>
                <w:lang w:val="en-US" w:eastAsia="zh-CN"/>
              </w:rPr>
            </w:pPr>
            <w:r>
              <w:rPr>
                <w:rFonts w:hint="eastAsia" w:eastAsia="等线"/>
                <w:color w:val="auto"/>
                <w:sz w:val="21"/>
                <w:szCs w:val="21"/>
                <w:highlight w:val="none"/>
                <w:lang w:val="en-US" w:eastAsia="zh-CN"/>
              </w:rPr>
              <w:t>250</w:t>
            </w:r>
          </w:p>
        </w:tc>
        <w:tc>
          <w:tcPr>
            <w:tcW w:w="6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48</w:t>
            </w:r>
          </w:p>
        </w:tc>
        <w:tc>
          <w:tcPr>
            <w:tcW w:w="13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0.19</w:t>
            </w:r>
          </w:p>
        </w:tc>
        <w:tc>
          <w:tcPr>
            <w:tcW w:w="63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w:t>
            </w:r>
          </w:p>
        </w:tc>
        <w:tc>
          <w:tcPr>
            <w:tcW w:w="13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铜</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highlight w:val="none"/>
              </w:rPr>
            </w:pPr>
            <w:r>
              <w:rPr>
                <w:rFonts w:hint="default"/>
                <w:color w:val="auto"/>
                <w:sz w:val="21"/>
                <w:szCs w:val="21"/>
                <w:highlight w:val="none"/>
              </w:rPr>
              <w:t>mg/kg</w:t>
            </w:r>
          </w:p>
        </w:tc>
        <w:tc>
          <w:tcPr>
            <w:tcW w:w="9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color w:val="auto"/>
                <w:spacing w:val="-10"/>
                <w:sz w:val="21"/>
                <w:szCs w:val="21"/>
                <w:highlight w:val="none"/>
                <w:lang w:val="en-US" w:eastAsia="zh-CN"/>
              </w:rPr>
            </w:pPr>
            <w:r>
              <w:rPr>
                <w:rFonts w:hint="eastAsia" w:eastAsia="等线"/>
                <w:color w:val="auto"/>
                <w:sz w:val="21"/>
                <w:szCs w:val="21"/>
                <w:highlight w:val="none"/>
                <w:lang w:val="en-US" w:eastAsia="zh-CN"/>
              </w:rPr>
              <w:t>100</w:t>
            </w:r>
          </w:p>
        </w:tc>
        <w:tc>
          <w:tcPr>
            <w:tcW w:w="6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47</w:t>
            </w:r>
          </w:p>
        </w:tc>
        <w:tc>
          <w:tcPr>
            <w:tcW w:w="13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0.47</w:t>
            </w:r>
          </w:p>
        </w:tc>
        <w:tc>
          <w:tcPr>
            <w:tcW w:w="63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13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铅</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highlight w:val="none"/>
              </w:rPr>
            </w:pPr>
            <w:r>
              <w:rPr>
                <w:rFonts w:hint="default"/>
                <w:color w:val="auto"/>
                <w:sz w:val="21"/>
                <w:szCs w:val="21"/>
                <w:highlight w:val="none"/>
              </w:rPr>
              <w:t>mg/kg</w:t>
            </w:r>
          </w:p>
        </w:tc>
        <w:tc>
          <w:tcPr>
            <w:tcW w:w="9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color w:val="auto"/>
                <w:spacing w:val="-10"/>
                <w:sz w:val="21"/>
                <w:szCs w:val="21"/>
                <w:highlight w:val="none"/>
                <w:lang w:val="en-US" w:eastAsia="zh-CN"/>
              </w:rPr>
            </w:pPr>
            <w:r>
              <w:rPr>
                <w:rFonts w:hint="eastAsia" w:eastAsia="等线"/>
                <w:color w:val="auto"/>
                <w:sz w:val="21"/>
                <w:szCs w:val="21"/>
                <w:highlight w:val="none"/>
                <w:lang w:val="en-US" w:eastAsia="zh-CN"/>
              </w:rPr>
              <w:t>170</w:t>
            </w:r>
          </w:p>
        </w:tc>
        <w:tc>
          <w:tcPr>
            <w:tcW w:w="6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27</w:t>
            </w:r>
          </w:p>
        </w:tc>
        <w:tc>
          <w:tcPr>
            <w:tcW w:w="13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63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w:t>
            </w:r>
          </w:p>
        </w:tc>
        <w:tc>
          <w:tcPr>
            <w:tcW w:w="13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汞</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mg/kg</w:t>
            </w:r>
          </w:p>
        </w:tc>
        <w:tc>
          <w:tcPr>
            <w:tcW w:w="9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color w:val="auto"/>
                <w:spacing w:val="-10"/>
                <w:sz w:val="21"/>
                <w:szCs w:val="21"/>
                <w:highlight w:val="none"/>
                <w:lang w:val="en-US" w:eastAsia="zh-CN"/>
              </w:rPr>
            </w:pPr>
            <w:r>
              <w:rPr>
                <w:rFonts w:hint="eastAsia" w:eastAsia="等线"/>
                <w:color w:val="auto"/>
                <w:sz w:val="21"/>
                <w:szCs w:val="21"/>
                <w:highlight w:val="none"/>
                <w:lang w:val="en-US" w:eastAsia="zh-CN"/>
              </w:rPr>
              <w:t>3.4</w:t>
            </w:r>
          </w:p>
        </w:tc>
        <w:tc>
          <w:tcPr>
            <w:tcW w:w="6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0.104</w:t>
            </w:r>
          </w:p>
        </w:tc>
        <w:tc>
          <w:tcPr>
            <w:tcW w:w="13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63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0.091</w:t>
            </w:r>
          </w:p>
        </w:tc>
        <w:tc>
          <w:tcPr>
            <w:tcW w:w="13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lang w:bidi="ar"/>
              </w:rPr>
            </w:pPr>
            <w:r>
              <w:rPr>
                <w:rFonts w:hint="eastAsia" w:asciiTheme="minorEastAsia" w:hAnsiTheme="minorEastAsia" w:eastAsiaTheme="minorEastAsia" w:cstheme="minorEastAsia"/>
                <w:color w:val="auto"/>
                <w:sz w:val="21"/>
                <w:szCs w:val="21"/>
                <w:highlight w:val="none"/>
                <w:lang w:eastAsia="zh-CN"/>
              </w:rPr>
              <w:t>锌</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mg/kg</w:t>
            </w:r>
          </w:p>
        </w:tc>
        <w:tc>
          <w:tcPr>
            <w:tcW w:w="9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color w:val="auto"/>
                <w:spacing w:val="-10"/>
                <w:sz w:val="21"/>
                <w:szCs w:val="21"/>
                <w:highlight w:val="none"/>
                <w:lang w:val="en-US" w:eastAsia="zh-CN"/>
              </w:rPr>
            </w:pPr>
            <w:r>
              <w:rPr>
                <w:rFonts w:hint="eastAsia" w:eastAsia="等线"/>
                <w:color w:val="auto"/>
                <w:sz w:val="21"/>
                <w:szCs w:val="21"/>
                <w:highlight w:val="none"/>
                <w:lang w:val="en-US" w:eastAsia="zh-CN"/>
              </w:rPr>
              <w:t>300</w:t>
            </w:r>
          </w:p>
        </w:tc>
        <w:tc>
          <w:tcPr>
            <w:tcW w:w="6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57</w:t>
            </w:r>
          </w:p>
        </w:tc>
        <w:tc>
          <w:tcPr>
            <w:tcW w:w="13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0.19</w:t>
            </w:r>
          </w:p>
        </w:tc>
        <w:tc>
          <w:tcPr>
            <w:tcW w:w="63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w:t>
            </w:r>
          </w:p>
        </w:tc>
        <w:tc>
          <w:tcPr>
            <w:tcW w:w="13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镍</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highlight w:val="none"/>
              </w:rPr>
            </w:pPr>
            <w:r>
              <w:rPr>
                <w:rFonts w:hint="default"/>
                <w:color w:val="auto"/>
                <w:sz w:val="21"/>
                <w:szCs w:val="21"/>
                <w:highlight w:val="none"/>
              </w:rPr>
              <w:t>mg/kg</w:t>
            </w:r>
          </w:p>
        </w:tc>
        <w:tc>
          <w:tcPr>
            <w:tcW w:w="9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eastAsia="宋体"/>
                <w:color w:val="auto"/>
                <w:spacing w:val="-10"/>
                <w:sz w:val="21"/>
                <w:szCs w:val="21"/>
                <w:highlight w:val="none"/>
                <w:lang w:val="en-US" w:eastAsia="zh-CN"/>
              </w:rPr>
            </w:pPr>
            <w:r>
              <w:rPr>
                <w:rFonts w:hint="eastAsia" w:eastAsia="等线"/>
                <w:color w:val="auto"/>
                <w:sz w:val="21"/>
                <w:szCs w:val="21"/>
                <w:highlight w:val="none"/>
                <w:lang w:val="en-US" w:eastAsia="zh-CN"/>
              </w:rPr>
              <w:t>190</w:t>
            </w:r>
          </w:p>
        </w:tc>
        <w:tc>
          <w:tcPr>
            <w:tcW w:w="6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40</w:t>
            </w:r>
          </w:p>
        </w:tc>
        <w:tc>
          <w:tcPr>
            <w:tcW w:w="136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0.21</w:t>
            </w:r>
          </w:p>
        </w:tc>
        <w:tc>
          <w:tcPr>
            <w:tcW w:w="63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139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olor w:val="auto"/>
                <w:sz w:val="21"/>
                <w:szCs w:val="21"/>
                <w:highlight w:val="none"/>
                <w:lang w:bidi="ar"/>
              </w:rPr>
            </w:pPr>
            <w:r>
              <w:rPr>
                <w:rFonts w:hint="eastAsia" w:ascii="宋体" w:hAnsi="宋体" w:eastAsia="宋体" w:cs="宋体"/>
                <w:color w:val="auto"/>
                <w:sz w:val="21"/>
                <w:szCs w:val="21"/>
                <w:highlight w:val="none"/>
              </w:rPr>
              <w:t>水溶性盐总量</w:t>
            </w:r>
          </w:p>
        </w:tc>
        <w:tc>
          <w:tcPr>
            <w:tcW w:w="569"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g/kg</w:t>
            </w:r>
          </w:p>
        </w:tc>
        <w:tc>
          <w:tcPr>
            <w:tcW w:w="928"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hAnsi="宋体"/>
                <w:color w:val="auto"/>
                <w:spacing w:val="-10"/>
                <w:sz w:val="21"/>
                <w:szCs w:val="21"/>
                <w:highlight w:val="none"/>
              </w:rPr>
            </w:pPr>
            <w:r>
              <w:rPr>
                <w:rFonts w:hint="eastAsia" w:hAnsi="宋体"/>
                <w:color w:val="auto"/>
                <w:spacing w:val="-10"/>
                <w:sz w:val="21"/>
                <w:szCs w:val="21"/>
                <w:highlight w:val="none"/>
              </w:rPr>
              <w:t>/</w:t>
            </w:r>
          </w:p>
        </w:tc>
        <w:tc>
          <w:tcPr>
            <w:tcW w:w="6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780"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rPr>
            </w:pPr>
            <w:r>
              <w:rPr>
                <w:rFonts w:hint="default" w:ascii="Times New Roman" w:hAnsi="Times New Roman" w:eastAsia="等线" w:cs="Times New Roman"/>
                <w:color w:val="auto"/>
                <w:sz w:val="21"/>
                <w:szCs w:val="21"/>
                <w:highlight w:val="none"/>
              </w:rPr>
              <w:t>/</w:t>
            </w:r>
          </w:p>
        </w:tc>
        <w:tc>
          <w:tcPr>
            <w:tcW w:w="63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0.5</w:t>
            </w:r>
          </w:p>
        </w:tc>
        <w:tc>
          <w:tcPr>
            <w:tcW w:w="801"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auto"/>
                <w:sz w:val="21"/>
                <w:szCs w:val="21"/>
                <w:highlight w:val="none"/>
              </w:rPr>
            </w:pPr>
            <w:r>
              <w:rPr>
                <w:rFonts w:hint="default" w:ascii="Times New Roman" w:hAnsi="Times New Roman" w:eastAsia="等线" w:cs="Times New Roman"/>
                <w:color w:val="auto"/>
                <w:sz w:val="21"/>
                <w:szCs w:val="21"/>
                <w:highlight w:val="none"/>
              </w:rPr>
              <w:t>/</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64" w:beforeLines="50" w:line="360" w:lineRule="auto"/>
        <w:ind w:left="0" w:left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color w:val="auto"/>
          <w:sz w:val="21"/>
          <w:szCs w:val="21"/>
          <w:highlight w:val="none"/>
        </w:rPr>
        <w:t>表4.3-</w:t>
      </w:r>
      <w:r>
        <w:rPr>
          <w:rFonts w:hint="eastAsia"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bCs w:val="0"/>
          <w:color w:val="auto"/>
          <w:sz w:val="21"/>
          <w:szCs w:val="21"/>
          <w:highlight w:val="none"/>
        </w:rPr>
        <w:t>理化性质检测结果一览表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2"/>
        <w:gridCol w:w="3212"/>
        <w:gridCol w:w="3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val="0"/>
                <w:color w:val="auto"/>
                <w:sz w:val="21"/>
                <w:szCs w:val="21"/>
                <w:highlight w:val="none"/>
                <w:vertAlign w:val="baseline"/>
                <w:lang w:eastAsia="zh-CN"/>
              </w:rPr>
            </w:pPr>
            <w:r>
              <w:rPr>
                <w:rFonts w:hint="default" w:ascii="Times New Roman" w:hAnsi="Times New Roman" w:cs="Times New Roman" w:eastAsiaTheme="minorEastAsia"/>
                <w:b/>
                <w:bCs w:val="0"/>
                <w:color w:val="auto"/>
                <w:sz w:val="21"/>
                <w:szCs w:val="21"/>
                <w:highlight w:val="none"/>
                <w:lang w:val="en-US" w:eastAsia="zh-CN"/>
              </w:rPr>
              <w:t>检测点位名称</w:t>
            </w:r>
          </w:p>
        </w:tc>
        <w:tc>
          <w:tcPr>
            <w:tcW w:w="1842"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b/>
                <w:bCs w:val="0"/>
                <w:color w:val="auto"/>
                <w:sz w:val="21"/>
                <w:szCs w:val="21"/>
                <w:highlight w:val="none"/>
                <w:vertAlign w:val="baseline"/>
                <w:lang w:val="en-US" w:eastAsia="zh-CN"/>
              </w:rPr>
            </w:pPr>
            <w:r>
              <w:rPr>
                <w:rFonts w:hint="eastAsia"/>
                <w:b/>
                <w:bCs/>
                <w:color w:val="auto"/>
                <w:sz w:val="21"/>
                <w:szCs w:val="21"/>
                <w:highlight w:val="none"/>
                <w:lang w:val="en-US" w:eastAsia="zh-CN"/>
              </w:rPr>
              <w:t>Dn</w:t>
            </w:r>
            <w:r>
              <w:rPr>
                <w:rFonts w:hint="default"/>
                <w:b/>
                <w:bCs/>
                <w:color w:val="auto"/>
                <w:sz w:val="21"/>
                <w:szCs w:val="21"/>
                <w:highlight w:val="none"/>
              </w:rPr>
              <w:t>1</w:t>
            </w:r>
            <w:r>
              <w:rPr>
                <w:rFonts w:hint="eastAsia"/>
                <w:b/>
                <w:bCs/>
                <w:color w:val="auto"/>
                <w:sz w:val="21"/>
                <w:szCs w:val="21"/>
                <w:highlight w:val="none"/>
              </w:rPr>
              <w:t>#</w:t>
            </w:r>
          </w:p>
        </w:tc>
        <w:tc>
          <w:tcPr>
            <w:tcW w:w="1842"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b/>
                <w:bCs w:val="0"/>
                <w:color w:val="auto"/>
                <w:sz w:val="21"/>
                <w:szCs w:val="21"/>
              </w:rPr>
            </w:pPr>
            <w:r>
              <w:rPr>
                <w:rFonts w:hint="eastAsia"/>
                <w:b/>
                <w:bCs/>
                <w:color w:val="auto"/>
                <w:sz w:val="21"/>
                <w:szCs w:val="21"/>
                <w:highlight w:val="none"/>
                <w:lang w:val="en-US" w:eastAsia="zh-CN"/>
              </w:rPr>
              <w:t>Dn</w:t>
            </w:r>
            <w:r>
              <w:rPr>
                <w:rFonts w:hint="default"/>
                <w:b/>
                <w:bCs/>
                <w:color w:val="auto"/>
                <w:sz w:val="21"/>
                <w:szCs w:val="21"/>
                <w:highlight w:val="none"/>
              </w:rPr>
              <w:t>2</w:t>
            </w:r>
            <w:r>
              <w:rPr>
                <w:rFonts w:hint="eastAsia"/>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none"/>
                <w:vertAlign w:val="baseline"/>
                <w:lang w:eastAsia="zh-CN"/>
              </w:rPr>
            </w:pPr>
            <w:r>
              <w:rPr>
                <w:rFonts w:hint="default" w:ascii="Times New Roman" w:hAnsi="Times New Roman" w:cs="Times New Roman" w:eastAsiaTheme="minorEastAsia"/>
                <w:b w:val="0"/>
                <w:bCs/>
                <w:color w:val="auto"/>
                <w:sz w:val="21"/>
                <w:szCs w:val="21"/>
                <w:highlight w:val="none"/>
                <w:vertAlign w:val="baseline"/>
                <w:lang w:eastAsia="zh-CN"/>
              </w:rPr>
              <w:t>层次（</w:t>
            </w:r>
            <w:r>
              <w:rPr>
                <w:rFonts w:hint="default" w:ascii="Times New Roman" w:hAnsi="Times New Roman" w:cs="Times New Roman" w:eastAsiaTheme="minorEastAsia"/>
                <w:b w:val="0"/>
                <w:bCs/>
                <w:color w:val="auto"/>
                <w:sz w:val="21"/>
                <w:szCs w:val="21"/>
                <w:highlight w:val="none"/>
                <w:vertAlign w:val="baseline"/>
                <w:lang w:val="en-US" w:eastAsia="zh-CN"/>
              </w:rPr>
              <w:t>m</w:t>
            </w:r>
            <w:r>
              <w:rPr>
                <w:rFonts w:hint="default" w:ascii="Times New Roman" w:hAnsi="Times New Roman" w:cs="Times New Roman" w:eastAsiaTheme="minorEastAsia"/>
                <w:b w:val="0"/>
                <w:bCs/>
                <w:color w:val="auto"/>
                <w:sz w:val="21"/>
                <w:szCs w:val="21"/>
                <w:highlight w:val="none"/>
                <w:vertAlign w:val="baseline"/>
                <w:lang w:eastAsia="zh-CN"/>
              </w:rPr>
              <w:t>）</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yellow"/>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0.2</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highlight w:val="yellow"/>
                <w:lang w:val="en-US" w:eastAsia="zh-CN" w:bidi="ar-SA"/>
              </w:rPr>
            </w:pPr>
            <w:r>
              <w:rPr>
                <w:rFonts w:hint="default" w:ascii="Times New Roman" w:hAnsi="Times New Roman" w:cs="Times New Roman"/>
                <w:b w:val="0"/>
                <w:bCs/>
                <w:color w:val="auto"/>
                <w:sz w:val="21"/>
                <w:szCs w:val="21"/>
                <w:highlight w:val="non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none"/>
                <w:vertAlign w:val="baseline"/>
                <w:lang w:eastAsia="zh-CN"/>
              </w:rPr>
            </w:pPr>
            <w:r>
              <w:rPr>
                <w:rFonts w:hint="default" w:ascii="Times New Roman" w:hAnsi="Times New Roman" w:cs="Times New Roman" w:eastAsiaTheme="minorEastAsia"/>
                <w:b w:val="0"/>
                <w:bCs/>
                <w:color w:val="auto"/>
                <w:sz w:val="21"/>
                <w:szCs w:val="21"/>
                <w:highlight w:val="none"/>
                <w:vertAlign w:val="baseline"/>
                <w:lang w:eastAsia="zh-CN"/>
              </w:rPr>
              <w:t>颜色</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yellow"/>
                <w:vertAlign w:val="baseline"/>
                <w:lang w:val="en-US" w:eastAsia="zh-CN"/>
              </w:rPr>
            </w:pPr>
            <w:r>
              <w:rPr>
                <w:rFonts w:hint="default" w:ascii="Times New Roman" w:hAnsi="Times New Roman" w:eastAsia="宋体" w:cs="Times New Roman"/>
                <w:b w:val="0"/>
                <w:bCs/>
                <w:color w:val="auto"/>
                <w:kern w:val="2"/>
                <w:sz w:val="21"/>
                <w:szCs w:val="21"/>
                <w:highlight w:val="none"/>
                <w:vertAlign w:val="baseline"/>
                <w:lang w:val="en-US" w:eastAsia="zh-CN" w:bidi="ar-SA"/>
              </w:rPr>
              <w:t>暗棕</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highlight w:val="yellow"/>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暗棕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none"/>
                <w:vertAlign w:val="baseline"/>
                <w:lang w:eastAsia="zh-CN"/>
              </w:rPr>
            </w:pPr>
            <w:r>
              <w:rPr>
                <w:rFonts w:hint="default" w:ascii="Times New Roman" w:hAnsi="Times New Roman" w:cs="Times New Roman" w:eastAsiaTheme="minorEastAsia"/>
                <w:b w:val="0"/>
                <w:bCs/>
                <w:color w:val="auto"/>
                <w:sz w:val="21"/>
                <w:szCs w:val="21"/>
                <w:highlight w:val="none"/>
                <w:vertAlign w:val="baseline"/>
                <w:lang w:eastAsia="zh-CN"/>
              </w:rPr>
              <w:t>结构</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yellow"/>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团粒结构体</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highlight w:val="yellow"/>
                <w:lang w:val="en-US" w:eastAsia="zh-CN" w:bidi="ar-SA"/>
              </w:rPr>
            </w:pPr>
            <w:r>
              <w:rPr>
                <w:rFonts w:hint="default" w:ascii="Times New Roman" w:hAnsi="Times New Roman" w:eastAsia="宋体" w:cs="Times New Roman"/>
                <w:b w:val="0"/>
                <w:bCs/>
                <w:color w:val="auto"/>
                <w:sz w:val="21"/>
                <w:szCs w:val="21"/>
                <w:highlight w:val="none"/>
                <w:vertAlign w:val="baseline"/>
                <w:lang w:eastAsia="zh-CN"/>
              </w:rPr>
              <w:t>团粒结构体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none"/>
                <w:vertAlign w:val="baseline"/>
                <w:lang w:eastAsia="zh-CN"/>
              </w:rPr>
            </w:pPr>
            <w:r>
              <w:rPr>
                <w:rFonts w:hint="default" w:ascii="Times New Roman" w:hAnsi="Times New Roman" w:cs="Times New Roman" w:eastAsiaTheme="minorEastAsia"/>
                <w:b w:val="0"/>
                <w:bCs/>
                <w:color w:val="auto"/>
                <w:sz w:val="21"/>
                <w:szCs w:val="21"/>
                <w:highlight w:val="none"/>
                <w:vertAlign w:val="baseline"/>
                <w:lang w:eastAsia="zh-CN"/>
              </w:rPr>
              <w:t>质地</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yellow"/>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粘土</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highlight w:val="yellow"/>
                <w:lang w:val="en-US" w:eastAsia="zh-CN" w:bidi="ar-SA"/>
              </w:rPr>
            </w:pPr>
            <w:r>
              <w:rPr>
                <w:rFonts w:hint="default" w:ascii="Times New Roman" w:hAnsi="Times New Roman" w:eastAsia="宋体" w:cs="Times New Roman"/>
                <w:b w:val="0"/>
                <w:bCs/>
                <w:color w:val="auto"/>
                <w:sz w:val="21"/>
                <w:szCs w:val="21"/>
                <w:highlight w:val="none"/>
                <w:vertAlign w:val="baseline"/>
                <w:lang w:eastAsia="zh-CN"/>
              </w:rPr>
              <w:t>粘土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none"/>
                <w:vertAlign w:val="baseline"/>
                <w:lang w:eastAsia="zh-CN"/>
              </w:rPr>
            </w:pPr>
            <w:r>
              <w:rPr>
                <w:rFonts w:hint="default" w:ascii="Times New Roman" w:hAnsi="Times New Roman" w:cs="Times New Roman" w:eastAsiaTheme="minorEastAsia"/>
                <w:b w:val="0"/>
                <w:bCs/>
                <w:color w:val="auto"/>
                <w:sz w:val="21"/>
                <w:szCs w:val="21"/>
                <w:highlight w:val="none"/>
                <w:vertAlign w:val="baseline"/>
                <w:lang w:eastAsia="zh-CN"/>
              </w:rPr>
              <w:t>砂砾含量（</w:t>
            </w:r>
            <w:r>
              <w:rPr>
                <w:rFonts w:hint="default" w:ascii="Times New Roman" w:hAnsi="Times New Roman" w:cs="Times New Roman" w:eastAsiaTheme="minorEastAsia"/>
                <w:b w:val="0"/>
                <w:bCs/>
                <w:color w:val="auto"/>
                <w:sz w:val="21"/>
                <w:szCs w:val="21"/>
                <w:highlight w:val="none"/>
                <w:vertAlign w:val="baseline"/>
                <w:lang w:val="en-US" w:eastAsia="zh-CN"/>
              </w:rPr>
              <w:t>%</w:t>
            </w:r>
            <w:r>
              <w:rPr>
                <w:rFonts w:hint="default" w:ascii="Times New Roman" w:hAnsi="Times New Roman" w:cs="Times New Roman" w:eastAsiaTheme="minorEastAsia"/>
                <w:b w:val="0"/>
                <w:bCs/>
                <w:color w:val="auto"/>
                <w:sz w:val="21"/>
                <w:szCs w:val="21"/>
                <w:highlight w:val="none"/>
                <w:vertAlign w:val="baseline"/>
                <w:lang w:eastAsia="zh-CN"/>
              </w:rPr>
              <w:t>）</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yellow"/>
                <w:vertAlign w:val="baseline"/>
                <w:lang w:val="en-US" w:eastAsia="zh-CN"/>
              </w:rPr>
            </w:pPr>
            <w:r>
              <w:rPr>
                <w:rFonts w:hint="default" w:ascii="Times New Roman" w:hAnsi="Times New Roman" w:eastAsia="宋体" w:cs="Times New Roman"/>
                <w:b w:val="0"/>
                <w:bCs/>
                <w:color w:val="auto"/>
                <w:kern w:val="2"/>
                <w:sz w:val="21"/>
                <w:szCs w:val="21"/>
                <w:highlight w:val="none"/>
                <w:vertAlign w:val="baseline"/>
                <w:lang w:val="en-US" w:eastAsia="zh-CN" w:bidi="ar-SA"/>
              </w:rPr>
              <w:t>4</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highlight w:val="yellow"/>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none"/>
                <w:vertAlign w:val="baseline"/>
                <w:lang w:eastAsia="zh-CN"/>
              </w:rPr>
            </w:pPr>
            <w:r>
              <w:rPr>
                <w:rFonts w:hint="default" w:ascii="Times New Roman" w:hAnsi="Times New Roman" w:cs="Times New Roman" w:eastAsiaTheme="minorEastAsia"/>
                <w:b w:val="0"/>
                <w:bCs/>
                <w:color w:val="auto"/>
                <w:sz w:val="21"/>
                <w:szCs w:val="21"/>
                <w:highlight w:val="none"/>
                <w:vertAlign w:val="baseline"/>
                <w:lang w:eastAsia="zh-CN"/>
              </w:rPr>
              <w:t>其他异物</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highlight w:val="yellow"/>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eastAsia="zh-CN"/>
              </w:rPr>
              <w:t>无植物根系</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highlight w:val="yellow"/>
                <w:lang w:val="en-US" w:eastAsia="zh-CN" w:bidi="ar-SA"/>
              </w:rPr>
            </w:pPr>
            <w:r>
              <w:rPr>
                <w:rFonts w:hint="default" w:ascii="Times New Roman" w:hAnsi="Times New Roman" w:eastAsia="宋体" w:cs="Times New Roman"/>
                <w:b w:val="0"/>
                <w:bCs/>
                <w:color w:val="auto"/>
                <w:sz w:val="21"/>
                <w:szCs w:val="21"/>
                <w:highlight w:val="none"/>
                <w:vertAlign w:val="baseline"/>
                <w:lang w:eastAsia="zh-CN"/>
              </w:rPr>
              <w:t>无植物根系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none"/>
                <w:vertAlign w:val="baseline"/>
                <w:lang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阳离子交换量（cmol</w:t>
            </w:r>
            <w:r>
              <w:rPr>
                <w:rFonts w:hint="default" w:ascii="Times New Roman" w:hAnsi="Times New Roman" w:cs="Times New Roman" w:eastAsiaTheme="minorEastAsia"/>
                <w:b w:val="0"/>
                <w:bCs w:val="0"/>
                <w:color w:val="auto"/>
                <w:sz w:val="21"/>
                <w:szCs w:val="21"/>
                <w:highlight w:val="none"/>
                <w:vertAlign w:val="superscript"/>
                <w:lang w:val="en-US" w:eastAsia="zh-CN"/>
              </w:rPr>
              <w:t>+</w:t>
            </w:r>
            <w:r>
              <w:rPr>
                <w:rFonts w:hint="default" w:ascii="Times New Roman" w:hAnsi="Times New Roman" w:cs="Times New Roman" w:eastAsiaTheme="minorEastAsia"/>
                <w:b w:val="0"/>
                <w:bCs w:val="0"/>
                <w:color w:val="auto"/>
                <w:sz w:val="21"/>
                <w:szCs w:val="21"/>
                <w:highlight w:val="none"/>
                <w:vertAlign w:val="baseline"/>
                <w:lang w:val="en-US" w:eastAsia="zh-CN"/>
              </w:rPr>
              <w:t>/kg）</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highlight w:val="yellow"/>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19.0</w:t>
            </w:r>
          </w:p>
        </w:tc>
        <w:tc>
          <w:tcPr>
            <w:tcW w:w="18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highlight w:val="yellow"/>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none"/>
                <w:vertAlign w:val="baseline"/>
                <w:lang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氧化还原电位（mv）</w:t>
            </w:r>
          </w:p>
        </w:tc>
        <w:tc>
          <w:tcPr>
            <w:tcW w:w="184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highlight w:val="yellow"/>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315</w:t>
            </w:r>
          </w:p>
        </w:tc>
        <w:tc>
          <w:tcPr>
            <w:tcW w:w="184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highlight w:val="yellow"/>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none"/>
                <w:vertAlign w:val="baseline"/>
                <w:lang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渗透率（cm/s）</w:t>
            </w:r>
          </w:p>
        </w:tc>
        <w:tc>
          <w:tcPr>
            <w:tcW w:w="184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highlight w:val="yellow"/>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1.04×10</w:t>
            </w:r>
            <w:r>
              <w:rPr>
                <w:rFonts w:hint="default" w:ascii="Times New Roman" w:hAnsi="Times New Roman" w:eastAsia="宋体" w:cs="Times New Roman"/>
                <w:b w:val="0"/>
                <w:bCs/>
                <w:color w:val="auto"/>
                <w:sz w:val="21"/>
                <w:szCs w:val="21"/>
                <w:highlight w:val="none"/>
                <w:vertAlign w:val="superscript"/>
                <w:lang w:val="en-US" w:eastAsia="zh-CN"/>
              </w:rPr>
              <w:t>-3</w:t>
            </w:r>
          </w:p>
        </w:tc>
        <w:tc>
          <w:tcPr>
            <w:tcW w:w="184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highlight w:val="yellow"/>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1.02×10</w:t>
            </w:r>
            <w:r>
              <w:rPr>
                <w:rFonts w:hint="default" w:ascii="Times New Roman" w:hAnsi="Times New Roman" w:eastAsia="宋体" w:cs="Times New Roman"/>
                <w:b w:val="0"/>
                <w:bCs/>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none"/>
                <w:vertAlign w:val="baseline"/>
                <w:lang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土壤容重（g/cm</w:t>
            </w:r>
            <w:r>
              <w:rPr>
                <w:rFonts w:hint="default" w:ascii="Times New Roman" w:hAnsi="Times New Roman" w:cs="Times New Roman" w:eastAsiaTheme="minorEastAsia"/>
                <w:b w:val="0"/>
                <w:bCs w:val="0"/>
                <w:color w:val="auto"/>
                <w:sz w:val="21"/>
                <w:szCs w:val="21"/>
                <w:highlight w:val="none"/>
                <w:vertAlign w:val="superscript"/>
                <w:lang w:val="en-US" w:eastAsia="zh-CN"/>
              </w:rPr>
              <w:t>3</w:t>
            </w:r>
            <w:r>
              <w:rPr>
                <w:rFonts w:hint="default" w:ascii="Times New Roman" w:hAnsi="Times New Roman" w:cs="Times New Roman" w:eastAsiaTheme="minorEastAsia"/>
                <w:b w:val="0"/>
                <w:bCs w:val="0"/>
                <w:color w:val="auto"/>
                <w:sz w:val="21"/>
                <w:szCs w:val="21"/>
                <w:highlight w:val="none"/>
                <w:vertAlign w:val="baseline"/>
                <w:lang w:val="en-US" w:eastAsia="zh-CN"/>
              </w:rPr>
              <w:t>）</w:t>
            </w:r>
          </w:p>
        </w:tc>
        <w:tc>
          <w:tcPr>
            <w:tcW w:w="184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highlight w:val="yellow"/>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1.26</w:t>
            </w:r>
          </w:p>
        </w:tc>
        <w:tc>
          <w:tcPr>
            <w:tcW w:w="184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highlight w:val="yellow"/>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sz w:val="21"/>
                <w:szCs w:val="21"/>
                <w:highlight w:val="none"/>
                <w:vertAlign w:val="baseline"/>
                <w:lang w:eastAsia="zh-CN"/>
              </w:rPr>
            </w:pPr>
            <w:r>
              <w:rPr>
                <w:rFonts w:hint="default" w:ascii="Times New Roman" w:hAnsi="Times New Roman" w:cs="Times New Roman" w:eastAsiaTheme="minorEastAsia"/>
                <w:b w:val="0"/>
                <w:bCs w:val="0"/>
                <w:color w:val="auto"/>
                <w:sz w:val="21"/>
                <w:szCs w:val="21"/>
                <w:highlight w:val="none"/>
                <w:vertAlign w:val="baseline"/>
                <w:lang w:val="en-US" w:eastAsia="zh-CN"/>
              </w:rPr>
              <w:t>孔隙率（%）</w:t>
            </w:r>
          </w:p>
        </w:tc>
        <w:tc>
          <w:tcPr>
            <w:tcW w:w="184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highlight w:val="yellow"/>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47</w:t>
            </w:r>
          </w:p>
        </w:tc>
        <w:tc>
          <w:tcPr>
            <w:tcW w:w="184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highlight w:val="yellow"/>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57</w:t>
            </w:r>
          </w:p>
        </w:tc>
      </w:tr>
    </w:tbl>
    <w:p>
      <w:pPr>
        <w:keepNext w:val="0"/>
        <w:keepLines w:val="0"/>
        <w:pageBreakBefore w:val="0"/>
        <w:widowControl w:val="0"/>
        <w:kinsoku/>
        <w:wordWrap/>
        <w:overflowPunct/>
        <w:topLinePunct w:val="0"/>
        <w:autoSpaceDE/>
        <w:autoSpaceDN/>
        <w:bidi w:val="0"/>
        <w:adjustRightInd w:val="0"/>
        <w:snapToGrid w:val="0"/>
        <w:spacing w:before="164" w:beforeLines="50"/>
        <w:textAlignment w:val="auto"/>
        <w:rPr>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rFonts w:hint="eastAsia"/>
          <w:color w:val="auto"/>
        </w:rPr>
        <w:t>监测结果评价</w:t>
      </w:r>
    </w:p>
    <w:p>
      <w:pPr>
        <w:ind w:firstLine="480"/>
        <w:rPr>
          <w:color w:val="auto"/>
        </w:rPr>
      </w:pPr>
      <w:r>
        <w:rPr>
          <w:color w:val="auto"/>
        </w:rPr>
        <w:t>由</w:t>
      </w:r>
      <w:r>
        <w:rPr>
          <w:rFonts w:hint="eastAsia"/>
          <w:color w:val="auto"/>
          <w:lang w:eastAsia="zh-CN"/>
        </w:rPr>
        <w:t>数据分析</w:t>
      </w:r>
      <w:r>
        <w:rPr>
          <w:color w:val="auto"/>
        </w:rPr>
        <w:t>可知，</w:t>
      </w:r>
      <w:r>
        <w:rPr>
          <w:rFonts w:hint="eastAsia"/>
          <w:color w:val="auto"/>
        </w:rPr>
        <w:t>各监测点各项监测因子均满足《土壤环境质量-农用地土壤污染风险管控标准》（GB15618 -2018）相应标准要求</w:t>
      </w:r>
      <w:r>
        <w:rPr>
          <w:rFonts w:hint="eastAsia"/>
          <w:color w:val="auto"/>
          <w:lang w:eastAsia="zh-CN"/>
        </w:rPr>
        <w:t>，底质</w:t>
      </w:r>
      <w:r>
        <w:rPr>
          <w:rFonts w:hint="eastAsia"/>
          <w:color w:val="auto"/>
        </w:rPr>
        <w:t>污染风险较低</w:t>
      </w:r>
      <w:r>
        <w:rPr>
          <w:rFonts w:hint="eastAsia"/>
          <w:color w:val="auto"/>
          <w:lang w:eastAsia="zh-CN"/>
        </w:rPr>
        <w:t>、重金属含量较低</w:t>
      </w:r>
      <w:r>
        <w:rPr>
          <w:rFonts w:hint="eastAsia"/>
          <w:color w:val="auto"/>
        </w:rPr>
        <w:t>。</w:t>
      </w:r>
    </w:p>
    <w:p>
      <w:pPr>
        <w:pStyle w:val="6"/>
        <w:rPr>
          <w:color w:val="auto"/>
          <w:sz w:val="24"/>
          <w:szCs w:val="24"/>
          <w:highlight w:val="none"/>
        </w:rPr>
      </w:pPr>
      <w:bookmarkStart w:id="432" w:name="_Toc21191"/>
      <w:bookmarkStart w:id="433" w:name="_Toc12714"/>
      <w:bookmarkStart w:id="434" w:name="_Toc470785874"/>
      <w:bookmarkStart w:id="435" w:name="_Toc313968679"/>
      <w:bookmarkStart w:id="436" w:name="_Toc313959318"/>
      <w:bookmarkStart w:id="437" w:name="_Toc312408571"/>
      <w:bookmarkStart w:id="438" w:name="_Toc420336053"/>
      <w:bookmarkStart w:id="439" w:name="_Toc470785875"/>
      <w:r>
        <w:rPr>
          <w:color w:val="auto"/>
          <w:sz w:val="24"/>
          <w:szCs w:val="24"/>
          <w:highlight w:val="none"/>
        </w:rPr>
        <w:t>4.3.</w:t>
      </w:r>
      <w:r>
        <w:rPr>
          <w:rFonts w:hint="eastAsia"/>
          <w:color w:val="auto"/>
          <w:sz w:val="24"/>
          <w:szCs w:val="24"/>
          <w:highlight w:val="none"/>
          <w:lang w:val="en-US" w:eastAsia="zh-CN"/>
        </w:rPr>
        <w:t>7</w:t>
      </w:r>
      <w:r>
        <w:rPr>
          <w:color w:val="auto"/>
          <w:sz w:val="24"/>
          <w:szCs w:val="24"/>
          <w:highlight w:val="none"/>
        </w:rPr>
        <w:t xml:space="preserve"> 生态环境质量现状评价</w:t>
      </w:r>
      <w:bookmarkEnd w:id="432"/>
      <w:bookmarkEnd w:id="433"/>
      <w:bookmarkEnd w:id="434"/>
    </w:p>
    <w:p>
      <w:pPr>
        <w:pStyle w:val="7"/>
        <w:spacing w:line="360" w:lineRule="auto"/>
        <w:ind w:firstLine="0" w:firstLineChars="0"/>
        <w:jc w:val="both"/>
        <w:rPr>
          <w:rFonts w:hint="default" w:ascii="Times New Roman" w:hAnsi="Times New Roman" w:eastAsia="宋体" w:cs="Times New Roman"/>
          <w:color w:val="auto"/>
          <w:sz w:val="24"/>
          <w:szCs w:val="24"/>
          <w:highlight w:val="none"/>
          <w:lang w:val="en-US" w:eastAsia="zh-CN"/>
        </w:rPr>
      </w:pPr>
      <w:bookmarkStart w:id="440" w:name="_Toc16003"/>
      <w:r>
        <w:rPr>
          <w:rFonts w:hint="default" w:ascii="Times New Roman" w:hAnsi="Times New Roman" w:eastAsia="宋体" w:cs="Times New Roman"/>
          <w:color w:val="auto"/>
          <w:sz w:val="24"/>
          <w:szCs w:val="24"/>
          <w:highlight w:val="none"/>
          <w:lang w:val="en-US" w:eastAsia="zh-CN"/>
        </w:rPr>
        <w:t>4.3.</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陆生生态现状</w:t>
      </w:r>
    </w:p>
    <w:p>
      <w:pPr>
        <w:pStyle w:val="98"/>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1</w:t>
      </w: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调查范围</w:t>
      </w:r>
    </w:p>
    <w:p>
      <w:pPr>
        <w:pStyle w:val="98"/>
        <w:pageBreakBefore w:val="0"/>
        <w:kinsoku/>
        <w:wordWrap/>
        <w:overflowPunct/>
        <w:topLinePunct w:val="0"/>
        <w:autoSpaceDE/>
        <w:autoSpaceDN/>
        <w:bidi w:val="0"/>
        <w:spacing w:line="360" w:lineRule="auto"/>
        <w:ind w:firstLine="480" w:firstLineChars="200"/>
        <w:textAlignment w:val="auto"/>
        <w:rPr>
          <w:rFonts w:hint="eastAsia" w:cs="Times New Roman"/>
          <w:color w:val="auto"/>
          <w:sz w:val="24"/>
          <w:highlight w:val="none"/>
          <w:lang w:eastAsia="zh-CN"/>
        </w:rPr>
      </w:pPr>
      <w:r>
        <w:rPr>
          <w:rFonts w:hint="default" w:ascii="Times New Roman" w:hAnsi="Times New Roman" w:cs="Times New Roman"/>
          <w:color w:val="auto"/>
          <w:sz w:val="24"/>
          <w:highlight w:val="none"/>
        </w:rPr>
        <w:t>陆生范围为河道两侧</w:t>
      </w:r>
      <w:r>
        <w:rPr>
          <w:rFonts w:hint="eastAsia" w:cs="Times New Roman"/>
          <w:color w:val="auto"/>
          <w:sz w:val="24"/>
          <w:highlight w:val="none"/>
          <w:lang w:eastAsia="zh-CN"/>
        </w:rPr>
        <w:t>岸坡至</w:t>
      </w:r>
      <w:r>
        <w:rPr>
          <w:rFonts w:hint="default" w:ascii="Times New Roman" w:hAnsi="Times New Roman" w:cs="Times New Roman"/>
          <w:color w:val="auto"/>
          <w:sz w:val="24"/>
          <w:highlight w:val="none"/>
        </w:rPr>
        <w:t>最近山脊线范围内，</w:t>
      </w:r>
      <w:r>
        <w:rPr>
          <w:rFonts w:hint="eastAsia" w:cs="Times New Roman"/>
          <w:color w:val="auto"/>
          <w:sz w:val="24"/>
          <w:highlight w:val="none"/>
          <w:lang w:eastAsia="zh-CN"/>
        </w:rPr>
        <w:t>总面积：</w:t>
      </w:r>
      <w:r>
        <w:rPr>
          <w:rFonts w:hint="eastAsia" w:cs="Times New Roman"/>
          <w:color w:val="auto"/>
          <w:sz w:val="24"/>
          <w:highlight w:val="none"/>
          <w:lang w:val="en-US" w:eastAsia="zh-CN"/>
        </w:rPr>
        <w:t>23.55h</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p>
    <w:p>
      <w:pPr>
        <w:pStyle w:val="98"/>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2</w:t>
      </w: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调查时间</w:t>
      </w:r>
    </w:p>
    <w:p>
      <w:pPr>
        <w:pStyle w:val="98"/>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本次生态现状调查采取收集资料、实地调查等方法，2022年</w:t>
      </w:r>
      <w:r>
        <w:rPr>
          <w:rFonts w:hint="eastAsia" w:cs="Times New Roman"/>
          <w:color w:val="auto"/>
          <w:sz w:val="24"/>
          <w:highlight w:val="none"/>
          <w:lang w:val="en-US" w:eastAsia="zh-CN"/>
        </w:rPr>
        <w:t>9</w:t>
      </w:r>
      <w:r>
        <w:rPr>
          <w:rFonts w:hint="eastAsia"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中旬</w:t>
      </w:r>
      <w:r>
        <w:rPr>
          <w:rFonts w:hint="eastAsia" w:ascii="Times New Roman" w:hAnsi="Times New Roman" w:cs="Times New Roman"/>
          <w:color w:val="auto"/>
          <w:sz w:val="24"/>
          <w:highlight w:val="none"/>
          <w:lang w:val="en-US" w:eastAsia="zh-CN"/>
        </w:rPr>
        <w:t>进行了实地调查。调查中根据调查区实际情况，在各主要植被区进行了样方样线实地调查。对气候和土壤等植被因子，通过实地调查和查阅文献相结合的方法进行核对性调查。根据项目动植物类型及地形地貌特征，合理均匀布设植物样方、动物样线，结合资料记载，整理制表。</w:t>
      </w:r>
    </w:p>
    <w:p>
      <w:pPr>
        <w:pStyle w:val="98"/>
        <w:pageBreakBefore w:val="0"/>
        <w:kinsoku/>
        <w:wordWrap/>
        <w:overflowPunct/>
        <w:topLinePunct w:val="0"/>
        <w:autoSpaceDE/>
        <w:autoSpaceDN/>
        <w:bidi w:val="0"/>
        <w:spacing w:line="360" w:lineRule="auto"/>
        <w:ind w:firstLine="482" w:firstLineChars="200"/>
        <w:textAlignment w:val="auto"/>
        <w:rPr>
          <w:rFonts w:hint="eastAsia" w:ascii="Times New Roman" w:hAnsi="Times New Roman" w:cs="Times New Roman"/>
          <w:b/>
          <w:bCs/>
          <w:color w:val="auto"/>
          <w:sz w:val="24"/>
          <w:highlight w:val="none"/>
          <w:lang w:eastAsia="zh-CN"/>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3</w:t>
      </w:r>
      <w:r>
        <w:rPr>
          <w:rFonts w:hint="eastAsia" w:ascii="Times New Roman" w:hAnsi="Times New Roman" w:cs="Times New Roman"/>
          <w:b/>
          <w:bCs/>
          <w:color w:val="auto"/>
          <w:sz w:val="24"/>
          <w:highlight w:val="none"/>
          <w:lang w:eastAsia="zh-CN"/>
        </w:rPr>
        <w:t>）调查方法</w:t>
      </w:r>
    </w:p>
    <w:p>
      <w:pPr>
        <w:spacing w:line="360" w:lineRule="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根据《环境影响评价技术导则 生态影响》（HJ19-2022）的要求，结合项目实际情况，本次调查主要通过基础资料收集、调查走访、现场实地踏勘等方式，进行评价范围内的生态环境现状的调查工作。</w:t>
      </w:r>
    </w:p>
    <w:p>
      <w:pPr>
        <w:pStyle w:val="98"/>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资料收集</w:t>
      </w:r>
    </w:p>
    <w:p>
      <w:pPr>
        <w:pStyle w:val="98"/>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收集</w:t>
      </w:r>
      <w:r>
        <w:rPr>
          <w:rFonts w:hint="eastAsia" w:ascii="Times New Roman" w:hAnsi="Times New Roman" w:cs="Times New Roman"/>
          <w:color w:val="auto"/>
          <w:sz w:val="24"/>
          <w:highlight w:val="none"/>
          <w:lang w:val="en-US" w:eastAsia="zh-CN"/>
        </w:rPr>
        <w:t>评价范围内</w:t>
      </w:r>
      <w:r>
        <w:rPr>
          <w:rFonts w:hint="eastAsia" w:ascii="Times New Roman" w:hAnsi="Times New Roman" w:cs="Times New Roman"/>
          <w:color w:val="auto"/>
          <w:sz w:val="24"/>
          <w:highlight w:val="none"/>
          <w:lang w:eastAsia="zh-CN"/>
        </w:rPr>
        <w:t>非生物因子特征（气候、土壤、地形地貌、水文地质等）、动植物类型及分布、植被类型及分布、土壤侵蚀、生态功能区划、土地利用等资料，分析各生态要素现状情况，结合现场调查，得出</w:t>
      </w:r>
      <w:r>
        <w:rPr>
          <w:rFonts w:hint="eastAsia" w:ascii="Times New Roman" w:hAnsi="Times New Roman" w:cs="Times New Roman"/>
          <w:color w:val="auto"/>
          <w:sz w:val="24"/>
          <w:highlight w:val="none"/>
          <w:lang w:val="en-US" w:eastAsia="zh-CN"/>
        </w:rPr>
        <w:t>评价范围内</w:t>
      </w:r>
      <w:r>
        <w:rPr>
          <w:rFonts w:hint="eastAsia" w:ascii="Times New Roman" w:hAnsi="Times New Roman" w:cs="Times New Roman"/>
          <w:color w:val="auto"/>
          <w:sz w:val="24"/>
          <w:highlight w:val="none"/>
          <w:lang w:eastAsia="zh-CN"/>
        </w:rPr>
        <w:t>物种种群分布、植被类型分布、土地利用及水土流失等现状情况。</w:t>
      </w:r>
    </w:p>
    <w:p>
      <w:pPr>
        <w:pStyle w:val="98"/>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2）现场调查</w:t>
      </w:r>
    </w:p>
    <w:p>
      <w:pPr>
        <w:pStyle w:val="98"/>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确定调査区域及路线以后，进行实地踏勘，记录典型植被、物种特征，并对难以确定的物种进行拍照以便在室内进行进一步判读。</w:t>
      </w:r>
    </w:p>
    <w:p>
      <w:pPr>
        <w:pStyle w:val="98"/>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现场勘查遵循整体与重点相结合的调查原则，在综合考虑主导生态因子结构与功能的完整性的同时，突出重点区域和关键时段的调查，并通过对影响区域的实际踏勘，核实收集资料及遥感解译的准确性，以获取实际资料和数据。</w:t>
      </w:r>
    </w:p>
    <w:p>
      <w:pPr>
        <w:pStyle w:val="98"/>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生态敏感区逐一调查核实其类型、等级、分布、保护对象、功能区划、保护要求等。生态环境现状调查依据工程沿线生态系统类型，典型生态系统选取代表性样地进行实地踏勘。</w:t>
      </w:r>
    </w:p>
    <w:p>
      <w:pPr>
        <w:pStyle w:val="98"/>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①陆生植被调查</w:t>
      </w:r>
    </w:p>
    <w:p>
      <w:pPr>
        <w:pStyle w:val="98"/>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在对评价区陆生植物资源历年资料检索分析的基础上，确定评价区的植物种类、植被类型及珍稀濒危植物的生存状况等。</w:t>
      </w:r>
    </w:p>
    <w:p>
      <w:pPr>
        <w:pStyle w:val="98"/>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②</w:t>
      </w:r>
      <w:r>
        <w:rPr>
          <w:rFonts w:hint="eastAsia" w:ascii="Times New Roman" w:hAnsi="Times New Roman" w:cs="Times New Roman"/>
          <w:color w:val="auto"/>
          <w:sz w:val="24"/>
          <w:highlight w:val="none"/>
          <w:lang w:val="en-US" w:eastAsia="zh-CN"/>
        </w:rPr>
        <w:t>陆生动物调查</w:t>
      </w:r>
    </w:p>
    <w:p>
      <w:pPr>
        <w:pStyle w:val="98"/>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次陆生动物调查主要通过资料收集调查、野外实地进行调查，结合访问调查及市场调查确定种类及数量。基于动物的生物学和生态学特性，调查范围涵盖评价区域内的主要陆生动物种类，并适当扩展，确保涵盖评价区域内主要陆生动物种类。</w:t>
      </w:r>
    </w:p>
    <w:p>
      <w:pPr>
        <w:pStyle w:val="98"/>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收集整理项目涉及区域现有生物多样性资料，包括两市统计年鉴以及生态环境、水利、林草、住建、自然资源、农业农村等部门提供的相关资料。在此基础上，查阅并参考《中国两栖动物图鉴》(费梁，1999年)、《中国两栖纲和爬行纲动物校正名录》(赵尔宓，张学文等，2000年)、《中国鸟类分类与分布名录(第2版)》(郑光美，2011年)、《中国爬行动物图鉴》(中国野生动物保护协会，2002年)、《中国鸟类图鉴》(钱燕文，1995年)、《中国脊椎动物大全》(刘明玉，解玉浩篓，2000年)、《中国野生哺乳动物》（盛和林，大泰司纪之，1999年）以及关于本地区脊椎动物类的相关文献资料《河北动物志》（吴跃峰，武明录，曹玉萍等，2009年）笔文献及科研论文。同时，在重点施工区域（如施工作业带等）、敏感区穿越段实行重点调查。</w:t>
      </w:r>
    </w:p>
    <w:p>
      <w:pPr>
        <w:pStyle w:val="98"/>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从上述调查得到的种类之中，对相关重点保护物种进行进一步调查与核实，确定其种类。对有疑问动物、重点保护动物尽量采集凭证标本并拍摄照片，最终对评价区的动物资源现状得出综合结论。</w:t>
      </w:r>
    </w:p>
    <w:p>
      <w:pPr>
        <w:pStyle w:val="8"/>
        <w:bidi w:val="0"/>
        <w:rPr>
          <w:rFonts w:hint="eastAsia"/>
          <w:color w:val="auto"/>
          <w:highlight w:val="none"/>
          <w:lang w:val="en-US" w:eastAsia="zh-CN"/>
        </w:rPr>
      </w:pPr>
      <w:r>
        <w:rPr>
          <w:rFonts w:hint="eastAsia"/>
          <w:color w:val="auto"/>
          <w:highlight w:val="none"/>
          <w:lang w:val="en-US" w:eastAsia="zh-CN"/>
        </w:rPr>
        <w:t>4.3.7.1.1土地利用现状</w:t>
      </w:r>
    </w:p>
    <w:p>
      <w:pPr>
        <w:spacing w:line="360" w:lineRule="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评价范围土地利用类型以</w:t>
      </w:r>
      <w:r>
        <w:rPr>
          <w:rFonts w:hint="eastAsia" w:cs="Times New Roman"/>
          <w:color w:val="auto"/>
          <w:sz w:val="24"/>
          <w:szCs w:val="24"/>
          <w:highlight w:val="none"/>
          <w:lang w:val="en-US" w:eastAsia="zh-CN"/>
        </w:rPr>
        <w:t>旱地、草地</w:t>
      </w:r>
      <w:r>
        <w:rPr>
          <w:rFonts w:hint="eastAsia" w:ascii="Times New Roman" w:hAnsi="Times New Roman" w:eastAsia="宋体" w:cs="Times New Roman"/>
          <w:color w:val="auto"/>
          <w:sz w:val="24"/>
          <w:szCs w:val="24"/>
          <w:highlight w:val="none"/>
          <w:lang w:val="en-US" w:eastAsia="zh-CN"/>
        </w:rPr>
        <w:t>为主，其次为</w:t>
      </w:r>
      <w:r>
        <w:rPr>
          <w:rFonts w:hint="eastAsia" w:cs="Times New Roman"/>
          <w:color w:val="auto"/>
          <w:sz w:val="24"/>
          <w:szCs w:val="24"/>
          <w:highlight w:val="none"/>
          <w:lang w:val="en-US" w:eastAsia="zh-CN"/>
        </w:rPr>
        <w:t>乔木</w:t>
      </w:r>
      <w:r>
        <w:rPr>
          <w:rFonts w:hint="eastAsia" w:ascii="Times New Roman" w:hAnsi="Times New Roman" w:eastAsia="宋体" w:cs="Times New Roman"/>
          <w:color w:val="auto"/>
          <w:sz w:val="24"/>
          <w:szCs w:val="24"/>
          <w:highlight w:val="none"/>
          <w:lang w:val="en-US" w:eastAsia="zh-CN"/>
        </w:rPr>
        <w:t>和</w:t>
      </w:r>
      <w:r>
        <w:rPr>
          <w:rFonts w:hint="eastAsia" w:cs="Times New Roman"/>
          <w:color w:val="auto"/>
          <w:sz w:val="24"/>
          <w:szCs w:val="24"/>
          <w:highlight w:val="none"/>
          <w:lang w:val="en-US" w:eastAsia="zh-CN"/>
        </w:rPr>
        <w:t>农村宅基地</w:t>
      </w:r>
      <w:r>
        <w:rPr>
          <w:rFonts w:hint="eastAsia" w:ascii="Times New Roman" w:hAnsi="Times New Roman" w:eastAsia="宋体" w:cs="Times New Roman"/>
          <w:color w:val="auto"/>
          <w:sz w:val="24"/>
          <w:szCs w:val="24"/>
          <w:highlight w:val="none"/>
          <w:lang w:val="en-US" w:eastAsia="zh-CN"/>
        </w:rPr>
        <w:t>等分布较少。本次评价范围内土地利用现状见</w:t>
      </w:r>
      <w:r>
        <w:rPr>
          <w:rFonts w:hint="eastAsia" w:cs="Times New Roman"/>
          <w:color w:val="auto"/>
          <w:sz w:val="24"/>
          <w:szCs w:val="24"/>
          <w:highlight w:val="none"/>
          <w:lang w:val="en-US" w:eastAsia="zh-CN"/>
        </w:rPr>
        <w:t>下图</w:t>
      </w:r>
      <w:r>
        <w:rPr>
          <w:rFonts w:hint="eastAsia" w:ascii="Times New Roman" w:hAnsi="Times New Roman" w:eastAsia="宋体" w:cs="Times New Roman"/>
          <w:color w:val="auto"/>
          <w:sz w:val="24"/>
          <w:szCs w:val="24"/>
          <w:highlight w:val="none"/>
          <w:lang w:val="en-US" w:eastAsia="zh-CN"/>
        </w:rPr>
        <w:t>：</w:t>
      </w:r>
    </w:p>
    <w:p>
      <w:pPr>
        <w:pStyle w:val="38"/>
        <w:keepNext w:val="0"/>
        <w:keepLines w:val="0"/>
        <w:pageBreakBefore w:val="0"/>
        <w:widowControl w:val="0"/>
        <w:kinsoku/>
        <w:wordWrap/>
        <w:overflowPunct/>
        <w:topLinePunct w:val="0"/>
        <w:autoSpaceDE/>
        <w:autoSpaceDN/>
        <w:bidi w:val="0"/>
        <w:adjustRightInd w:val="0"/>
        <w:snapToGrid w:val="0"/>
        <w:spacing w:before="164" w:beforeLines="50" w:after="0"/>
        <w:ind w:left="0" w:leftChars="0" w:firstLine="0" w:firstLineChars="0"/>
        <w:jc w:val="center"/>
        <w:textAlignment w:val="auto"/>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390515" cy="3470910"/>
            <wp:effectExtent l="0" t="0" r="635" b="15240"/>
            <wp:docPr id="3" name="图片 3" descr="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图"/>
                    <pic:cNvPicPr>
                      <a:picLocks noChangeAspect="1"/>
                    </pic:cNvPicPr>
                  </pic:nvPicPr>
                  <pic:blipFill>
                    <a:blip r:embed="rId43"/>
                    <a:srcRect t="2582" b="6363"/>
                    <a:stretch>
                      <a:fillRect/>
                    </a:stretch>
                  </pic:blipFill>
                  <pic:spPr>
                    <a:xfrm>
                      <a:off x="0" y="0"/>
                      <a:ext cx="5390515" cy="3470910"/>
                    </a:xfrm>
                    <a:prstGeom prst="rect">
                      <a:avLst/>
                    </a:prstGeom>
                  </pic:spPr>
                </pic:pic>
              </a:graphicData>
            </a:graphic>
          </wp:inline>
        </w:drawing>
      </w:r>
    </w:p>
    <w:p>
      <w:pPr>
        <w:pStyle w:val="126"/>
        <w:keepNext w:val="0"/>
        <w:keepLines w:val="0"/>
        <w:pageBreakBefore w:val="0"/>
        <w:numPr>
          <w:ilvl w:val="0"/>
          <w:numId w:val="0"/>
        </w:numPr>
        <w:tabs>
          <w:tab w:val="left" w:pos="420"/>
        </w:tabs>
        <w:kinsoku/>
        <w:wordWrap/>
        <w:overflowPunct/>
        <w:topLinePunct w:val="0"/>
        <w:autoSpaceDE/>
        <w:autoSpaceDN/>
        <w:bidi w:val="0"/>
        <w:spacing w:line="360" w:lineRule="auto"/>
        <w:ind w:leftChars="0"/>
        <w:jc w:val="center"/>
        <w:textAlignment w:val="auto"/>
        <w:rPr>
          <w:b/>
          <w:bCs/>
          <w:color w:val="auto"/>
          <w:sz w:val="21"/>
          <w:szCs w:val="21"/>
          <w:highlight w:val="none"/>
        </w:rPr>
      </w:pPr>
      <w:r>
        <w:rPr>
          <w:rFonts w:hint="default" w:ascii="Times New Roman" w:hAnsi="Times New Roman" w:cs="Times New Roman"/>
          <w:b/>
          <w:bCs/>
          <w:color w:val="auto"/>
          <w:sz w:val="21"/>
          <w:szCs w:val="21"/>
          <w:highlight w:val="none"/>
          <w:lang w:val="en-US" w:eastAsia="zh-CN"/>
        </w:rPr>
        <w:t>图4.3-</w:t>
      </w:r>
      <w:r>
        <w:rPr>
          <w:rFonts w:hint="eastAsia"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lang w:val="en-US" w:eastAsia="zh-CN"/>
        </w:rPr>
        <w:t xml:space="preserve">  </w:t>
      </w:r>
      <w:r>
        <w:rPr>
          <w:rFonts w:hint="eastAsia"/>
          <w:b/>
          <w:bCs/>
          <w:color w:val="auto"/>
          <w:sz w:val="21"/>
          <w:szCs w:val="21"/>
          <w:highlight w:val="none"/>
        </w:rPr>
        <w:t>生态评价范围</w:t>
      </w:r>
      <w:r>
        <w:rPr>
          <w:b/>
          <w:bCs/>
          <w:color w:val="auto"/>
          <w:sz w:val="21"/>
          <w:szCs w:val="21"/>
          <w:highlight w:val="none"/>
        </w:rPr>
        <w:t>土地利用现状</w:t>
      </w:r>
      <w:r>
        <w:rPr>
          <w:rFonts w:hint="eastAsia"/>
          <w:b/>
          <w:bCs/>
          <w:color w:val="auto"/>
          <w:sz w:val="21"/>
          <w:szCs w:val="21"/>
          <w:highlight w:val="none"/>
        </w:rPr>
        <w:t>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highlight w:val="none"/>
        </w:rPr>
      </w:pPr>
      <w:r>
        <w:rPr>
          <w:rFonts w:hint="default" w:ascii="Times New Roman" w:hAnsi="Times New Roman" w:cs="Times New Roman"/>
          <w:color w:val="auto"/>
          <w:sz w:val="24"/>
          <w:szCs w:val="24"/>
          <w:highlight w:val="none"/>
          <w:lang w:val="en-US" w:eastAsia="zh-CN"/>
        </w:rPr>
        <w:t>根据现场踏勘来看，项目工程位于河道</w:t>
      </w:r>
      <w:r>
        <w:rPr>
          <w:rFonts w:hint="eastAsia" w:cs="Times New Roman"/>
          <w:color w:val="auto"/>
          <w:sz w:val="24"/>
          <w:szCs w:val="24"/>
          <w:highlight w:val="none"/>
          <w:lang w:val="en-US" w:eastAsia="zh-CN"/>
        </w:rPr>
        <w:t>内及沿岸两侧</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项目占地范围内</w:t>
      </w:r>
      <w:r>
        <w:rPr>
          <w:rFonts w:hint="default" w:ascii="Times New Roman" w:hAnsi="Times New Roman" w:cs="Times New Roman"/>
          <w:color w:val="auto"/>
          <w:sz w:val="24"/>
          <w:szCs w:val="24"/>
          <w:highlight w:val="none"/>
          <w:lang w:val="en-US" w:eastAsia="zh-CN"/>
        </w:rPr>
        <w:t>土地利用类型以</w:t>
      </w:r>
      <w:r>
        <w:rPr>
          <w:rFonts w:hint="eastAsia" w:cs="Times New Roman"/>
          <w:color w:val="auto"/>
          <w:sz w:val="24"/>
          <w:szCs w:val="24"/>
          <w:highlight w:val="none"/>
          <w:lang w:val="en-US" w:eastAsia="zh-CN"/>
        </w:rPr>
        <w:t>草地</w:t>
      </w:r>
      <w:r>
        <w:rPr>
          <w:rFonts w:hint="default" w:ascii="Times New Roman" w:hAnsi="Times New Roman" w:cs="Times New Roman"/>
          <w:color w:val="auto"/>
          <w:sz w:val="24"/>
          <w:szCs w:val="24"/>
          <w:highlight w:val="none"/>
          <w:lang w:val="en-US" w:eastAsia="zh-CN"/>
        </w:rPr>
        <w:t>为主，周边分布着</w:t>
      </w:r>
      <w:r>
        <w:rPr>
          <w:rFonts w:hint="eastAsia" w:cs="Times New Roman"/>
          <w:color w:val="auto"/>
          <w:sz w:val="24"/>
          <w:szCs w:val="24"/>
          <w:highlight w:val="none"/>
          <w:lang w:val="en-US" w:eastAsia="zh-CN"/>
        </w:rPr>
        <w:t>林地、旱地</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农村宅基地</w:t>
      </w:r>
      <w:r>
        <w:rPr>
          <w:rFonts w:hint="default" w:ascii="Times New Roman" w:hAnsi="Times New Roman" w:cs="Times New Roman"/>
          <w:color w:val="auto"/>
          <w:sz w:val="24"/>
          <w:szCs w:val="24"/>
          <w:highlight w:val="none"/>
          <w:lang w:val="en-US" w:eastAsia="zh-CN"/>
        </w:rPr>
        <w:t>等</w:t>
      </w:r>
      <w:r>
        <w:rPr>
          <w:rFonts w:hint="eastAsia" w:ascii="Times New Roman" w:hAnsi="Times New Roman" w:cs="Times New Roman"/>
          <w:color w:val="auto"/>
          <w:sz w:val="24"/>
          <w:szCs w:val="24"/>
          <w:highlight w:val="none"/>
          <w:lang w:val="en-US" w:eastAsia="zh-CN"/>
        </w:rPr>
        <w:t>，项目</w:t>
      </w:r>
      <w:r>
        <w:rPr>
          <w:color w:val="auto"/>
          <w:sz w:val="24"/>
          <w:szCs w:val="24"/>
          <w:highlight w:val="none"/>
        </w:rPr>
        <w:t>生态评价范围内</w:t>
      </w:r>
      <w:r>
        <w:rPr>
          <w:rFonts w:hint="default" w:ascii="Times New Roman" w:hAnsi="Times New Roman" w:cs="Times New Roman"/>
          <w:color w:val="auto"/>
          <w:sz w:val="24"/>
          <w:szCs w:val="24"/>
          <w:highlight w:val="none"/>
          <w:lang w:val="en-US" w:eastAsia="zh-CN"/>
        </w:rPr>
        <w:t>植被覆盖度</w:t>
      </w:r>
      <w:r>
        <w:rPr>
          <w:rFonts w:hint="eastAsia" w:cs="Times New Roman"/>
          <w:color w:val="auto"/>
          <w:sz w:val="24"/>
          <w:szCs w:val="24"/>
          <w:highlight w:val="none"/>
          <w:lang w:val="en-US" w:eastAsia="zh-CN"/>
        </w:rPr>
        <w:t>一般</w:t>
      </w:r>
      <w:r>
        <w:rPr>
          <w:rFonts w:hint="eastAsia"/>
          <w:color w:val="auto"/>
          <w:sz w:val="24"/>
          <w:szCs w:val="24"/>
          <w:highlight w:val="none"/>
        </w:rPr>
        <w:t>。</w:t>
      </w:r>
    </w:p>
    <w:p>
      <w:pPr>
        <w:pStyle w:val="8"/>
        <w:bidi w:val="0"/>
        <w:rPr>
          <w:rFonts w:hint="eastAsia"/>
          <w:color w:val="auto"/>
          <w:highlight w:val="none"/>
          <w:lang w:val="en-US" w:eastAsia="zh-CN"/>
        </w:rPr>
      </w:pPr>
      <w:r>
        <w:rPr>
          <w:rFonts w:hint="eastAsia"/>
          <w:color w:val="auto"/>
          <w:highlight w:val="none"/>
          <w:lang w:val="en-US" w:eastAsia="zh-CN"/>
        </w:rPr>
        <w:t>4.3.7.1.2植被现状</w:t>
      </w:r>
    </w:p>
    <w:p>
      <w:pPr>
        <w:pStyle w:val="98"/>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highlight w:val="none"/>
          <w:lang w:eastAsia="zh-CN"/>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1</w:t>
      </w:r>
      <w:r>
        <w:rPr>
          <w:rFonts w:hint="eastAsia" w:ascii="Times New Roman" w:hAnsi="Times New Roman" w:cs="Times New Roman"/>
          <w:b/>
          <w:bCs/>
          <w:color w:val="auto"/>
          <w:sz w:val="24"/>
          <w:highlight w:val="none"/>
          <w:lang w:eastAsia="zh-CN"/>
        </w:rPr>
        <w:t>）植物区系概况</w:t>
      </w:r>
    </w:p>
    <w:p>
      <w:pPr>
        <w:pStyle w:val="98"/>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auto"/>
          <w:sz w:val="24"/>
          <w:highlight w:val="none"/>
          <w:lang w:eastAsia="zh-CN"/>
        </w:rPr>
      </w:pPr>
      <w:r>
        <w:rPr>
          <w:rFonts w:hint="eastAsia" w:ascii="Times New Roman" w:hAnsi="Times New Roman" w:cs="Times New Roman"/>
          <w:b w:val="0"/>
          <w:bCs w:val="0"/>
          <w:color w:val="auto"/>
          <w:sz w:val="24"/>
          <w:highlight w:val="none"/>
          <w:lang w:eastAsia="zh-CN"/>
        </w:rPr>
        <w:t>根据《河北植被》，河北省地处温带与暖温带地区，地貌单元位于内蒙古高原与华北平原的过渡带，且处于欧亚大陆中纬度的东侧，属于温带大陆性季风气候，有四季分明的气候特点，植被区系的分布也有交替明显的特征。在全国植被区划中，冀北高原属温带草原区域中的温带草原地带：高原以下山地平原属暖温带落叶阔叶林区域中的暖温带落叶阔叶林地带。</w:t>
      </w:r>
    </w:p>
    <w:p>
      <w:pPr>
        <w:pStyle w:val="98"/>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auto"/>
          <w:sz w:val="24"/>
          <w:highlight w:val="none"/>
          <w:lang w:eastAsia="zh-CN"/>
        </w:rPr>
      </w:pPr>
      <w:r>
        <w:rPr>
          <w:rFonts w:hint="eastAsia" w:ascii="Times New Roman" w:hAnsi="Times New Roman" w:cs="Times New Roman"/>
          <w:b w:val="0"/>
          <w:bCs w:val="0"/>
          <w:color w:val="auto"/>
          <w:sz w:val="24"/>
          <w:highlight w:val="none"/>
          <w:lang w:eastAsia="zh-CN"/>
        </w:rPr>
        <w:t>本项目位于河北北部</w:t>
      </w:r>
      <w:r>
        <w:rPr>
          <w:rFonts w:hint="eastAsia" w:ascii="Times New Roman" w:hAnsi="Times New Roman" w:cs="Times New Roman"/>
          <w:b w:val="0"/>
          <w:bCs w:val="0"/>
          <w:color w:val="auto"/>
          <w:sz w:val="24"/>
          <w:highlight w:val="none"/>
          <w:lang w:val="en-US" w:eastAsia="zh-CN"/>
        </w:rPr>
        <w:t>承德市兴隆县</w:t>
      </w:r>
      <w:r>
        <w:rPr>
          <w:rFonts w:hint="eastAsia" w:ascii="Times New Roman" w:hAnsi="Times New Roman" w:cs="Times New Roman"/>
          <w:b w:val="0"/>
          <w:bCs w:val="0"/>
          <w:color w:val="auto"/>
          <w:sz w:val="24"/>
          <w:highlight w:val="none"/>
          <w:lang w:eastAsia="zh-CN"/>
        </w:rPr>
        <w:t>，对照《河北植被》中的植物区系图，属于暖温带落叶阔叶林区。</w:t>
      </w:r>
    </w:p>
    <w:p>
      <w:pPr>
        <w:pStyle w:val="98"/>
        <w:keepNext w:val="0"/>
        <w:keepLines w:val="0"/>
        <w:pageBreakBefore w:val="0"/>
        <w:widowControl/>
        <w:numPr>
          <w:ilvl w:val="0"/>
          <w:numId w:val="1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highlight w:val="none"/>
          <w:lang w:eastAsia="zh-CN"/>
        </w:rPr>
      </w:pPr>
      <w:r>
        <w:rPr>
          <w:rFonts w:hint="eastAsia" w:ascii="Times New Roman" w:hAnsi="Times New Roman" w:cs="Times New Roman"/>
          <w:b/>
          <w:bCs/>
          <w:color w:val="auto"/>
          <w:sz w:val="24"/>
          <w:highlight w:val="none"/>
          <w:lang w:eastAsia="zh-CN"/>
        </w:rPr>
        <w:t>植被类型概况</w:t>
      </w:r>
    </w:p>
    <w:p>
      <w:pPr>
        <w:bidi w:val="0"/>
        <w:rPr>
          <w:rFonts w:hint="eastAsia"/>
          <w:color w:val="auto"/>
          <w:highlight w:val="none"/>
          <w:lang w:eastAsia="zh-CN"/>
        </w:rPr>
      </w:pPr>
      <w:r>
        <w:rPr>
          <w:rFonts w:hint="eastAsia"/>
          <w:color w:val="auto"/>
          <w:highlight w:val="none"/>
          <w:lang w:eastAsia="zh-CN"/>
        </w:rPr>
        <w:t>参考《中国植被》《河北植被》等资料和文献，结合对评价区内现状植被中群落组成的建群种与优势种的外貌，以及群落的环境生态与地理分布特征等分析，项目区域主要植被群落详见下表。</w:t>
      </w:r>
    </w:p>
    <w:p>
      <w:pPr>
        <w:widowControl/>
        <w:numPr>
          <w:ilvl w:val="0"/>
          <w:numId w:val="0"/>
        </w:numPr>
        <w:snapToGrid w:val="0"/>
        <w:spacing w:line="360" w:lineRule="auto"/>
        <w:ind w:leftChars="0"/>
        <w:jc w:val="center"/>
        <w:rPr>
          <w:rFonts w:hint="eastAsia"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表4.3-9  评价区</w:t>
      </w:r>
      <w:r>
        <w:rPr>
          <w:rFonts w:hint="eastAsia" w:ascii="Times New Roman" w:hAnsi="Times New Roman" w:eastAsia="宋体" w:cs="Times New Roman"/>
          <w:b/>
          <w:bCs/>
          <w:color w:val="auto"/>
          <w:sz w:val="21"/>
          <w:szCs w:val="21"/>
          <w:highlight w:val="none"/>
          <w:lang w:val="en-US" w:eastAsia="zh-CN"/>
        </w:rPr>
        <w:t>植物群落</w:t>
      </w:r>
      <w:r>
        <w:rPr>
          <w:rFonts w:hint="eastAsia" w:cs="Times New Roman"/>
          <w:b/>
          <w:color w:val="auto"/>
          <w:sz w:val="21"/>
          <w:szCs w:val="21"/>
          <w:highlight w:val="none"/>
          <w:lang w:val="en-US" w:eastAsia="zh-CN"/>
        </w:rPr>
        <w:t>调查结果统计</w:t>
      </w:r>
      <w:r>
        <w:rPr>
          <w:rFonts w:hint="eastAsia" w:ascii="Times New Roman" w:hAnsi="Times New Roman" w:eastAsia="宋体" w:cs="Times New Roman"/>
          <w:b/>
          <w:color w:val="auto"/>
          <w:sz w:val="21"/>
          <w:szCs w:val="21"/>
          <w:highlight w:val="none"/>
          <w:lang w:val="en-US" w:eastAsia="zh-CN"/>
        </w:rPr>
        <w:t>表</w:t>
      </w:r>
    </w:p>
    <w:tbl>
      <w:tblPr>
        <w:tblStyle w:val="17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702"/>
        <w:gridCol w:w="2079"/>
        <w:gridCol w:w="3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植被型组</w:t>
            </w:r>
          </w:p>
        </w:tc>
        <w:tc>
          <w:tcPr>
            <w:tcW w:w="976"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植被型</w:t>
            </w:r>
          </w:p>
        </w:tc>
        <w:tc>
          <w:tcPr>
            <w:tcW w:w="1192"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群系</w:t>
            </w:r>
          </w:p>
        </w:tc>
        <w:tc>
          <w:tcPr>
            <w:tcW w:w="20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分布区域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cs="Times New Roman"/>
                <w:b/>
                <w:bCs/>
                <w:color w:val="auto"/>
                <w:kern w:val="2"/>
                <w:sz w:val="21"/>
                <w:szCs w:val="21"/>
                <w:highlight w:val="none"/>
                <w:lang w:val="en-US" w:eastAsia="zh-CN" w:bidi="ar-SA"/>
              </w:rPr>
            </w:pPr>
          </w:p>
        </w:tc>
        <w:tc>
          <w:tcPr>
            <w:tcW w:w="97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cs="Times New Roman"/>
                <w:b/>
                <w:bCs/>
                <w:color w:val="auto"/>
                <w:kern w:val="2"/>
                <w:sz w:val="21"/>
                <w:szCs w:val="21"/>
                <w:highlight w:val="none"/>
                <w:lang w:val="en-US" w:eastAsia="zh-CN" w:bidi="ar-SA"/>
              </w:rPr>
            </w:pPr>
          </w:p>
        </w:tc>
        <w:tc>
          <w:tcPr>
            <w:tcW w:w="119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bCs/>
                <w:color w:val="auto"/>
                <w:kern w:val="2"/>
                <w:sz w:val="21"/>
                <w:szCs w:val="21"/>
                <w:highlight w:val="none"/>
                <w:lang w:val="en-US" w:eastAsia="zh-CN" w:bidi="ar-SA"/>
              </w:rPr>
            </w:pPr>
          </w:p>
        </w:tc>
        <w:tc>
          <w:tcPr>
            <w:tcW w:w="20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bCs/>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针叶林</w:t>
            </w:r>
          </w:p>
        </w:tc>
        <w:tc>
          <w:tcPr>
            <w:tcW w:w="976" w:type="pct"/>
            <w:noWrap w:val="0"/>
            <w:vAlign w:val="center"/>
          </w:tcPr>
          <w:p>
            <w:pPr>
              <w:widowControl/>
              <w:spacing w:line="240" w:lineRule="auto"/>
              <w:ind w:firstLine="0" w:firstLineChars="0"/>
              <w:jc w:val="center"/>
              <w:textAlignment w:val="center"/>
              <w:rPr>
                <w:rFonts w:hint="eastAsia" w:cs="Times New Roman"/>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温性针叶林</w:t>
            </w:r>
          </w:p>
        </w:tc>
        <w:tc>
          <w:tcPr>
            <w:tcW w:w="1192"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油松</w:t>
            </w:r>
          </w:p>
        </w:tc>
        <w:tc>
          <w:tcPr>
            <w:tcW w:w="2095"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评价范围内北部区域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restar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阔叶林</w:t>
            </w:r>
          </w:p>
        </w:tc>
        <w:tc>
          <w:tcPr>
            <w:tcW w:w="976" w:type="pct"/>
            <w:vMerge w:val="restar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落叶阔叶林</w:t>
            </w:r>
          </w:p>
        </w:tc>
        <w:tc>
          <w:tcPr>
            <w:tcW w:w="1192"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杨树林</w:t>
            </w:r>
          </w:p>
        </w:tc>
        <w:tc>
          <w:tcPr>
            <w:tcW w:w="2095"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评价范围内大部分区域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b w:val="0"/>
                <w:bCs w:val="0"/>
                <w:color w:val="auto"/>
                <w:kern w:val="2"/>
                <w:sz w:val="21"/>
                <w:szCs w:val="21"/>
                <w:highlight w:val="none"/>
                <w:lang w:val="en-US" w:eastAsia="zh-CN" w:bidi="ar-SA"/>
              </w:rPr>
            </w:pPr>
          </w:p>
        </w:tc>
        <w:tc>
          <w:tcPr>
            <w:tcW w:w="976" w:type="pct"/>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color w:val="auto"/>
                <w:kern w:val="2"/>
                <w:sz w:val="21"/>
                <w:szCs w:val="21"/>
                <w:highlight w:val="none"/>
                <w:lang w:val="en-US" w:eastAsia="zh-CN" w:bidi="ar-SA"/>
              </w:rPr>
            </w:pPr>
          </w:p>
        </w:tc>
        <w:tc>
          <w:tcPr>
            <w:tcW w:w="1192"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枣树、槐树、榆树</w:t>
            </w:r>
          </w:p>
        </w:tc>
        <w:tc>
          <w:tcPr>
            <w:tcW w:w="2095"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评价范围内北部区域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976" w:type="pct"/>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1192"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山楂树林</w:t>
            </w:r>
          </w:p>
        </w:tc>
        <w:tc>
          <w:tcPr>
            <w:tcW w:w="2095"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评价范围内南部区域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restar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灌草和灌草丛</w:t>
            </w:r>
          </w:p>
        </w:tc>
        <w:tc>
          <w:tcPr>
            <w:tcW w:w="976" w:type="pct"/>
            <w:vMerge w:val="restar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落叶阔叶灌丛</w:t>
            </w:r>
          </w:p>
        </w:tc>
        <w:tc>
          <w:tcPr>
            <w:tcW w:w="1192"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荆条</w:t>
            </w:r>
          </w:p>
        </w:tc>
        <w:tc>
          <w:tcPr>
            <w:tcW w:w="2095"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评价范围内大部分区域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976" w:type="pct"/>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color w:val="auto"/>
                <w:kern w:val="2"/>
                <w:sz w:val="21"/>
                <w:szCs w:val="21"/>
                <w:highlight w:val="none"/>
                <w:lang w:val="en-US" w:eastAsia="zh-CN" w:bidi="ar-SA"/>
              </w:rPr>
            </w:pPr>
          </w:p>
        </w:tc>
        <w:tc>
          <w:tcPr>
            <w:tcW w:w="1192"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绣线菊</w:t>
            </w:r>
          </w:p>
        </w:tc>
        <w:tc>
          <w:tcPr>
            <w:tcW w:w="2095"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评价范围内大部分区域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976" w:type="pct"/>
            <w:vMerge w:val="restar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灌草丛</w:t>
            </w:r>
          </w:p>
        </w:tc>
        <w:tc>
          <w:tcPr>
            <w:tcW w:w="1192"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狗尾草草丛</w:t>
            </w:r>
          </w:p>
        </w:tc>
        <w:tc>
          <w:tcPr>
            <w:tcW w:w="2095"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评价范围内大部分区域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976" w:type="pct"/>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color w:val="auto"/>
                <w:kern w:val="2"/>
                <w:sz w:val="21"/>
                <w:szCs w:val="21"/>
                <w:highlight w:val="none"/>
                <w:lang w:val="en-US" w:eastAsia="zh-CN" w:bidi="ar-SA"/>
              </w:rPr>
            </w:pPr>
          </w:p>
        </w:tc>
        <w:tc>
          <w:tcPr>
            <w:tcW w:w="1192"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葎草丛</w:t>
            </w:r>
          </w:p>
        </w:tc>
        <w:tc>
          <w:tcPr>
            <w:tcW w:w="2095"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评价范围内大部分区域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976" w:type="pct"/>
            <w:vMerge w:val="continue"/>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color w:val="auto"/>
                <w:kern w:val="2"/>
                <w:sz w:val="21"/>
                <w:szCs w:val="21"/>
                <w:highlight w:val="none"/>
                <w:lang w:val="en-US" w:eastAsia="zh-CN" w:bidi="ar-SA"/>
              </w:rPr>
            </w:pPr>
          </w:p>
        </w:tc>
        <w:tc>
          <w:tcPr>
            <w:tcW w:w="1192"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针茅草丛</w:t>
            </w:r>
          </w:p>
        </w:tc>
        <w:tc>
          <w:tcPr>
            <w:tcW w:w="2095" w:type="pct"/>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评价范围内大部分区域</w:t>
            </w:r>
          </w:p>
        </w:tc>
      </w:tr>
    </w:tbl>
    <w:p>
      <w:pPr>
        <w:pStyle w:val="98"/>
        <w:keepNext w:val="0"/>
        <w:keepLines w:val="0"/>
        <w:pageBreakBefore w:val="0"/>
        <w:widowControl/>
        <w:kinsoku/>
        <w:wordWrap/>
        <w:overflowPunct/>
        <w:topLinePunct w:val="0"/>
        <w:autoSpaceDE/>
        <w:autoSpaceDN/>
        <w:bidi w:val="0"/>
        <w:adjustRightInd w:val="0"/>
        <w:snapToGrid w:val="0"/>
        <w:spacing w:before="164" w:beforeLines="50" w:line="360" w:lineRule="auto"/>
        <w:ind w:firstLine="480" w:firstLineChars="200"/>
        <w:textAlignment w:val="auto"/>
        <w:rPr>
          <w:rFonts w:hint="eastAsia" w:ascii="Times New Roman" w:hAnsi="Times New Roman" w:cs="Times New Roman"/>
          <w:b w:val="0"/>
          <w:bCs w:val="0"/>
          <w:color w:val="auto"/>
          <w:sz w:val="24"/>
          <w:highlight w:val="none"/>
          <w:lang w:eastAsia="zh-CN"/>
        </w:rPr>
      </w:pPr>
      <w:r>
        <w:rPr>
          <w:rFonts w:hint="eastAsia" w:ascii="Times New Roman" w:hAnsi="Times New Roman" w:cs="Times New Roman"/>
          <w:b w:val="0"/>
          <w:bCs w:val="0"/>
          <w:color w:val="auto"/>
          <w:sz w:val="24"/>
          <w:highlight w:val="none"/>
          <w:lang w:eastAsia="zh-CN"/>
        </w:rPr>
        <w:t>评价区域为丘陵地区，当地因地制宜，经现场调查，乔木植被在评价范围内分布广泛，多分布在</w:t>
      </w:r>
      <w:r>
        <w:rPr>
          <w:rFonts w:hint="eastAsia" w:ascii="Times New Roman" w:hAnsi="Times New Roman" w:cs="Times New Roman"/>
          <w:b w:val="0"/>
          <w:bCs w:val="0"/>
          <w:color w:val="auto"/>
          <w:sz w:val="24"/>
          <w:highlight w:val="none"/>
          <w:lang w:val="en-US" w:eastAsia="zh-CN"/>
        </w:rPr>
        <w:t>阴坡，</w:t>
      </w:r>
      <w:r>
        <w:rPr>
          <w:rFonts w:hint="eastAsia" w:ascii="Times New Roman" w:hAnsi="Times New Roman" w:cs="Times New Roman"/>
          <w:b w:val="0"/>
          <w:bCs w:val="0"/>
          <w:color w:val="auto"/>
          <w:sz w:val="24"/>
          <w:highlight w:val="none"/>
          <w:lang w:eastAsia="zh-CN"/>
        </w:rPr>
        <w:t>是评价范围内山地森林的基本组成成分，构成了基本的山地森林景观，</w:t>
      </w:r>
      <w:r>
        <w:rPr>
          <w:rFonts w:hint="eastAsia" w:ascii="Times New Roman" w:hAnsi="Times New Roman" w:cs="Times New Roman"/>
          <w:b w:val="0"/>
          <w:bCs w:val="0"/>
          <w:color w:val="auto"/>
          <w:sz w:val="24"/>
          <w:highlight w:val="none"/>
          <w:lang w:val="en-US" w:eastAsia="zh-CN"/>
        </w:rPr>
        <w:t>优势树种为杨树、</w:t>
      </w:r>
      <w:r>
        <w:rPr>
          <w:rFonts w:hint="eastAsia" w:cs="Times New Roman"/>
          <w:b w:val="0"/>
          <w:bCs w:val="0"/>
          <w:color w:val="auto"/>
          <w:sz w:val="24"/>
          <w:highlight w:val="none"/>
          <w:lang w:val="en-US" w:eastAsia="zh-CN"/>
        </w:rPr>
        <w:t>枣树</w:t>
      </w:r>
      <w:r>
        <w:rPr>
          <w:rFonts w:hint="eastAsia" w:ascii="Times New Roman" w:hAnsi="Times New Roman"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槐树</w:t>
      </w:r>
      <w:r>
        <w:rPr>
          <w:rFonts w:hint="eastAsia" w:ascii="Times New Roman" w:hAnsi="Times New Roman" w:cs="Times New Roman"/>
          <w:b w:val="0"/>
          <w:bCs w:val="0"/>
          <w:color w:val="auto"/>
          <w:sz w:val="24"/>
          <w:highlight w:val="none"/>
          <w:lang w:val="en-US" w:eastAsia="zh-CN"/>
        </w:rPr>
        <w:t>、山楂树等</w:t>
      </w:r>
      <w:r>
        <w:rPr>
          <w:rFonts w:hint="eastAsia" w:ascii="Times New Roman" w:hAnsi="Times New Roman" w:cs="Times New Roman"/>
          <w:b w:val="0"/>
          <w:bCs w:val="0"/>
          <w:color w:val="auto"/>
          <w:sz w:val="24"/>
          <w:highlight w:val="none"/>
          <w:lang w:eastAsia="zh-CN"/>
        </w:rPr>
        <w:t>，影响着森林生态系统中灌木层、草本层和乔木层中其他种类植物的分布；灌丛在阴坡、阳坡都有分布，主要种类包括荆条、绣线菊、</w:t>
      </w:r>
      <w:r>
        <w:rPr>
          <w:rFonts w:hint="eastAsia" w:ascii="Times New Roman" w:hAnsi="Times New Roman" w:cs="Times New Roman"/>
          <w:b w:val="0"/>
          <w:bCs w:val="0"/>
          <w:color w:val="auto"/>
          <w:sz w:val="24"/>
          <w:highlight w:val="none"/>
          <w:lang w:val="en-US" w:eastAsia="zh-CN"/>
        </w:rPr>
        <w:t>胡枝子、</w:t>
      </w:r>
      <w:r>
        <w:rPr>
          <w:rFonts w:hint="eastAsia" w:cs="Times New Roman"/>
          <w:b w:val="0"/>
          <w:bCs w:val="0"/>
          <w:color w:val="auto"/>
          <w:sz w:val="24"/>
          <w:highlight w:val="none"/>
          <w:lang w:val="en-US" w:eastAsia="zh-CN"/>
        </w:rPr>
        <w:t>锦鸡儿</w:t>
      </w:r>
      <w:r>
        <w:rPr>
          <w:rFonts w:hint="eastAsia" w:ascii="Times New Roman" w:hAnsi="Times New Roman" w:cs="Times New Roman"/>
          <w:b w:val="0"/>
          <w:bCs w:val="0"/>
          <w:color w:val="auto"/>
          <w:sz w:val="24"/>
          <w:highlight w:val="none"/>
          <w:lang w:eastAsia="zh-CN"/>
        </w:rPr>
        <w:t>等；草地的组成种类包括</w:t>
      </w:r>
      <w:r>
        <w:rPr>
          <w:rFonts w:hint="eastAsia" w:ascii="Times New Roman" w:hAnsi="Times New Roman" w:cs="Times New Roman"/>
          <w:b w:val="0"/>
          <w:bCs w:val="0"/>
          <w:color w:val="auto"/>
          <w:sz w:val="24"/>
          <w:highlight w:val="none"/>
          <w:lang w:val="en-US" w:eastAsia="zh-CN"/>
        </w:rPr>
        <w:t>狗尾草、</w:t>
      </w:r>
      <w:r>
        <w:rPr>
          <w:rFonts w:hint="eastAsia" w:cs="Times New Roman"/>
          <w:b w:val="0"/>
          <w:bCs w:val="0"/>
          <w:color w:val="auto"/>
          <w:sz w:val="24"/>
          <w:highlight w:val="none"/>
          <w:lang w:val="en-US" w:eastAsia="zh-CN"/>
        </w:rPr>
        <w:t>野燕麦</w:t>
      </w:r>
      <w:r>
        <w:rPr>
          <w:rFonts w:hint="eastAsia" w:ascii="Times New Roman" w:hAnsi="Times New Roman" w:cs="Times New Roman"/>
          <w:b w:val="0"/>
          <w:bCs w:val="0"/>
          <w:color w:val="auto"/>
          <w:sz w:val="24"/>
          <w:highlight w:val="none"/>
          <w:lang w:val="en-US" w:eastAsia="zh-CN"/>
        </w:rPr>
        <w:t>、葎草、</w:t>
      </w:r>
      <w:r>
        <w:rPr>
          <w:rFonts w:hint="eastAsia" w:cs="Times New Roman"/>
          <w:b w:val="0"/>
          <w:bCs w:val="0"/>
          <w:color w:val="auto"/>
          <w:sz w:val="24"/>
          <w:highlight w:val="none"/>
          <w:lang w:val="en-US" w:eastAsia="zh-CN"/>
        </w:rPr>
        <w:t>针茅</w:t>
      </w:r>
      <w:r>
        <w:rPr>
          <w:rFonts w:hint="eastAsia" w:ascii="Times New Roman" w:hAnsi="Times New Roman" w:cs="Times New Roman"/>
          <w:b w:val="0"/>
          <w:bCs w:val="0"/>
          <w:color w:val="auto"/>
          <w:sz w:val="24"/>
          <w:highlight w:val="none"/>
          <w:lang w:eastAsia="zh-CN"/>
        </w:rPr>
        <w:t>、</w:t>
      </w:r>
      <w:r>
        <w:rPr>
          <w:rFonts w:hint="eastAsia" w:ascii="Times New Roman" w:hAnsi="Times New Roman" w:cs="Times New Roman"/>
          <w:b w:val="0"/>
          <w:bCs w:val="0"/>
          <w:color w:val="auto"/>
          <w:sz w:val="24"/>
          <w:highlight w:val="none"/>
          <w:lang w:val="en-US" w:eastAsia="zh-CN"/>
        </w:rPr>
        <w:t>野艾蒿</w:t>
      </w:r>
      <w:r>
        <w:rPr>
          <w:rFonts w:hint="eastAsia" w:ascii="Times New Roman" w:hAnsi="Times New Roman" w:cs="Times New Roman"/>
          <w:b w:val="0"/>
          <w:bCs w:val="0"/>
          <w:color w:val="auto"/>
          <w:sz w:val="24"/>
          <w:highlight w:val="none"/>
          <w:lang w:eastAsia="zh-CN"/>
        </w:rPr>
        <w:t>、</w:t>
      </w:r>
      <w:r>
        <w:rPr>
          <w:rFonts w:hint="eastAsia" w:cs="Times New Roman"/>
          <w:b w:val="0"/>
          <w:bCs w:val="0"/>
          <w:color w:val="auto"/>
          <w:sz w:val="24"/>
          <w:highlight w:val="none"/>
          <w:lang w:val="en-US" w:eastAsia="zh-CN"/>
        </w:rPr>
        <w:t>茵陈蒿</w:t>
      </w:r>
      <w:r>
        <w:rPr>
          <w:rFonts w:hint="eastAsia" w:ascii="Times New Roman" w:hAnsi="Times New Roman" w:cs="Times New Roman"/>
          <w:b w:val="0"/>
          <w:bCs w:val="0"/>
          <w:color w:val="auto"/>
          <w:sz w:val="24"/>
          <w:highlight w:val="none"/>
          <w:lang w:eastAsia="zh-CN"/>
        </w:rPr>
        <w:t>等。</w:t>
      </w:r>
    </w:p>
    <w:p>
      <w:pPr>
        <w:pStyle w:val="98"/>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highlight w:val="none"/>
          <w:lang w:eastAsia="zh-CN"/>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3</w:t>
      </w:r>
      <w:r>
        <w:rPr>
          <w:rFonts w:hint="eastAsia" w:ascii="Times New Roman" w:hAnsi="Times New Roman" w:cs="Times New Roman"/>
          <w:b/>
          <w:bCs/>
          <w:color w:val="auto"/>
          <w:sz w:val="24"/>
          <w:highlight w:val="none"/>
          <w:lang w:eastAsia="zh-CN"/>
        </w:rPr>
        <w:t>）植物类型现状调查</w:t>
      </w:r>
    </w:p>
    <w:p>
      <w:pPr>
        <w:pStyle w:val="98"/>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eastAsia="zh-CN"/>
        </w:rPr>
        <w:t>项目</w:t>
      </w:r>
      <w:r>
        <w:rPr>
          <w:rFonts w:hint="eastAsia" w:ascii="Times New Roman" w:hAnsi="Times New Roman" w:cs="Times New Roman"/>
          <w:b w:val="0"/>
          <w:bCs w:val="0"/>
          <w:color w:val="auto"/>
          <w:sz w:val="24"/>
          <w:highlight w:val="none"/>
          <w:lang w:val="en-US" w:eastAsia="zh-CN"/>
        </w:rPr>
        <w:t>评价范围内</w:t>
      </w:r>
      <w:r>
        <w:rPr>
          <w:rFonts w:hint="eastAsia" w:ascii="Times New Roman" w:hAnsi="Times New Roman" w:cs="Times New Roman"/>
          <w:b w:val="0"/>
          <w:bCs w:val="0"/>
          <w:color w:val="auto"/>
          <w:sz w:val="24"/>
          <w:highlight w:val="none"/>
          <w:lang w:eastAsia="zh-CN"/>
        </w:rPr>
        <w:t>植被覆盖率</w:t>
      </w:r>
      <w:r>
        <w:rPr>
          <w:rFonts w:hint="eastAsia" w:cs="Times New Roman"/>
          <w:b w:val="0"/>
          <w:bCs w:val="0"/>
          <w:color w:val="auto"/>
          <w:sz w:val="24"/>
          <w:highlight w:val="none"/>
          <w:lang w:eastAsia="zh-CN"/>
        </w:rPr>
        <w:t>较高</w:t>
      </w:r>
      <w:r>
        <w:rPr>
          <w:rFonts w:hint="eastAsia" w:ascii="Times New Roman" w:hAnsi="Times New Roman" w:cs="Times New Roman"/>
          <w:b w:val="0"/>
          <w:bCs w:val="0"/>
          <w:color w:val="auto"/>
          <w:sz w:val="24"/>
          <w:highlight w:val="none"/>
          <w:lang w:eastAsia="zh-CN"/>
        </w:rPr>
        <w:t>、种类组成丰富，评价区植被类型</w:t>
      </w:r>
      <w:r>
        <w:rPr>
          <w:rFonts w:hint="eastAsia" w:cs="Times New Roman"/>
          <w:b w:val="0"/>
          <w:bCs w:val="0"/>
          <w:color w:val="auto"/>
          <w:sz w:val="24"/>
          <w:highlight w:val="none"/>
          <w:lang w:eastAsia="zh-CN"/>
        </w:rPr>
        <w:t>图如下</w:t>
      </w:r>
      <w:r>
        <w:rPr>
          <w:rFonts w:hint="eastAsia" w:ascii="Times New Roman" w:hAnsi="Times New Roman" w:cs="Times New Roman"/>
          <w:b w:val="0"/>
          <w:bCs w:val="0"/>
          <w:color w:val="auto"/>
          <w:sz w:val="24"/>
          <w:highlight w:val="none"/>
          <w:lang w:val="en-US" w:eastAsia="zh-CN"/>
        </w:rPr>
        <w:t>。</w:t>
      </w:r>
    </w:p>
    <w:p>
      <w:pPr>
        <w:pStyle w:val="98"/>
        <w:keepNext w:val="0"/>
        <w:keepLines w:val="0"/>
        <w:pageBreakBefore w:val="0"/>
        <w:widowControl/>
        <w:kinsoku/>
        <w:wordWrap/>
        <w:overflowPunct/>
        <w:topLinePunct w:val="0"/>
        <w:autoSpaceDE/>
        <w:autoSpaceDN/>
        <w:bidi w:val="0"/>
        <w:adjustRightInd w:val="0"/>
        <w:snapToGrid w:val="0"/>
        <w:spacing w:before="164" w:beforeLines="50" w:line="360" w:lineRule="auto"/>
        <w:ind w:firstLine="0" w:firstLineChars="0"/>
        <w:jc w:val="center"/>
        <w:textAlignment w:val="auto"/>
        <w:rPr>
          <w:rFonts w:hint="eastAsia" w:ascii="Times New Roman" w:hAnsi="Times New Roman" w:cs="Times New Roman"/>
          <w:b w:val="0"/>
          <w:bCs w:val="0"/>
          <w:color w:val="auto"/>
          <w:sz w:val="24"/>
          <w:highlight w:val="none"/>
          <w:lang w:eastAsia="zh-CN"/>
        </w:rPr>
      </w:pPr>
      <w:r>
        <w:rPr>
          <w:color w:val="auto"/>
        </w:rPr>
        <w:drawing>
          <wp:inline distT="0" distB="0" distL="114300" distR="114300">
            <wp:extent cx="5391150" cy="3957320"/>
            <wp:effectExtent l="0" t="0" r="0"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4"/>
                    <a:srcRect b="1079"/>
                    <a:stretch>
                      <a:fillRect/>
                    </a:stretch>
                  </pic:blipFill>
                  <pic:spPr>
                    <a:xfrm>
                      <a:off x="0" y="0"/>
                      <a:ext cx="5391150" cy="3957320"/>
                    </a:xfrm>
                    <a:prstGeom prst="rect">
                      <a:avLst/>
                    </a:prstGeom>
                    <a:noFill/>
                    <a:ln>
                      <a:noFill/>
                    </a:ln>
                  </pic:spPr>
                </pic:pic>
              </a:graphicData>
            </a:graphic>
          </wp:inline>
        </w:drawing>
      </w:r>
    </w:p>
    <w:p>
      <w:pPr>
        <w:pStyle w:val="126"/>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Chars="0"/>
        <w:jc w:val="center"/>
        <w:textAlignment w:val="auto"/>
        <w:rPr>
          <w:rFonts w:hint="default" w:ascii="Times New Roman" w:hAnsi="Times New Roman" w:cs="Times New Roman"/>
          <w:b/>
          <w:bCs/>
          <w:color w:val="auto"/>
          <w:sz w:val="21"/>
          <w:szCs w:val="18"/>
          <w:highlight w:val="none"/>
          <w:lang w:val="en-US" w:eastAsia="zh-CN"/>
        </w:rPr>
      </w:pPr>
      <w:r>
        <w:rPr>
          <w:rFonts w:hint="default" w:ascii="Times New Roman" w:hAnsi="Times New Roman" w:cs="Times New Roman"/>
          <w:b/>
          <w:bCs/>
          <w:color w:val="auto"/>
          <w:sz w:val="21"/>
          <w:szCs w:val="21"/>
          <w:highlight w:val="none"/>
          <w:lang w:val="en-US" w:eastAsia="zh-CN"/>
        </w:rPr>
        <w:t>图4.3-</w:t>
      </w:r>
      <w:r>
        <w:rPr>
          <w:rFonts w:hint="eastAsia" w:ascii="Times New Roman" w:hAnsi="Times New Roman" w:cs="Times New Roman"/>
          <w:b/>
          <w:bCs/>
          <w:color w:val="auto"/>
          <w:sz w:val="21"/>
          <w:szCs w:val="21"/>
          <w:highlight w:val="none"/>
          <w:lang w:val="en-US" w:eastAsia="zh-CN"/>
        </w:rPr>
        <w:t xml:space="preserve">2  </w:t>
      </w:r>
      <w:r>
        <w:rPr>
          <w:rFonts w:hint="eastAsia" w:ascii="Times New Roman" w:hAnsi="Times New Roman" w:cs="Times New Roman"/>
          <w:b/>
          <w:bCs/>
          <w:color w:val="auto"/>
          <w:sz w:val="21"/>
          <w:szCs w:val="18"/>
          <w:highlight w:val="none"/>
          <w:lang w:val="en-US" w:eastAsia="zh-CN"/>
        </w:rPr>
        <w:t>项目评价范围内植被类型现状图</w:t>
      </w:r>
    </w:p>
    <w:p>
      <w:pPr>
        <w:pStyle w:val="8"/>
        <w:bidi w:val="0"/>
        <w:rPr>
          <w:rFonts w:hint="default"/>
          <w:color w:val="auto"/>
          <w:highlight w:val="none"/>
          <w:lang w:val="en-US" w:eastAsia="zh-CN"/>
        </w:rPr>
      </w:pPr>
      <w:r>
        <w:rPr>
          <w:rFonts w:hint="eastAsia"/>
          <w:color w:val="auto"/>
          <w:highlight w:val="none"/>
          <w:lang w:val="en-US" w:eastAsia="zh-CN"/>
        </w:rPr>
        <w:t>4.3.7.1.3野生动植物现状</w:t>
      </w:r>
    </w:p>
    <w:p>
      <w:pPr>
        <w:pStyle w:val="98"/>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1</w:t>
      </w:r>
      <w:r>
        <w:rPr>
          <w:rFonts w:hint="eastAsia"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动物区系概况</w:t>
      </w:r>
    </w:p>
    <w:p>
      <w:pPr>
        <w:pStyle w:val="98"/>
        <w:spacing w:line="360" w:lineRule="auto"/>
        <w:ind w:firstLine="480" w:firstLineChars="200"/>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动物界组成丰富，所产陆栖脊椎动物约2000多种，占世界全部种数的10%左右。其中鸟类所占比例最大，兽类其次，两栖类及爬行类居后。特产种类多，如鸟类中的</w:t>
      </w:r>
      <w:r>
        <w:rPr>
          <w:rFonts w:hint="eastAsia" w:ascii="Times New Roman" w:hAnsi="Times New Roman" w:cs="Times New Roman"/>
          <w:color w:val="auto"/>
          <w:sz w:val="24"/>
          <w:highlight w:val="none"/>
          <w:lang w:val="en-US" w:eastAsia="zh-CN"/>
        </w:rPr>
        <w:t>乌</w:t>
      </w:r>
      <w:r>
        <w:rPr>
          <w:rFonts w:hint="eastAsia" w:ascii="Times New Roman" w:hAnsi="Times New Roman" w:cs="Times New Roman"/>
          <w:color w:val="auto"/>
          <w:sz w:val="24"/>
          <w:highlight w:val="none"/>
          <w:lang w:eastAsia="zh-CN"/>
        </w:rPr>
        <w:t>鸡、丹顶鹤、长尾雉、鸳鸯；兽类中的金丝猴、羚牛、毛冠鹿和梅花鹿，还有大能猫、野马、野生双峰驼、白暨豚等较古老或珍稀的种类。中国现存陆栖脊椎动物区系的历史，按目前的化石材料至少追溯到第三纪后期的上新世。至全新世初期，中国动物区系的地理分布基本上已与现代接近。区系及生态的地理变化明显。</w:t>
      </w:r>
    </w:p>
    <w:p>
      <w:pPr>
        <w:pStyle w:val="98"/>
        <w:spacing w:line="360" w:lineRule="auto"/>
        <w:ind w:firstLine="480" w:firstLineChars="200"/>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中国大陆的动物区系分属于东洋界和古北界。在两大界之下，可再分为3亚界（东北亚界、中亚亚界、中印亚界），7区（东北区、华北区、蒙新区、青藏区、西南区、华中区和华南区）</w:t>
      </w:r>
      <w:r>
        <w:rPr>
          <w:rFonts w:hint="eastAsia" w:ascii="宋体" w:hAnsi="宋体" w:eastAsia="宋体" w:cs="宋体"/>
          <w:color w:val="auto"/>
          <w:sz w:val="24"/>
          <w:highlight w:val="none"/>
          <w:lang w:eastAsia="zh-CN"/>
        </w:rPr>
        <w:t>。</w:t>
      </w:r>
      <w:r>
        <w:rPr>
          <w:rFonts w:hint="eastAsia" w:ascii="Times New Roman" w:hAnsi="Times New Roman" w:cs="Times New Roman"/>
          <w:color w:val="auto"/>
          <w:sz w:val="24"/>
          <w:highlight w:val="none"/>
          <w:lang w:eastAsia="zh-CN"/>
        </w:rPr>
        <w:t>项目位于</w:t>
      </w:r>
      <w:r>
        <w:rPr>
          <w:rFonts w:hint="eastAsia" w:ascii="Times New Roman" w:hAnsi="Times New Roman" w:cs="Times New Roman"/>
          <w:b w:val="0"/>
          <w:bCs w:val="0"/>
          <w:color w:val="auto"/>
          <w:sz w:val="24"/>
          <w:highlight w:val="none"/>
          <w:lang w:eastAsia="zh-CN"/>
        </w:rPr>
        <w:t>河北</w:t>
      </w:r>
      <w:r>
        <w:rPr>
          <w:rFonts w:hint="eastAsia" w:ascii="Times New Roman" w:hAnsi="Times New Roman" w:cs="Times New Roman"/>
          <w:b w:val="0"/>
          <w:bCs w:val="0"/>
          <w:color w:val="auto"/>
          <w:sz w:val="24"/>
          <w:highlight w:val="none"/>
          <w:lang w:val="en-US" w:eastAsia="zh-CN"/>
        </w:rPr>
        <w:t>承德市</w:t>
      </w:r>
      <w:r>
        <w:rPr>
          <w:rFonts w:hint="eastAsia" w:cs="Times New Roman"/>
          <w:b w:val="0"/>
          <w:bCs w:val="0"/>
          <w:color w:val="auto"/>
          <w:sz w:val="24"/>
          <w:highlight w:val="none"/>
          <w:lang w:val="en-US" w:eastAsia="zh-CN"/>
        </w:rPr>
        <w:t>兴隆</w:t>
      </w:r>
      <w:r>
        <w:rPr>
          <w:rFonts w:hint="eastAsia" w:ascii="Times New Roman" w:hAnsi="Times New Roman" w:cs="Times New Roman"/>
          <w:b w:val="0"/>
          <w:bCs w:val="0"/>
          <w:color w:val="auto"/>
          <w:sz w:val="24"/>
          <w:highlight w:val="none"/>
          <w:lang w:val="en-US" w:eastAsia="zh-CN"/>
        </w:rPr>
        <w:t>县</w:t>
      </w:r>
      <w:r>
        <w:rPr>
          <w:rFonts w:hint="eastAsia" w:ascii="Times New Roman" w:hAnsi="Times New Roman" w:cs="Times New Roman"/>
          <w:color w:val="auto"/>
          <w:sz w:val="24"/>
          <w:highlight w:val="none"/>
          <w:lang w:eastAsia="zh-CN"/>
        </w:rPr>
        <w:t>，评价范围内的动物地理区划位于华北区，属于丘陵地形地貌，变化较小。本区动物区系一方面与东北森林有密切关系，特有的种类比较少。</w:t>
      </w:r>
    </w:p>
    <w:p>
      <w:pPr>
        <w:pStyle w:val="98"/>
        <w:spacing w:line="360" w:lineRule="auto"/>
        <w:ind w:firstLine="480" w:firstLineChars="200"/>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县内常见鸟类主要有麻雀、大山雀、</w:t>
      </w:r>
      <w:r>
        <w:rPr>
          <w:rFonts w:hint="eastAsia" w:ascii="Times New Roman" w:hAnsi="Times New Roman" w:cs="Times New Roman"/>
          <w:color w:val="auto"/>
          <w:sz w:val="24"/>
          <w:highlight w:val="none"/>
          <w:lang w:val="en-US" w:eastAsia="zh-CN"/>
        </w:rPr>
        <w:t>布谷鸟</w:t>
      </w:r>
      <w:r>
        <w:rPr>
          <w:rFonts w:hint="eastAsia" w:ascii="Times New Roman" w:hAnsi="Times New Roman" w:cs="Times New Roman"/>
          <w:color w:val="auto"/>
          <w:sz w:val="24"/>
          <w:highlight w:val="none"/>
          <w:lang w:eastAsia="zh-CN"/>
        </w:rPr>
        <w:t>等；两栖动物主要有青蛙、雨蛙、蟾蜍等；爬行动物主要有蛇、蜥蜴、壁虎等；</w:t>
      </w:r>
      <w:r>
        <w:rPr>
          <w:rFonts w:hint="eastAsia" w:ascii="Times New Roman" w:hAnsi="Times New Roman" w:cs="Times New Roman"/>
          <w:color w:val="auto"/>
          <w:sz w:val="24"/>
          <w:highlight w:val="none"/>
          <w:lang w:val="en-US" w:eastAsia="zh-CN"/>
        </w:rPr>
        <w:t>哺乳类动物主要有野兔、刺猬等</w:t>
      </w:r>
      <w:r>
        <w:rPr>
          <w:rFonts w:hint="eastAsia" w:ascii="Times New Roman" w:hAnsi="Times New Roman" w:cs="Times New Roman"/>
          <w:color w:val="auto"/>
          <w:sz w:val="24"/>
          <w:highlight w:val="none"/>
          <w:lang w:eastAsia="zh-CN"/>
        </w:rPr>
        <w:t>。其中野生动物中野兔、刺猬、布谷鸟等属于“三有动物”（即有益的或者有重要经济、科学研究价值的野生动物）。</w:t>
      </w:r>
    </w:p>
    <w:p>
      <w:pPr>
        <w:pStyle w:val="98"/>
        <w:spacing w:line="360" w:lineRule="auto"/>
        <w:ind w:firstLine="482" w:firstLineChars="200"/>
        <w:rPr>
          <w:rFonts w:hint="default" w:ascii="Times New Roman" w:hAnsi="Times New Roman" w:cs="Times New Roman"/>
          <w:b/>
          <w:bCs/>
          <w:color w:val="auto"/>
          <w:sz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ascii="Times New Roman" w:hAnsi="Times New Roman" w:cs="Times New Roman"/>
          <w:b/>
          <w:bCs/>
          <w:color w:val="auto"/>
          <w:sz w:val="24"/>
          <w:highlight w:val="none"/>
          <w:lang w:val="en-US" w:eastAsia="zh-CN"/>
        </w:rPr>
        <w:t>野生动物调查</w:t>
      </w:r>
    </w:p>
    <w:p>
      <w:pPr>
        <w:pStyle w:val="98"/>
        <w:spacing w:line="360" w:lineRule="auto"/>
        <w:ind w:firstLine="480" w:firstLineChars="200"/>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本次调查主要采取资料调查、走访调查结合的方式，对评价范围内可能分布的哺乳动物、鸟类、爬行动物等展开调查。</w:t>
      </w:r>
    </w:p>
    <w:p>
      <w:pPr>
        <w:pStyle w:val="98"/>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经现场走访调查，当地村民反映评价区域内无国家及地方重点保护的重要物种，仅有常见鸟类如乌鸦等在林间觅食、飞翔。本次样线调查过程中，发现山中常见动物乌鸦、大仓鼠等。</w:t>
      </w:r>
    </w:p>
    <w:p>
      <w:pPr>
        <w:pStyle w:val="98"/>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①鸟类</w:t>
      </w:r>
    </w:p>
    <w:p>
      <w:pPr>
        <w:pStyle w:val="98"/>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在评价范围内，主要为人工林。根据资料查阅、现场调查及访问，在本区活动的鸟类主要为北方农田常见鸟类如乌鸦、麻雀、山雀、布谷鸟等，均为常见种，无珍稀濒危野生动物。</w:t>
      </w:r>
    </w:p>
    <w:p>
      <w:pPr>
        <w:pStyle w:val="98"/>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乌鸦主要栖息于低山、平原和山地阔叶林、针阔叶混交林、针叶林、次生杂木林、人工林等各种森林类型中，尤以疏林和林缘地带较常见。大多为留鸟，集群性强，一群可达几万只。群居在树林中或田野间，为森林草原鸟类，多在树上营巢。主要在地上觅食，步态稳重。除少数种类外，常结群营巢，并在秋冬季节混群游荡。行为复杂，表现有较强的智力和社会性活动。一般性格凶悍，富于侵略习性，常掠食水禽、涉禽巢内的卵和雏鸟。杂食性，吃谷物、浆果、昆虫、腐肉及其他鸟类的蛋。</w:t>
      </w:r>
    </w:p>
    <w:p>
      <w:pPr>
        <w:pStyle w:val="98"/>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麻雀栖息地海拔高度300-2500米。无论山地、平原、丘陵、草原、沼泽和农田，低山丘陵和山脚平原地带的各类森林和灌丛中，多活动于林缘疏林、灌丛和草丛中，不喜欢茂密的大森林。多在有人类集居的地方，城镇和乡村，河谷、果园、岩石草坡、房前屋后和路边树上活动和觅食。麻雀为杂食性鸟类，夏、秋主要以禾本科植物种子为食，育雏则主要以为害禾本科植物的昆虫为主，其中多为鳞翅目害虫。</w:t>
      </w:r>
    </w:p>
    <w:p>
      <w:pPr>
        <w:pStyle w:val="98"/>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②哺乳动物：由于人为活动频繁，工程沿线无大型哺乳类野生动物生存；最普遍的是田野生活的小型喷齿动物，如黑线仓鼠、大仓鼠、黑线姬鼠、小家鼠和褐家鼠、食虫小兽麝鼹等，分布广泛，各地的差异主要是数量的多少；还有野兔等。</w:t>
      </w:r>
    </w:p>
    <w:p>
      <w:pPr>
        <w:pStyle w:val="98"/>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大仓鼠喜居在干旱地区，如土壤疏松的耕地、离水较远和高于水源的农田、菜园、山坡、荒地等处。也有少数栖居在住宅和仓房内。大仓鼠性凶猛好斗、营独居生活，属于夜间活动类型。一般是18点到24点活动最多，次晨4~6点活动停止。春天气温平均10~15℃开始出来活动，在20~25℃时活动频繁。冬天出洞较少，只在洞口附近活动。低于10℃或高于30℃，它的活动就要受影响。秋天为了贮存过冬食物，用颊囊搬运种子，活动频繁，没有冬眠习惯。阴雨天活动减少。活动范围多在25~44m，有时可达1~2里。</w:t>
      </w:r>
    </w:p>
    <w:p>
      <w:pPr>
        <w:pStyle w:val="98"/>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③两栖类：花背蟾蜍、大蟾蜍、金线蛙、黑斑蛙等两梄纲类。</w:t>
      </w:r>
    </w:p>
    <w:p>
      <w:pPr>
        <w:numPr>
          <w:ilvl w:val="0"/>
          <w:numId w:val="0"/>
        </w:numPr>
        <w:spacing w:line="360" w:lineRule="auto"/>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④爬行类：大多为广泛见于我国季风区或北方的种类，其中黄脊游蛇和白条锦蛇为古北型的代表。除上述两种古北型代表，还有丽斑麻蜥、无蹼壁虎和虎斑颈槽蛇等。</w:t>
      </w:r>
    </w:p>
    <w:p>
      <w:pPr>
        <w:pStyle w:val="98"/>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highlight w:val="none"/>
          <w:lang w:eastAsia="zh-CN"/>
        </w:rPr>
      </w:pPr>
      <w:r>
        <w:rPr>
          <w:rFonts w:hint="eastAsia" w:cs="Times New Roman"/>
          <w:b/>
          <w:bCs/>
          <w:color w:val="auto"/>
          <w:sz w:val="24"/>
          <w:highlight w:val="none"/>
          <w:lang w:val="en-US" w:eastAsia="zh-CN"/>
        </w:rPr>
        <w:t>（3）野生</w:t>
      </w:r>
      <w:r>
        <w:rPr>
          <w:rFonts w:hint="eastAsia" w:ascii="Times New Roman" w:hAnsi="Times New Roman" w:cs="Times New Roman"/>
          <w:b/>
          <w:bCs/>
          <w:color w:val="auto"/>
          <w:sz w:val="24"/>
          <w:highlight w:val="none"/>
          <w:lang w:eastAsia="zh-CN"/>
        </w:rPr>
        <w:t>植物现状</w:t>
      </w:r>
      <w:r>
        <w:rPr>
          <w:rFonts w:hint="eastAsia" w:cs="Times New Roman"/>
          <w:b/>
          <w:bCs/>
          <w:color w:val="auto"/>
          <w:sz w:val="24"/>
          <w:highlight w:val="none"/>
          <w:lang w:eastAsia="zh-CN"/>
        </w:rPr>
        <w:t>调查</w:t>
      </w:r>
    </w:p>
    <w:p>
      <w:pPr>
        <w:pStyle w:val="98"/>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Times New Roman" w:hAnsi="Times New Roman" w:cs="Times New Roman"/>
          <w:b w:val="0"/>
          <w:bCs w:val="0"/>
          <w:color w:val="auto"/>
          <w:sz w:val="24"/>
          <w:highlight w:val="none"/>
          <w:lang w:eastAsia="zh-CN"/>
        </w:rPr>
        <w:t>评价区域内植被类型以暖温带落叶阔叶林</w:t>
      </w:r>
      <w:r>
        <w:rPr>
          <w:rFonts w:hint="eastAsia" w:cs="Times New Roman"/>
          <w:b w:val="0"/>
          <w:bCs w:val="0"/>
          <w:color w:val="auto"/>
          <w:sz w:val="24"/>
          <w:highlight w:val="none"/>
          <w:lang w:eastAsia="zh-CN"/>
        </w:rPr>
        <w:t>、灌草丛</w:t>
      </w:r>
      <w:r>
        <w:rPr>
          <w:rFonts w:hint="eastAsia" w:ascii="Times New Roman" w:hAnsi="Times New Roman" w:cs="Times New Roman"/>
          <w:b w:val="0"/>
          <w:bCs w:val="0"/>
          <w:color w:val="auto"/>
          <w:sz w:val="24"/>
          <w:highlight w:val="none"/>
          <w:lang w:eastAsia="zh-CN"/>
        </w:rPr>
        <w:t>为主，区域内植被状况较好，植被覆盖率</w:t>
      </w:r>
      <w:r>
        <w:rPr>
          <w:rFonts w:hint="eastAsia" w:ascii="Times New Roman" w:hAnsi="Times New Roman" w:cs="Times New Roman"/>
          <w:b w:val="0"/>
          <w:bCs w:val="0"/>
          <w:color w:val="auto"/>
          <w:sz w:val="24"/>
          <w:highlight w:val="none"/>
          <w:lang w:val="en-US" w:eastAsia="zh-CN"/>
        </w:rPr>
        <w:t>4</w:t>
      </w:r>
      <w:r>
        <w:rPr>
          <w:rFonts w:hint="eastAsia" w:ascii="Times New Roman" w:hAnsi="Times New Roman" w:cs="Times New Roman"/>
          <w:b w:val="0"/>
          <w:bCs w:val="0"/>
          <w:color w:val="auto"/>
          <w:sz w:val="24"/>
          <w:highlight w:val="none"/>
          <w:lang w:eastAsia="zh-CN"/>
        </w:rPr>
        <w:t>0%以上，包括乔木、灌木和</w:t>
      </w:r>
      <w:r>
        <w:rPr>
          <w:rFonts w:hint="eastAsia" w:cs="Times New Roman"/>
          <w:b w:val="0"/>
          <w:bCs w:val="0"/>
          <w:color w:val="auto"/>
          <w:sz w:val="24"/>
          <w:highlight w:val="none"/>
          <w:lang w:val="en-US" w:eastAsia="zh-CN"/>
        </w:rPr>
        <w:t>草本</w:t>
      </w:r>
      <w:r>
        <w:rPr>
          <w:rFonts w:hint="eastAsia" w:ascii="Times New Roman" w:hAnsi="Times New Roman" w:cs="Times New Roman"/>
          <w:b w:val="0"/>
          <w:bCs w:val="0"/>
          <w:color w:val="auto"/>
          <w:sz w:val="24"/>
          <w:highlight w:val="none"/>
          <w:lang w:val="en-US" w:eastAsia="zh-CN"/>
        </w:rPr>
        <w:t>3</w:t>
      </w:r>
      <w:r>
        <w:rPr>
          <w:rFonts w:hint="eastAsia" w:ascii="Times New Roman" w:hAnsi="Times New Roman" w:cs="Times New Roman"/>
          <w:b w:val="0"/>
          <w:bCs w:val="0"/>
          <w:color w:val="auto"/>
          <w:sz w:val="24"/>
          <w:highlight w:val="none"/>
          <w:lang w:eastAsia="zh-CN"/>
        </w:rPr>
        <w:t>类。</w:t>
      </w:r>
      <w:r>
        <w:rPr>
          <w:rFonts w:hint="default" w:ascii="Times New Roman" w:hAnsi="Times New Roman" w:cs="Times New Roman"/>
          <w:color w:val="auto"/>
          <w:sz w:val="24"/>
          <w:highlight w:val="none"/>
        </w:rPr>
        <w:t>乔木树种有杨树、枣树、槐树、山楂树等，灌丛主要种类包括荆条、绣线菊、胡枝子、锦鸡儿等</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草本植物有狗尾草、野燕麦、葎草、针茅、野艾蒿、茵陈蒿等</w:t>
      </w:r>
      <w:r>
        <w:rPr>
          <w:rFonts w:hint="eastAsia" w:cs="Times New Roman"/>
          <w:color w:val="auto"/>
          <w:sz w:val="24"/>
          <w:highlight w:val="none"/>
          <w:lang w:eastAsia="zh-CN"/>
        </w:rPr>
        <w:t>。</w:t>
      </w:r>
    </w:p>
    <w:p>
      <w:pPr>
        <w:pStyle w:val="7"/>
        <w:bidi w:val="0"/>
        <w:rPr>
          <w:rFonts w:hint="default" w:ascii="Times New Roman" w:hAnsi="Times New Roman" w:eastAsia="宋体" w:cs="Times New Roman"/>
          <w:b/>
          <w:bCs/>
          <w:color w:val="auto"/>
          <w:sz w:val="24"/>
          <w:highlight w:val="none"/>
          <w:lang w:val="en-US" w:eastAsia="zh-CN"/>
        </w:rPr>
      </w:pPr>
      <w:r>
        <w:rPr>
          <w:rFonts w:hint="eastAsia"/>
          <w:color w:val="auto"/>
          <w:highlight w:val="none"/>
          <w:lang w:val="en-US" w:eastAsia="zh-CN"/>
        </w:rPr>
        <w:t>4.3.7.2</w:t>
      </w:r>
      <w:r>
        <w:rPr>
          <w:rFonts w:hint="eastAsia" w:cs="Times New Roman"/>
          <w:b/>
          <w:bCs/>
          <w:color w:val="auto"/>
          <w:sz w:val="24"/>
          <w:highlight w:val="none"/>
          <w:lang w:val="en-US" w:eastAsia="zh-CN"/>
        </w:rPr>
        <w:t>水生生态现状</w:t>
      </w:r>
      <w:r>
        <w:rPr>
          <w:rFonts w:hint="eastAsia" w:ascii="Times New Roman" w:hAnsi="Times New Roman" w:cs="Times New Roman"/>
          <w:b/>
          <w:bCs/>
          <w:color w:val="auto"/>
          <w:sz w:val="24"/>
          <w:highlight w:val="none"/>
          <w:lang w:val="en-US" w:eastAsia="zh-CN"/>
        </w:rPr>
        <w:t>调查与评价</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）调查时间与范围</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本次评价于</w:t>
      </w:r>
      <w:r>
        <w:rPr>
          <w:rFonts w:hint="default" w:ascii="Times New Roman" w:hAnsi="Times New Roman" w:eastAsia="宋体" w:cs="Times New Roman"/>
          <w:color w:val="auto"/>
          <w:kern w:val="0"/>
          <w:sz w:val="24"/>
          <w:szCs w:val="24"/>
          <w:lang w:val="en-US" w:eastAsia="zh-CN" w:bidi="ar"/>
        </w:rPr>
        <w:t>2022年8月25日至27日</w:t>
      </w:r>
      <w:r>
        <w:rPr>
          <w:rFonts w:hint="eastAsia" w:ascii="宋体" w:hAnsi="宋体" w:eastAsia="宋体" w:cs="宋体"/>
          <w:color w:val="auto"/>
          <w:kern w:val="0"/>
          <w:sz w:val="24"/>
          <w:szCs w:val="24"/>
          <w:lang w:val="en-US" w:eastAsia="zh-CN" w:bidi="ar"/>
        </w:rPr>
        <w:t>（丰水期）对柳河水生生态现状进行调查。</w:t>
      </w:r>
    </w:p>
    <w:p>
      <w:pPr>
        <w:pStyle w:val="98"/>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（2）调查内容及方法</w:t>
      </w:r>
    </w:p>
    <w:p>
      <w:pPr>
        <w:pStyle w:val="98"/>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调查评价河段水生生境、鱼类种类组成与分布、鱼类资源现状、主要鱼类食性、繁殖特性、生长特性和重要鱼类生境。</w:t>
      </w:r>
    </w:p>
    <w:p>
      <w:pPr>
        <w:pStyle w:val="98"/>
        <w:spacing w:line="360" w:lineRule="auto"/>
        <w:ind w:firstLine="480" w:firstLineChars="200"/>
        <w:jc w:val="both"/>
        <w:rPr>
          <w:rFonts w:hint="eastAsia" w:cs="Times New Roman"/>
          <w:color w:val="auto"/>
          <w:sz w:val="24"/>
          <w:highlight w:val="none"/>
          <w:lang w:val="en-US" w:eastAsia="zh-CN"/>
        </w:rPr>
      </w:pPr>
      <w:r>
        <w:rPr>
          <w:rFonts w:hint="eastAsia" w:cs="Times New Roman"/>
          <w:color w:val="auto"/>
          <w:sz w:val="24"/>
          <w:highlight w:val="none"/>
          <w:lang w:val="en-US" w:eastAsia="zh-CN"/>
        </w:rPr>
        <w:t>鱼类采用渔获物调查、市场补充调查等方法。根据采样点实际的生态环境和地理位置情况，主要采用以下不同的鱼类采集方法：</w:t>
      </w:r>
    </w:p>
    <w:p>
      <w:pPr>
        <w:pStyle w:val="98"/>
        <w:spacing w:line="360" w:lineRule="auto"/>
        <w:ind w:firstLine="480" w:firstLineChars="200"/>
        <w:jc w:val="both"/>
        <w:rPr>
          <w:rFonts w:hint="eastAsia" w:cs="Times New Roman"/>
          <w:color w:val="auto"/>
          <w:sz w:val="24"/>
          <w:highlight w:val="none"/>
          <w:lang w:val="en-US" w:eastAsia="zh-CN"/>
        </w:rPr>
      </w:pPr>
      <w:r>
        <w:rPr>
          <w:rFonts w:hint="eastAsia" w:cs="Times New Roman"/>
          <w:color w:val="auto"/>
          <w:sz w:val="24"/>
          <w:highlight w:val="none"/>
          <w:lang w:val="en-US" w:eastAsia="zh-CN"/>
        </w:rPr>
        <w:t>在有垂钓爱好者捕鱼的区域，连续多次跟踪调查捕获的渔获物，包括渔具渔法、渔获时间、渔获量、种类组成、个体大小等。</w:t>
      </w:r>
    </w:p>
    <w:p>
      <w:pPr>
        <w:pStyle w:val="98"/>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（3）调查结果</w:t>
      </w:r>
    </w:p>
    <w:p>
      <w:pPr>
        <w:pStyle w:val="98"/>
        <w:spacing w:line="360" w:lineRule="auto"/>
        <w:ind w:firstLine="480" w:firstLineChars="200"/>
        <w:jc w:val="both"/>
        <w:rPr>
          <w:rFonts w:hint="eastAsia" w:cs="Times New Roman"/>
          <w:color w:val="auto"/>
          <w:sz w:val="24"/>
          <w:highlight w:val="none"/>
          <w:lang w:val="en-US" w:eastAsia="zh-CN"/>
        </w:rPr>
      </w:pPr>
      <w:r>
        <w:rPr>
          <w:rFonts w:hint="eastAsia" w:cs="Times New Roman"/>
          <w:color w:val="auto"/>
          <w:sz w:val="24"/>
          <w:highlight w:val="none"/>
          <w:lang w:val="en-US" w:eastAsia="zh-CN"/>
        </w:rPr>
        <w:t>①水生生境</w:t>
      </w:r>
    </w:p>
    <w:p>
      <w:pPr>
        <w:pStyle w:val="98"/>
        <w:spacing w:line="360" w:lineRule="auto"/>
        <w:ind w:firstLine="480" w:firstLineChars="200"/>
        <w:jc w:val="both"/>
        <w:rPr>
          <w:rFonts w:hint="eastAsia" w:cs="Times New Roman"/>
          <w:color w:val="auto"/>
          <w:sz w:val="24"/>
          <w:highlight w:val="none"/>
          <w:lang w:val="en-US" w:eastAsia="zh-CN"/>
        </w:rPr>
      </w:pPr>
      <w:r>
        <w:rPr>
          <w:rFonts w:hint="eastAsia" w:cs="Times New Roman"/>
          <w:color w:val="auto"/>
          <w:sz w:val="24"/>
          <w:highlight w:val="none"/>
          <w:lang w:val="en-US" w:eastAsia="zh-CN"/>
        </w:rPr>
        <w:t>8月下旬，柳河河段处于丰水期，柳河主要受上游来水和雨水补给影响，评价区域内水位变化比较明显，总体来说比降、流速较缓，流态平稳；河流含沙量较小，底质含沙量底，输沙量小。根据相关数据显示，施工河段河水pH变化幅度在7.57~8.43之间，与一般清洁地表水变化幅度相同；8月份月平均水温约为20.4</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，昼夜水温温差较为显著；水溶解氧浓度为7.84~8.65mg/L。</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6"/>
        <w:gridCol w:w="4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trPr>
        <w:tc>
          <w:tcPr>
            <w:tcW w:w="4416" w:type="dxa"/>
          </w:tcPr>
          <w:p>
            <w:pPr>
              <w:pStyle w:val="9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Times New Roman" w:hAnsi="Times New Roman" w:eastAsia="宋体" w:cs="Times New Roman"/>
                <w:color w:val="auto"/>
                <w:sz w:val="24"/>
                <w:szCs w:val="20"/>
                <w:highlight w:val="none"/>
                <w:vertAlign w:val="baseline"/>
                <w:lang w:val="en-US" w:eastAsia="zh-CN"/>
              </w:rPr>
            </w:pPr>
            <w:r>
              <w:rPr>
                <w:rFonts w:hint="eastAsia" w:ascii="Times New Roman" w:hAnsi="Times New Roman" w:eastAsia="宋体" w:cs="Times New Roman"/>
                <w:color w:val="auto"/>
                <w:sz w:val="24"/>
                <w:szCs w:val="20"/>
                <w:highlight w:val="none"/>
                <w:vertAlign w:val="baseline"/>
                <w:lang w:val="en-US" w:eastAsia="zh-CN"/>
              </w:rPr>
              <w:drawing>
                <wp:inline distT="0" distB="0" distL="114300" distR="114300">
                  <wp:extent cx="2665095" cy="1943735"/>
                  <wp:effectExtent l="0" t="0" r="1905" b="18415"/>
                  <wp:docPr id="27" name="图片 27" descr="c62f9f8718b93dc6f12fd5c91a82b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62f9f8718b93dc6f12fd5c91a82b0b4"/>
                          <pic:cNvPicPr>
                            <a:picLocks noChangeAspect="1"/>
                          </pic:cNvPicPr>
                        </pic:nvPicPr>
                        <pic:blipFill>
                          <a:blip r:embed="rId45"/>
                          <a:stretch>
                            <a:fillRect/>
                          </a:stretch>
                        </pic:blipFill>
                        <pic:spPr>
                          <a:xfrm>
                            <a:off x="0" y="0"/>
                            <a:ext cx="2665095" cy="1943735"/>
                          </a:xfrm>
                          <a:prstGeom prst="rect">
                            <a:avLst/>
                          </a:prstGeom>
                        </pic:spPr>
                      </pic:pic>
                    </a:graphicData>
                  </a:graphic>
                </wp:inline>
              </w:drawing>
            </w:r>
          </w:p>
        </w:tc>
        <w:tc>
          <w:tcPr>
            <w:tcW w:w="4198" w:type="dxa"/>
          </w:tcPr>
          <w:p>
            <w:pPr>
              <w:pStyle w:val="9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Times New Roman" w:hAnsi="Times New Roman" w:eastAsia="宋体" w:cs="Times New Roman"/>
                <w:color w:val="auto"/>
                <w:sz w:val="24"/>
                <w:szCs w:val="20"/>
                <w:highlight w:val="none"/>
                <w:vertAlign w:val="baseline"/>
                <w:lang w:val="en-US" w:eastAsia="zh-CN"/>
              </w:rPr>
            </w:pPr>
            <w:r>
              <w:rPr>
                <w:rFonts w:hint="eastAsia" w:ascii="Times New Roman" w:hAnsi="Times New Roman" w:eastAsia="宋体" w:cs="Times New Roman"/>
                <w:color w:val="auto"/>
                <w:sz w:val="24"/>
                <w:szCs w:val="20"/>
                <w:highlight w:val="none"/>
                <w:vertAlign w:val="baseline"/>
                <w:lang w:val="en-US" w:eastAsia="zh-CN"/>
              </w:rPr>
              <w:drawing>
                <wp:inline distT="0" distB="0" distL="114300" distR="114300">
                  <wp:extent cx="2520315" cy="1943735"/>
                  <wp:effectExtent l="0" t="0" r="13335" b="18415"/>
                  <wp:docPr id="29" name="图片 29" descr="b33a278118e8d6f0ddb238754d1fd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33a278118e8d6f0ddb238754d1fd5b6"/>
                          <pic:cNvPicPr>
                            <a:picLocks noChangeAspect="1"/>
                          </pic:cNvPicPr>
                        </pic:nvPicPr>
                        <pic:blipFill>
                          <a:blip r:embed="rId46"/>
                          <a:stretch>
                            <a:fillRect/>
                          </a:stretch>
                        </pic:blipFill>
                        <pic:spPr>
                          <a:xfrm>
                            <a:off x="0" y="0"/>
                            <a:ext cx="2520315" cy="1943735"/>
                          </a:xfrm>
                          <a:prstGeom prst="rect">
                            <a:avLst/>
                          </a:prstGeom>
                        </pic:spPr>
                      </pic:pic>
                    </a:graphicData>
                  </a:graphic>
                </wp:inline>
              </w:drawing>
            </w:r>
          </w:p>
        </w:tc>
      </w:tr>
    </w:tbl>
    <w:p>
      <w:pPr>
        <w:pStyle w:val="98"/>
        <w:spacing w:line="360" w:lineRule="auto"/>
        <w:ind w:firstLine="480" w:firstLineChars="200"/>
        <w:jc w:val="both"/>
        <w:rPr>
          <w:rFonts w:hint="eastAsia" w:cs="Times New Roman"/>
          <w:color w:val="auto"/>
          <w:sz w:val="24"/>
          <w:highlight w:val="none"/>
          <w:lang w:val="en-US" w:eastAsia="zh-CN"/>
        </w:rPr>
      </w:pPr>
      <w:r>
        <w:rPr>
          <w:rFonts w:hint="eastAsia" w:cs="Times New Roman"/>
          <w:color w:val="auto"/>
          <w:sz w:val="24"/>
          <w:highlight w:val="none"/>
          <w:lang w:val="en-US" w:eastAsia="zh-CN"/>
        </w:rPr>
        <w:t>②鱼类资源现状</w:t>
      </w:r>
    </w:p>
    <w:p>
      <w:pPr>
        <w:pStyle w:val="98"/>
        <w:spacing w:line="360" w:lineRule="auto"/>
        <w:ind w:firstLine="480" w:firstLineChars="200"/>
        <w:jc w:val="both"/>
        <w:rPr>
          <w:rFonts w:hint="eastAsia" w:cs="Times New Roman"/>
          <w:color w:val="auto"/>
          <w:sz w:val="24"/>
          <w:highlight w:val="none"/>
          <w:lang w:val="en-US" w:eastAsia="zh-CN"/>
        </w:rPr>
      </w:pPr>
      <w:r>
        <w:rPr>
          <w:rFonts w:hint="eastAsia" w:cs="Times New Roman"/>
          <w:color w:val="auto"/>
          <w:sz w:val="24"/>
          <w:highlight w:val="none"/>
          <w:lang w:val="en-US" w:eastAsia="zh-CN"/>
        </w:rPr>
        <w:t>本次调查共采集鱼类约100余尾，隶属于4科10属。其中，以鲤科鱼类为主，包括9属9种；其次为鳅科，分别包括3属3种。优势种为鲫、鲤，广布种为鲫、北方须鳅等。</w:t>
      </w:r>
    </w:p>
    <w:p>
      <w:pPr>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jc w:val="center"/>
        <w:textAlignment w:val="auto"/>
        <w:outlineLvl w:val="9"/>
        <w:rPr>
          <w:rFonts w:hint="default" w:cs="Times New Roman"/>
          <w:b/>
          <w:color w:val="auto"/>
          <w:sz w:val="21"/>
          <w:szCs w:val="21"/>
          <w:highlight w:val="none"/>
          <w:lang w:val="en-US" w:eastAsia="zh-CN"/>
        </w:rPr>
      </w:pPr>
      <w:r>
        <w:rPr>
          <w:rFonts w:hint="default" w:cs="Times New Roman"/>
          <w:b/>
          <w:color w:val="auto"/>
          <w:sz w:val="21"/>
          <w:szCs w:val="21"/>
          <w:highlight w:val="none"/>
          <w:lang w:val="en-US" w:eastAsia="zh-CN"/>
        </w:rPr>
        <w:t>表</w:t>
      </w:r>
      <w:r>
        <w:rPr>
          <w:rFonts w:hint="eastAsia" w:ascii="Times New Roman" w:hAnsi="Times New Roman" w:eastAsia="宋体" w:cs="Times New Roman"/>
          <w:b/>
          <w:bCs/>
          <w:color w:val="auto"/>
          <w:spacing w:val="7"/>
          <w:sz w:val="21"/>
          <w:szCs w:val="21"/>
          <w:lang w:val="en-US" w:eastAsia="zh-CN"/>
        </w:rPr>
        <w:t>4.3-10</w:t>
      </w:r>
      <w:r>
        <w:rPr>
          <w:rFonts w:hint="default" w:ascii="Times New Roman" w:hAnsi="Times New Roman" w:eastAsia="宋体" w:cs="Times New Roman"/>
          <w:color w:val="auto"/>
          <w:spacing w:val="7"/>
          <w:sz w:val="21"/>
          <w:szCs w:val="21"/>
        </w:rPr>
        <w:t xml:space="preserve">  </w:t>
      </w:r>
      <w:r>
        <w:rPr>
          <w:rFonts w:hint="eastAsia" w:cs="Times New Roman"/>
          <w:b/>
          <w:color w:val="auto"/>
          <w:sz w:val="21"/>
          <w:szCs w:val="21"/>
          <w:highlight w:val="none"/>
          <w:lang w:val="en-US" w:eastAsia="zh-CN"/>
        </w:rPr>
        <w:t>柳河主要鱼类组成名录信息表</w:t>
      </w:r>
    </w:p>
    <w:p>
      <w:pPr>
        <w:spacing w:line="122" w:lineRule="auto"/>
        <w:rPr>
          <w:rFonts w:ascii="Arial"/>
          <w:color w:val="auto"/>
          <w:sz w:val="2"/>
        </w:rPr>
      </w:pPr>
    </w:p>
    <w:tbl>
      <w:tblPr>
        <w:tblStyle w:val="151"/>
        <w:tblW w:w="8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4"/>
        <w:gridCol w:w="1219"/>
        <w:gridCol w:w="1515"/>
        <w:gridCol w:w="1789"/>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5"/>
                <w:sz w:val="21"/>
                <w:szCs w:val="21"/>
              </w:rPr>
              <w:t>序号</w:t>
            </w:r>
          </w:p>
        </w:tc>
        <w:tc>
          <w:tcPr>
            <w:tcW w:w="12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科</w:t>
            </w:r>
          </w:p>
        </w:tc>
        <w:tc>
          <w:tcPr>
            <w:tcW w:w="15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属</w:t>
            </w:r>
          </w:p>
        </w:tc>
        <w:tc>
          <w:tcPr>
            <w:tcW w:w="178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种</w:t>
            </w:r>
          </w:p>
        </w:tc>
        <w:tc>
          <w:tcPr>
            <w:tcW w:w="2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学</w:t>
            </w:r>
            <w:r>
              <w:rPr>
                <w:rFonts w:hint="default" w:ascii="Times New Roman" w:hAnsi="Times New Roman" w:eastAsia="宋体" w:cs="Times New Roman"/>
                <w:b/>
                <w:bCs/>
                <w:color w:val="auto"/>
                <w:spacing w:val="2"/>
                <w:sz w:val="21"/>
                <w:szCs w:val="21"/>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1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鲤科</w:t>
            </w:r>
          </w:p>
        </w:tc>
        <w:tc>
          <w:tcPr>
            <w:tcW w:w="15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鲫</w:t>
            </w:r>
            <w:r>
              <w:rPr>
                <w:rFonts w:hint="default" w:ascii="Times New Roman" w:hAnsi="Times New Roman" w:eastAsia="宋体" w:cs="Times New Roman"/>
                <w:color w:val="auto"/>
                <w:spacing w:val="4"/>
                <w:sz w:val="21"/>
                <w:szCs w:val="21"/>
              </w:rPr>
              <w:t>属</w:t>
            </w:r>
          </w:p>
        </w:tc>
        <w:tc>
          <w:tcPr>
            <w:tcW w:w="178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鲫</w:t>
            </w:r>
          </w:p>
        </w:tc>
        <w:tc>
          <w:tcPr>
            <w:tcW w:w="2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2"/>
                <w:sz w:val="21"/>
                <w:szCs w:val="21"/>
              </w:rPr>
              <w:t>Carassius</w:t>
            </w:r>
            <w:r>
              <w:rPr>
                <w:rFonts w:hint="default" w:ascii="Times New Roman" w:hAnsi="Times New Roman" w:eastAsia="宋体" w:cs="Times New Roman"/>
                <w:color w:val="auto"/>
                <w:spacing w:val="60"/>
                <w:position w:val="2"/>
                <w:sz w:val="21"/>
                <w:szCs w:val="21"/>
              </w:rPr>
              <w:t xml:space="preserve"> </w:t>
            </w:r>
            <w:r>
              <w:rPr>
                <w:rFonts w:hint="default" w:ascii="Times New Roman" w:hAnsi="Times New Roman" w:eastAsia="宋体" w:cs="Times New Roman"/>
                <w:i/>
                <w:iCs/>
                <w:color w:val="auto"/>
                <w:position w:val="2"/>
                <w:sz w:val="21"/>
                <w:szCs w:val="21"/>
              </w:rPr>
              <w:t>auratus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5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鲤属</w:t>
            </w:r>
          </w:p>
        </w:tc>
        <w:tc>
          <w:tcPr>
            <w:tcW w:w="178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鲤</w:t>
            </w:r>
          </w:p>
        </w:tc>
        <w:tc>
          <w:tcPr>
            <w:tcW w:w="2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4"/>
                <w:sz w:val="21"/>
                <w:szCs w:val="21"/>
              </w:rPr>
              <w:t>Cyprinus</w:t>
            </w:r>
            <w:r>
              <w:rPr>
                <w:rFonts w:hint="default" w:ascii="Times New Roman" w:hAnsi="Times New Roman" w:eastAsia="宋体" w:cs="Times New Roman"/>
                <w:color w:val="auto"/>
                <w:spacing w:val="52"/>
                <w:position w:val="4"/>
                <w:sz w:val="21"/>
                <w:szCs w:val="21"/>
              </w:rPr>
              <w:t xml:space="preserve"> </w:t>
            </w:r>
            <w:r>
              <w:rPr>
                <w:rFonts w:hint="default" w:ascii="Times New Roman" w:hAnsi="Times New Roman" w:eastAsia="宋体" w:cs="Times New Roman"/>
                <w:i/>
                <w:iCs/>
                <w:color w:val="auto"/>
                <w:position w:val="4"/>
                <w:sz w:val="21"/>
                <w:szCs w:val="21"/>
              </w:rPr>
              <w:t>carpio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12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5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鱲</w:t>
            </w:r>
            <w:r>
              <w:rPr>
                <w:rFonts w:hint="default" w:ascii="Times New Roman" w:hAnsi="Times New Roman" w:eastAsia="宋体" w:cs="Times New Roman"/>
                <w:color w:val="auto"/>
                <w:spacing w:val="4"/>
                <w:sz w:val="21"/>
                <w:szCs w:val="21"/>
              </w:rPr>
              <w:t>属</w:t>
            </w:r>
          </w:p>
        </w:tc>
        <w:tc>
          <w:tcPr>
            <w:tcW w:w="178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宽</w:t>
            </w:r>
            <w:r>
              <w:rPr>
                <w:rFonts w:hint="default" w:ascii="Times New Roman" w:hAnsi="Times New Roman" w:eastAsia="宋体" w:cs="Times New Roman"/>
                <w:color w:val="auto"/>
                <w:spacing w:val="3"/>
                <w:sz w:val="21"/>
                <w:szCs w:val="21"/>
              </w:rPr>
              <w:t>鳍鱲</w:t>
            </w:r>
          </w:p>
        </w:tc>
        <w:tc>
          <w:tcPr>
            <w:tcW w:w="2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3"/>
                <w:sz w:val="21"/>
                <w:szCs w:val="21"/>
              </w:rPr>
              <w:t>Zacco</w:t>
            </w:r>
            <w:r>
              <w:rPr>
                <w:rFonts w:hint="default" w:ascii="Times New Roman" w:hAnsi="Times New Roman" w:eastAsia="宋体" w:cs="Times New Roman"/>
                <w:color w:val="auto"/>
                <w:spacing w:val="60"/>
                <w:position w:val="3"/>
                <w:sz w:val="21"/>
                <w:szCs w:val="21"/>
              </w:rPr>
              <w:t xml:space="preserve"> </w:t>
            </w:r>
            <w:r>
              <w:rPr>
                <w:rFonts w:hint="default" w:ascii="Times New Roman" w:hAnsi="Times New Roman" w:eastAsia="宋体" w:cs="Times New Roman"/>
                <w:i/>
                <w:iCs/>
                <w:color w:val="auto"/>
                <w:position w:val="3"/>
                <w:sz w:val="21"/>
                <w:szCs w:val="21"/>
              </w:rPr>
              <w:t>platypus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12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5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鱥属</w:t>
            </w:r>
          </w:p>
        </w:tc>
        <w:tc>
          <w:tcPr>
            <w:tcW w:w="178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拉</w:t>
            </w:r>
            <w:r>
              <w:rPr>
                <w:rFonts w:hint="default" w:ascii="Times New Roman" w:hAnsi="Times New Roman" w:eastAsia="宋体" w:cs="Times New Roman"/>
                <w:color w:val="auto"/>
                <w:spacing w:val="6"/>
                <w:sz w:val="21"/>
                <w:szCs w:val="21"/>
              </w:rPr>
              <w:t>氏鱥</w:t>
            </w:r>
          </w:p>
        </w:tc>
        <w:tc>
          <w:tcPr>
            <w:tcW w:w="2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3"/>
                <w:sz w:val="21"/>
                <w:szCs w:val="21"/>
              </w:rPr>
              <w:t>Phoxinus</w:t>
            </w:r>
            <w:r>
              <w:rPr>
                <w:rFonts w:hint="default" w:ascii="Times New Roman" w:hAnsi="Times New Roman" w:eastAsia="宋体" w:cs="Times New Roman"/>
                <w:color w:val="auto"/>
                <w:spacing w:val="83"/>
                <w:position w:val="3"/>
                <w:sz w:val="21"/>
                <w:szCs w:val="21"/>
              </w:rPr>
              <w:t xml:space="preserve"> </w:t>
            </w:r>
            <w:r>
              <w:rPr>
                <w:rFonts w:hint="default" w:ascii="Times New Roman" w:hAnsi="Times New Roman" w:eastAsia="宋体" w:cs="Times New Roman"/>
                <w:i/>
                <w:iCs/>
                <w:color w:val="auto"/>
                <w:position w:val="3"/>
                <w:sz w:val="21"/>
                <w:szCs w:val="21"/>
              </w:rPr>
              <w:t>lagowskii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12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5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鱊</w:t>
            </w:r>
            <w:r>
              <w:rPr>
                <w:rFonts w:hint="default" w:ascii="Times New Roman" w:hAnsi="Times New Roman" w:eastAsia="宋体" w:cs="Times New Roman"/>
                <w:color w:val="auto"/>
                <w:spacing w:val="5"/>
                <w:sz w:val="21"/>
                <w:szCs w:val="21"/>
              </w:rPr>
              <w:t>属</w:t>
            </w:r>
          </w:p>
        </w:tc>
        <w:tc>
          <w:tcPr>
            <w:tcW w:w="178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大鳍鱊</w:t>
            </w:r>
          </w:p>
        </w:tc>
        <w:tc>
          <w:tcPr>
            <w:tcW w:w="2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3"/>
                <w:sz w:val="21"/>
                <w:szCs w:val="21"/>
              </w:rPr>
              <w:t>Acheilognathus</w:t>
            </w:r>
            <w:r>
              <w:rPr>
                <w:rFonts w:hint="default" w:ascii="Times New Roman" w:hAnsi="Times New Roman" w:eastAsia="宋体" w:cs="Times New Roman"/>
                <w:color w:val="auto"/>
                <w:spacing w:val="118"/>
                <w:position w:val="3"/>
                <w:sz w:val="21"/>
                <w:szCs w:val="21"/>
              </w:rPr>
              <w:t xml:space="preserve"> </w:t>
            </w:r>
            <w:r>
              <w:rPr>
                <w:rFonts w:hint="default" w:ascii="Times New Roman" w:hAnsi="Times New Roman" w:eastAsia="宋体" w:cs="Times New Roman"/>
                <w:i/>
                <w:iCs/>
                <w:color w:val="auto"/>
                <w:position w:val="3"/>
                <w:sz w:val="21"/>
                <w:szCs w:val="21"/>
              </w:rPr>
              <w:t>macropterus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pacing w:val="-8"/>
                <w:sz w:val="21"/>
                <w:szCs w:val="21"/>
                <w:lang w:val="en-US" w:eastAsia="zh-CN"/>
              </w:rPr>
              <w:t>6</w:t>
            </w:r>
          </w:p>
        </w:tc>
        <w:tc>
          <w:tcPr>
            <w:tcW w:w="121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鳅科</w:t>
            </w:r>
          </w:p>
        </w:tc>
        <w:tc>
          <w:tcPr>
            <w:tcW w:w="15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泥</w:t>
            </w:r>
            <w:r>
              <w:rPr>
                <w:rFonts w:hint="default" w:ascii="Times New Roman" w:hAnsi="Times New Roman" w:eastAsia="宋体" w:cs="Times New Roman"/>
                <w:color w:val="auto"/>
                <w:spacing w:val="6"/>
                <w:sz w:val="21"/>
                <w:szCs w:val="21"/>
              </w:rPr>
              <w:t>鳅属</w:t>
            </w:r>
          </w:p>
        </w:tc>
        <w:tc>
          <w:tcPr>
            <w:tcW w:w="178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泥</w:t>
            </w:r>
            <w:r>
              <w:rPr>
                <w:rFonts w:hint="default" w:ascii="Times New Roman" w:hAnsi="Times New Roman" w:eastAsia="宋体" w:cs="Times New Roman"/>
                <w:color w:val="auto"/>
                <w:spacing w:val="3"/>
                <w:sz w:val="21"/>
                <w:szCs w:val="21"/>
              </w:rPr>
              <w:t>鳅</w:t>
            </w:r>
          </w:p>
        </w:tc>
        <w:tc>
          <w:tcPr>
            <w:tcW w:w="2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position w:val="3"/>
                <w:sz w:val="21"/>
                <w:szCs w:val="21"/>
              </w:rPr>
              <w:t>Misgurnus</w:t>
            </w:r>
            <w:r>
              <w:rPr>
                <w:rFonts w:hint="default" w:ascii="Times New Roman" w:hAnsi="Times New Roman" w:eastAsia="宋体" w:cs="Times New Roman"/>
                <w:color w:val="auto"/>
                <w:spacing w:val="117"/>
                <w:position w:val="3"/>
                <w:sz w:val="21"/>
                <w:szCs w:val="21"/>
              </w:rPr>
              <w:t xml:space="preserve"> </w:t>
            </w:r>
            <w:r>
              <w:rPr>
                <w:rFonts w:hint="default" w:ascii="Times New Roman" w:hAnsi="Times New Roman" w:eastAsia="宋体" w:cs="Times New Roman"/>
                <w:i/>
                <w:iCs/>
                <w:color w:val="auto"/>
                <w:position w:val="3"/>
                <w:sz w:val="21"/>
                <w:szCs w:val="21"/>
              </w:rPr>
              <w:t>anguillicaudatus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7</w:t>
            </w:r>
          </w:p>
        </w:tc>
        <w:tc>
          <w:tcPr>
            <w:tcW w:w="12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5"/>
                <w:sz w:val="21"/>
                <w:szCs w:val="21"/>
              </w:rPr>
            </w:pPr>
          </w:p>
        </w:tc>
        <w:tc>
          <w:tcPr>
            <w:tcW w:w="15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7"/>
                <w:sz w:val="21"/>
                <w:szCs w:val="21"/>
              </w:rPr>
            </w:pPr>
            <w:r>
              <w:rPr>
                <w:rFonts w:ascii="宋体" w:hAnsi="宋体" w:eastAsia="宋体" w:cs="宋体"/>
                <w:color w:val="auto"/>
                <w:spacing w:val="6"/>
                <w:sz w:val="20"/>
                <w:szCs w:val="20"/>
              </w:rPr>
              <w:t>须鳅</w:t>
            </w:r>
            <w:r>
              <w:rPr>
                <w:rFonts w:ascii="宋体" w:hAnsi="宋体" w:eastAsia="宋体" w:cs="宋体"/>
                <w:color w:val="auto"/>
                <w:spacing w:val="5"/>
                <w:sz w:val="20"/>
                <w:szCs w:val="20"/>
              </w:rPr>
              <w:t>属</w:t>
            </w:r>
          </w:p>
        </w:tc>
        <w:tc>
          <w:tcPr>
            <w:tcW w:w="178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4"/>
                <w:sz w:val="21"/>
                <w:szCs w:val="21"/>
              </w:rPr>
            </w:pPr>
            <w:r>
              <w:rPr>
                <w:rFonts w:ascii="宋体" w:hAnsi="宋体" w:eastAsia="宋体" w:cs="宋体"/>
                <w:color w:val="auto"/>
                <w:spacing w:val="8"/>
                <w:sz w:val="20"/>
                <w:szCs w:val="20"/>
              </w:rPr>
              <w:t>北</w:t>
            </w:r>
            <w:r>
              <w:rPr>
                <w:rFonts w:ascii="宋体" w:hAnsi="宋体" w:eastAsia="宋体" w:cs="宋体"/>
                <w:color w:val="auto"/>
                <w:spacing w:val="6"/>
                <w:sz w:val="20"/>
                <w:szCs w:val="20"/>
              </w:rPr>
              <w:t>方须鳅</w:t>
            </w:r>
          </w:p>
        </w:tc>
        <w:tc>
          <w:tcPr>
            <w:tcW w:w="2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iCs/>
                <w:color w:val="auto"/>
                <w:position w:val="3"/>
                <w:sz w:val="21"/>
                <w:szCs w:val="21"/>
              </w:rPr>
            </w:pPr>
            <w:r>
              <w:rPr>
                <w:rFonts w:ascii="Times New Roman" w:hAnsi="Times New Roman" w:eastAsia="Times New Roman" w:cs="Times New Roman"/>
                <w:i/>
                <w:iCs/>
                <w:color w:val="auto"/>
                <w:position w:val="1"/>
                <w:sz w:val="20"/>
                <w:szCs w:val="20"/>
              </w:rPr>
              <w:t>Barbatula</w:t>
            </w:r>
            <w:r>
              <w:rPr>
                <w:rFonts w:ascii="Times New Roman" w:hAnsi="Times New Roman" w:eastAsia="Times New Roman" w:cs="Times New Roman"/>
                <w:color w:val="auto"/>
                <w:spacing w:val="72"/>
                <w:position w:val="1"/>
                <w:sz w:val="20"/>
                <w:szCs w:val="20"/>
              </w:rPr>
              <w:t xml:space="preserve"> </w:t>
            </w:r>
            <w:r>
              <w:rPr>
                <w:rFonts w:ascii="Times New Roman" w:hAnsi="Times New Roman" w:eastAsia="Times New Roman" w:cs="Times New Roman"/>
                <w:i/>
                <w:iCs/>
                <w:color w:val="auto"/>
                <w:position w:val="1"/>
                <w:sz w:val="20"/>
                <w:szCs w:val="20"/>
              </w:rPr>
              <w:t>nuda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8</w:t>
            </w:r>
          </w:p>
        </w:tc>
        <w:tc>
          <w:tcPr>
            <w:tcW w:w="12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5"/>
                <w:sz w:val="21"/>
                <w:szCs w:val="21"/>
              </w:rPr>
            </w:pPr>
          </w:p>
        </w:tc>
        <w:tc>
          <w:tcPr>
            <w:tcW w:w="15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7"/>
                <w:sz w:val="21"/>
                <w:szCs w:val="21"/>
              </w:rPr>
            </w:pPr>
            <w:r>
              <w:rPr>
                <w:rFonts w:ascii="宋体" w:hAnsi="宋体" w:eastAsia="宋体" w:cs="宋体"/>
                <w:color w:val="auto"/>
                <w:spacing w:val="6"/>
                <w:sz w:val="20"/>
                <w:szCs w:val="20"/>
              </w:rPr>
              <w:t>北鳅</w:t>
            </w:r>
            <w:r>
              <w:rPr>
                <w:rFonts w:ascii="宋体" w:hAnsi="宋体" w:eastAsia="宋体" w:cs="宋体"/>
                <w:color w:val="auto"/>
                <w:spacing w:val="5"/>
                <w:sz w:val="20"/>
                <w:szCs w:val="20"/>
              </w:rPr>
              <w:t>属</w:t>
            </w:r>
          </w:p>
        </w:tc>
        <w:tc>
          <w:tcPr>
            <w:tcW w:w="178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4"/>
                <w:sz w:val="21"/>
                <w:szCs w:val="21"/>
              </w:rPr>
            </w:pPr>
            <w:r>
              <w:rPr>
                <w:rFonts w:ascii="宋体" w:hAnsi="宋体" w:eastAsia="宋体" w:cs="宋体"/>
                <w:color w:val="auto"/>
                <w:spacing w:val="8"/>
                <w:sz w:val="20"/>
                <w:szCs w:val="20"/>
              </w:rPr>
              <w:t>纵</w:t>
            </w:r>
            <w:r>
              <w:rPr>
                <w:rFonts w:ascii="宋体" w:hAnsi="宋体" w:eastAsia="宋体" w:cs="宋体"/>
                <w:color w:val="auto"/>
                <w:spacing w:val="6"/>
                <w:sz w:val="20"/>
                <w:szCs w:val="20"/>
              </w:rPr>
              <w:t>纹北鳅</w:t>
            </w:r>
          </w:p>
        </w:tc>
        <w:tc>
          <w:tcPr>
            <w:tcW w:w="2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iCs/>
                <w:color w:val="auto"/>
                <w:position w:val="3"/>
                <w:sz w:val="21"/>
                <w:szCs w:val="21"/>
              </w:rPr>
            </w:pPr>
            <w:r>
              <w:rPr>
                <w:rFonts w:ascii="Times New Roman" w:hAnsi="Times New Roman" w:eastAsia="Times New Roman" w:cs="Times New Roman"/>
                <w:i/>
                <w:iCs/>
                <w:color w:val="auto"/>
                <w:position w:val="4"/>
                <w:sz w:val="20"/>
                <w:szCs w:val="20"/>
              </w:rPr>
              <w:t>Lefua</w:t>
            </w:r>
            <w:r>
              <w:rPr>
                <w:rFonts w:ascii="Times New Roman" w:hAnsi="Times New Roman" w:eastAsia="Times New Roman" w:cs="Times New Roman"/>
                <w:color w:val="auto"/>
                <w:spacing w:val="59"/>
                <w:position w:val="4"/>
                <w:sz w:val="20"/>
                <w:szCs w:val="20"/>
              </w:rPr>
              <w:t xml:space="preserve"> </w:t>
            </w:r>
            <w:r>
              <w:rPr>
                <w:rFonts w:ascii="Times New Roman" w:hAnsi="Times New Roman" w:eastAsia="Times New Roman" w:cs="Times New Roman"/>
                <w:i/>
                <w:iCs/>
                <w:color w:val="auto"/>
                <w:position w:val="4"/>
                <w:sz w:val="20"/>
                <w:szCs w:val="20"/>
              </w:rPr>
              <w:t>costata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9</w:t>
            </w:r>
          </w:p>
        </w:tc>
        <w:tc>
          <w:tcPr>
            <w:tcW w:w="12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5"/>
                <w:sz w:val="21"/>
                <w:szCs w:val="21"/>
              </w:rPr>
            </w:pPr>
            <w:r>
              <w:rPr>
                <w:rFonts w:ascii="宋体" w:hAnsi="宋体" w:eastAsia="宋体" w:cs="宋体"/>
                <w:color w:val="auto"/>
                <w:spacing w:val="7"/>
                <w:sz w:val="20"/>
                <w:szCs w:val="20"/>
              </w:rPr>
              <w:t>塘</w:t>
            </w:r>
            <w:r>
              <w:rPr>
                <w:rFonts w:ascii="宋体" w:hAnsi="宋体" w:eastAsia="宋体" w:cs="宋体"/>
                <w:color w:val="auto"/>
                <w:spacing w:val="6"/>
                <w:sz w:val="20"/>
                <w:szCs w:val="20"/>
              </w:rPr>
              <w:t>鳢科</w:t>
            </w:r>
          </w:p>
        </w:tc>
        <w:tc>
          <w:tcPr>
            <w:tcW w:w="15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7"/>
                <w:sz w:val="21"/>
                <w:szCs w:val="21"/>
              </w:rPr>
            </w:pPr>
            <w:r>
              <w:rPr>
                <w:rFonts w:ascii="宋体" w:hAnsi="宋体" w:eastAsia="宋体" w:cs="宋体"/>
                <w:color w:val="auto"/>
                <w:spacing w:val="7"/>
                <w:sz w:val="20"/>
                <w:szCs w:val="20"/>
              </w:rPr>
              <w:t>黄黝属</w:t>
            </w:r>
          </w:p>
        </w:tc>
        <w:tc>
          <w:tcPr>
            <w:tcW w:w="178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4"/>
                <w:sz w:val="21"/>
                <w:szCs w:val="21"/>
              </w:rPr>
            </w:pPr>
            <w:r>
              <w:rPr>
                <w:rFonts w:ascii="宋体" w:hAnsi="宋体" w:eastAsia="宋体" w:cs="宋体"/>
                <w:color w:val="auto"/>
                <w:spacing w:val="5"/>
                <w:sz w:val="20"/>
                <w:szCs w:val="20"/>
              </w:rPr>
              <w:t>黄黝</w:t>
            </w:r>
          </w:p>
        </w:tc>
        <w:tc>
          <w:tcPr>
            <w:tcW w:w="2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iCs/>
                <w:color w:val="auto"/>
                <w:position w:val="3"/>
                <w:sz w:val="21"/>
                <w:szCs w:val="21"/>
              </w:rPr>
            </w:pPr>
            <w:r>
              <w:rPr>
                <w:rFonts w:ascii="Times New Roman" w:hAnsi="Times New Roman" w:eastAsia="Times New Roman" w:cs="Times New Roman"/>
                <w:i/>
                <w:iCs/>
                <w:color w:val="auto"/>
                <w:position w:val="3"/>
                <w:sz w:val="20"/>
                <w:szCs w:val="20"/>
              </w:rPr>
              <w:t>Hypseleotris</w:t>
            </w:r>
            <w:r>
              <w:rPr>
                <w:rFonts w:ascii="Times New Roman" w:hAnsi="Times New Roman" w:eastAsia="Times New Roman" w:cs="Times New Roman"/>
                <w:color w:val="auto"/>
                <w:spacing w:val="97"/>
                <w:position w:val="3"/>
                <w:sz w:val="20"/>
                <w:szCs w:val="20"/>
              </w:rPr>
              <w:t xml:space="preserve"> </w:t>
            </w:r>
            <w:r>
              <w:rPr>
                <w:rFonts w:ascii="Times New Roman" w:hAnsi="Times New Roman" w:eastAsia="Times New Roman" w:cs="Times New Roman"/>
                <w:i/>
                <w:iCs/>
                <w:color w:val="auto"/>
                <w:position w:val="3"/>
                <w:sz w:val="20"/>
                <w:szCs w:val="20"/>
              </w:rPr>
              <w:t>swinhonis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10</w:t>
            </w:r>
          </w:p>
        </w:tc>
        <w:tc>
          <w:tcPr>
            <w:tcW w:w="12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5"/>
                <w:sz w:val="21"/>
                <w:szCs w:val="21"/>
              </w:rPr>
            </w:pPr>
            <w:r>
              <w:rPr>
                <w:rFonts w:ascii="宋体" w:hAnsi="宋体" w:eastAsia="宋体" w:cs="宋体"/>
                <w:color w:val="auto"/>
                <w:spacing w:val="7"/>
                <w:sz w:val="20"/>
                <w:szCs w:val="20"/>
              </w:rPr>
              <w:t>刺鱼科</w:t>
            </w:r>
          </w:p>
        </w:tc>
        <w:tc>
          <w:tcPr>
            <w:tcW w:w="15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7"/>
                <w:sz w:val="21"/>
                <w:szCs w:val="21"/>
              </w:rPr>
            </w:pPr>
            <w:r>
              <w:rPr>
                <w:rFonts w:ascii="宋体" w:hAnsi="宋体" w:eastAsia="宋体" w:cs="宋体"/>
                <w:color w:val="auto"/>
                <w:spacing w:val="5"/>
                <w:sz w:val="20"/>
                <w:szCs w:val="20"/>
              </w:rPr>
              <w:t>多刺鱼</w:t>
            </w:r>
            <w:r>
              <w:rPr>
                <w:rFonts w:ascii="宋体" w:hAnsi="宋体" w:eastAsia="宋体" w:cs="宋体"/>
                <w:color w:val="auto"/>
                <w:spacing w:val="4"/>
                <w:sz w:val="20"/>
                <w:szCs w:val="20"/>
              </w:rPr>
              <w:t>属</w:t>
            </w:r>
          </w:p>
        </w:tc>
        <w:tc>
          <w:tcPr>
            <w:tcW w:w="178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4"/>
                <w:sz w:val="21"/>
                <w:szCs w:val="21"/>
              </w:rPr>
            </w:pPr>
            <w:r>
              <w:rPr>
                <w:rFonts w:ascii="宋体" w:hAnsi="宋体" w:eastAsia="宋体" w:cs="宋体"/>
                <w:color w:val="auto"/>
                <w:spacing w:val="5"/>
                <w:sz w:val="20"/>
                <w:szCs w:val="20"/>
              </w:rPr>
              <w:t>中</w:t>
            </w:r>
            <w:r>
              <w:rPr>
                <w:rFonts w:ascii="宋体" w:hAnsi="宋体" w:eastAsia="宋体" w:cs="宋体"/>
                <w:color w:val="auto"/>
                <w:spacing w:val="4"/>
                <w:sz w:val="20"/>
                <w:szCs w:val="20"/>
              </w:rPr>
              <w:t>华多刺鱼</w:t>
            </w:r>
          </w:p>
        </w:tc>
        <w:tc>
          <w:tcPr>
            <w:tcW w:w="26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i/>
                <w:iCs/>
                <w:color w:val="auto"/>
                <w:position w:val="3"/>
                <w:sz w:val="21"/>
                <w:szCs w:val="21"/>
              </w:rPr>
            </w:pPr>
            <w:r>
              <w:rPr>
                <w:rFonts w:ascii="Times New Roman" w:hAnsi="Times New Roman" w:eastAsia="Times New Roman" w:cs="Times New Roman"/>
                <w:i/>
                <w:iCs/>
                <w:color w:val="auto"/>
                <w:position w:val="4"/>
                <w:sz w:val="20"/>
                <w:szCs w:val="20"/>
              </w:rPr>
              <w:t>Pungitius</w:t>
            </w:r>
            <w:r>
              <w:rPr>
                <w:rFonts w:ascii="Times New Roman" w:hAnsi="Times New Roman" w:eastAsia="Times New Roman" w:cs="Times New Roman"/>
                <w:color w:val="auto"/>
                <w:spacing w:val="75"/>
                <w:position w:val="4"/>
                <w:sz w:val="20"/>
                <w:szCs w:val="20"/>
              </w:rPr>
              <w:t xml:space="preserve"> </w:t>
            </w:r>
            <w:r>
              <w:rPr>
                <w:rFonts w:ascii="Times New Roman" w:hAnsi="Times New Roman" w:eastAsia="Times New Roman" w:cs="Times New Roman"/>
                <w:i/>
                <w:iCs/>
                <w:color w:val="auto"/>
                <w:position w:val="4"/>
                <w:sz w:val="20"/>
                <w:szCs w:val="20"/>
              </w:rPr>
              <w:t>sinensis</w:t>
            </w:r>
          </w:p>
        </w:tc>
      </w:tr>
    </w:tbl>
    <w:p>
      <w:pPr>
        <w:pStyle w:val="98"/>
        <w:keepNext w:val="0"/>
        <w:keepLines w:val="0"/>
        <w:pageBreakBefore w:val="0"/>
        <w:widowControl/>
        <w:kinsoku/>
        <w:wordWrap/>
        <w:overflowPunct/>
        <w:topLinePunct w:val="0"/>
        <w:autoSpaceDE/>
        <w:autoSpaceDN/>
        <w:bidi w:val="0"/>
        <w:adjustRightInd w:val="0"/>
        <w:snapToGrid w:val="0"/>
        <w:spacing w:before="164" w:beforeLines="50"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区域内</w:t>
      </w:r>
      <w:r>
        <w:rPr>
          <w:rFonts w:hint="default" w:ascii="Times New Roman" w:hAnsi="Times New Roman" w:eastAsia="宋体" w:cs="Times New Roman"/>
          <w:color w:val="auto"/>
          <w:sz w:val="24"/>
          <w:highlight w:val="none"/>
          <w:lang w:val="en-US" w:eastAsia="zh-CN"/>
        </w:rPr>
        <w:t>具有东亚淡水鱼类区系组成的共同特点，以鲤科鱼类最为丰富，其次为鳅科</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绝大部分为广布型小型鱼，调查地区四季分明，全年降水偏少，鱼类生存条件严苛，适合大型鱼类生存的空间较少。绝大多数为定居型沮性或广沮性鱼类，调查范围内没有河流入海口，主干河流</w:t>
      </w:r>
      <w:r>
        <w:rPr>
          <w:rFonts w:hint="eastAsia" w:ascii="Times New Roman" w:hAnsi="Times New Roman" w:eastAsia="宋体" w:cs="Times New Roman"/>
          <w:color w:val="auto"/>
          <w:sz w:val="24"/>
          <w:highlight w:val="none"/>
          <w:lang w:val="en-US" w:eastAsia="zh-CN"/>
        </w:rPr>
        <w:t>柳河</w:t>
      </w:r>
      <w:r>
        <w:rPr>
          <w:rFonts w:hint="default" w:ascii="Times New Roman" w:hAnsi="Times New Roman" w:eastAsia="宋体" w:cs="Times New Roman"/>
          <w:color w:val="auto"/>
          <w:sz w:val="24"/>
          <w:highlight w:val="none"/>
          <w:lang w:val="en-US" w:eastAsia="zh-CN"/>
        </w:rPr>
        <w:t>调查范围内无洄游性鱼类的存在，未发现重点保护野生鱼类。</w:t>
      </w:r>
    </w:p>
    <w:p>
      <w:pPr>
        <w:pStyle w:val="98"/>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本次调查区代表鱼类有：鲫、鲤等经济价值较大的鱼，很大部分产漂流性鱼卵，一部分鱼虽产粘性卵但粘性不大，卵产出后附着在物体上，不久即脱离</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北方须鳅</w:t>
      </w:r>
      <w:r>
        <w:rPr>
          <w:rFonts w:hint="eastAsia"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lang w:val="en-US" w:eastAsia="zh-CN"/>
        </w:rPr>
        <w:t>山溪型鱼类代表，主要位于干流</w:t>
      </w:r>
      <w:r>
        <w:rPr>
          <w:rFonts w:hint="eastAsia" w:ascii="Times New Roman" w:hAnsi="Times New Roman" w:eastAsia="宋体" w:cs="Times New Roman"/>
          <w:color w:val="auto"/>
          <w:sz w:val="24"/>
          <w:highlight w:val="none"/>
          <w:lang w:val="en-US" w:eastAsia="zh-CN"/>
        </w:rPr>
        <w:t>河道内</w:t>
      </w:r>
      <w:r>
        <w:rPr>
          <w:rFonts w:hint="default" w:ascii="Times New Roman" w:hAnsi="Times New Roman" w:eastAsia="宋体" w:cs="Times New Roman"/>
          <w:color w:val="auto"/>
          <w:sz w:val="24"/>
          <w:highlight w:val="none"/>
          <w:lang w:val="en-US" w:eastAsia="zh-CN"/>
        </w:rPr>
        <w:t>，多为山地或森林地带，人类干扰相对较低。这些区域水体温度较低，水质清澈；这种分布模式体现了鱼类对自然地理环境差异的选择和适应。</w:t>
      </w:r>
    </w:p>
    <w:p>
      <w:pPr>
        <w:pStyle w:val="98"/>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③鱼类“三场”现状调查</w:t>
      </w:r>
    </w:p>
    <w:p>
      <w:pPr>
        <w:pStyle w:val="98"/>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产卵场、索饵场、越冬场是鱼类活动的主要场所，“三场”调查对掌握鱼类的活动规律，促进渔业生产的有效进行，鱼类资源的合理利用和保护措施的研究具有重要意义。本工程主要涉及柳河，所涉及河道上分布未有水库、涵闸等水利工程，调查河道两岸植被丰富，水流缓慢，有些地方鲜有鱼类，未发现鱼类重要生境，调查区内水流相对缓慢，未发现鱼类产卵场。河道水流缓慢，水生植物丰富，沿河水生昆虫丰富，是鱼类较好的索饵场，这样的生境零星的分布在整个调查区内。鱼类越冬场是在水位比较深的水域中，整个调查区内零星分布着一些小水潭，是小型鱼类良好的越冬场所。</w:t>
      </w:r>
    </w:p>
    <w:p>
      <w:pPr>
        <w:pStyle w:val="98"/>
        <w:spacing w:line="360" w:lineRule="auto"/>
        <w:ind w:firstLine="480" w:firstLineChars="200"/>
        <w:jc w:val="both"/>
        <w:rPr>
          <w:rFonts w:hint="eastAsia" w:cs="Times New Roman"/>
          <w:color w:val="auto"/>
          <w:sz w:val="24"/>
          <w:highlight w:val="none"/>
          <w:lang w:val="en-US" w:eastAsia="zh-CN"/>
        </w:rPr>
      </w:pPr>
      <w:r>
        <w:rPr>
          <w:rFonts w:hint="eastAsia" w:cs="Times New Roman"/>
          <w:color w:val="auto"/>
          <w:sz w:val="24"/>
          <w:highlight w:val="none"/>
          <w:lang w:val="en-US" w:eastAsia="zh-CN"/>
        </w:rPr>
        <w:t>④特有、保护鱼类</w:t>
      </w:r>
    </w:p>
    <w:p>
      <w:pPr>
        <w:pStyle w:val="98"/>
        <w:spacing w:line="360" w:lineRule="auto"/>
        <w:ind w:firstLine="480" w:firstLineChars="200"/>
        <w:jc w:val="both"/>
        <w:rPr>
          <w:rFonts w:hint="eastAsia" w:cs="Times New Roman"/>
          <w:color w:val="auto"/>
          <w:sz w:val="24"/>
          <w:highlight w:val="none"/>
          <w:lang w:val="en-US" w:eastAsia="zh-CN"/>
        </w:rPr>
      </w:pPr>
      <w:r>
        <w:rPr>
          <w:rFonts w:hint="eastAsia" w:cs="Times New Roman"/>
          <w:color w:val="auto"/>
          <w:sz w:val="24"/>
          <w:highlight w:val="none"/>
          <w:lang w:val="en-US" w:eastAsia="zh-CN"/>
        </w:rPr>
        <w:t>根据历史资料记载和2022现场调查结果分析，评价区内没有国家重点保护鱼类和河北省特有和重点保护区鱼类。</w:t>
      </w:r>
    </w:p>
    <w:p>
      <w:pPr>
        <w:pStyle w:val="98"/>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（4）小结</w:t>
      </w:r>
    </w:p>
    <w:p>
      <w:pPr>
        <w:pStyle w:val="98"/>
        <w:spacing w:line="360" w:lineRule="auto"/>
        <w:ind w:firstLine="480" w:firstLineChars="200"/>
        <w:jc w:val="both"/>
        <w:rPr>
          <w:rFonts w:hint="eastAsia" w:cs="Times New Roman"/>
          <w:color w:val="auto"/>
          <w:sz w:val="24"/>
          <w:highlight w:val="none"/>
          <w:lang w:val="en-US" w:eastAsia="zh-CN"/>
        </w:rPr>
      </w:pPr>
      <w:r>
        <w:rPr>
          <w:rFonts w:hint="eastAsia" w:cs="Times New Roman"/>
          <w:color w:val="auto"/>
          <w:sz w:val="24"/>
          <w:highlight w:val="none"/>
          <w:lang w:val="en-US" w:eastAsia="zh-CN"/>
        </w:rPr>
        <w:t>根据本次现场调查以及文献资料收集数据分析，所调查柳河河段生物相对丰富度不大，鱼类种群均为常见种，水生生物生境良好，没有发现国家和省级保护种类。工程施工区域主要为临时占地，不会明显影响河流水生生境。</w:t>
      </w:r>
    </w:p>
    <w:p>
      <w:pPr>
        <w:keepNext w:val="0"/>
        <w:keepLines w:val="0"/>
        <w:pageBreakBefore w:val="0"/>
        <w:widowControl w:val="0"/>
        <w:kinsoku/>
        <w:wordWrap/>
        <w:overflowPunct/>
        <w:topLinePunct w:val="0"/>
        <w:autoSpaceDE/>
        <w:autoSpaceDN/>
        <w:bidi w:val="0"/>
        <w:adjustRightInd w:val="0"/>
        <w:snapToGrid w:val="0"/>
        <w:spacing w:before="164" w:beforeLines="50" w:line="360" w:lineRule="auto"/>
        <w:ind w:firstLine="0" w:firstLineChars="0"/>
        <w:jc w:val="both"/>
        <w:textAlignment w:val="auto"/>
        <w:outlineLvl w:val="3"/>
        <w:rPr>
          <w:rFonts w:hint="eastAsia"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lang w:eastAsia="zh-CN"/>
        </w:rPr>
        <w:t>4.</w:t>
      </w:r>
      <w:r>
        <w:rPr>
          <w:rFonts w:hint="eastAsia" w:cs="Times New Roman"/>
          <w:b/>
          <w:color w:val="auto"/>
          <w:sz w:val="24"/>
          <w:szCs w:val="24"/>
          <w:highlight w:val="none"/>
          <w:lang w:val="en-US" w:eastAsia="zh-CN"/>
        </w:rPr>
        <w:t>3.7.3</w:t>
      </w:r>
      <w:r>
        <w:rPr>
          <w:rFonts w:hint="eastAsia" w:ascii="Times New Roman" w:hAnsi="Times New Roman" w:eastAsia="宋体" w:cs="Times New Roman"/>
          <w:b/>
          <w:color w:val="auto"/>
          <w:sz w:val="24"/>
          <w:szCs w:val="24"/>
          <w:highlight w:val="none"/>
          <w:lang w:eastAsia="zh-CN"/>
        </w:rPr>
        <w:t>重要生态敏感目标调查</w:t>
      </w:r>
    </w:p>
    <w:p>
      <w:pPr>
        <w:bidi w:val="0"/>
        <w:rPr>
          <w:rFonts w:hint="eastAsia"/>
          <w:color w:val="auto"/>
          <w:highlight w:val="none"/>
          <w:lang w:eastAsia="zh-CN"/>
        </w:rPr>
      </w:pPr>
      <w:r>
        <w:rPr>
          <w:rFonts w:hint="eastAsia"/>
          <w:color w:val="auto"/>
          <w:highlight w:val="none"/>
          <w:lang w:eastAsia="zh-CN"/>
        </w:rPr>
        <w:t>本项目涉及的生态敏感区为生态保护红线。</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highlight w:val="none"/>
          <w:lang w:eastAsia="zh-CN"/>
        </w:rPr>
      </w:pPr>
      <w:r>
        <w:rPr>
          <w:rFonts w:hint="default" w:ascii="Times New Roman" w:hAnsi="Times New Roman" w:eastAsia="宋体" w:cs="Times New Roman"/>
          <w:color w:val="auto"/>
          <w:sz w:val="24"/>
          <w:szCs w:val="24"/>
          <w:highlight w:val="none"/>
          <w:lang w:val="en-US" w:eastAsia="zh-CN"/>
        </w:rPr>
        <w:t>本项目占用的生态保护红线区域主要为</w:t>
      </w:r>
      <w:r>
        <w:rPr>
          <w:rFonts w:hint="eastAsia" w:ascii="Times New Roman" w:hAnsi="Times New Roman" w:eastAsia="宋体" w:cs="Times New Roman"/>
          <w:color w:val="auto"/>
          <w:sz w:val="24"/>
          <w:szCs w:val="24"/>
          <w:highlight w:val="none"/>
          <w:lang w:val="en-US" w:eastAsia="zh-CN"/>
        </w:rPr>
        <w:t>柳河段</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根据《河北省人民政府关于发布&lt;河北省生态保护红线&gt;的通知》及承德市生态保护红线成果，项目所在区域生态保护红线的功能为水源涵养区，保护内容为燕山水源涵养、生物多样性维护，植被类型主要为暖温带落叶阔叶林（森林生态系统）。</w:t>
      </w:r>
      <w:r>
        <w:rPr>
          <w:rFonts w:hint="default" w:ascii="Times New Roman" w:hAnsi="Times New Roman" w:eastAsia="宋体" w:cs="Times New Roman"/>
          <w:bCs/>
          <w:color w:val="auto"/>
          <w:sz w:val="24"/>
          <w:szCs w:val="24"/>
          <w:highlight w:val="none"/>
        </w:rPr>
        <w:t>本项目</w:t>
      </w:r>
      <w:r>
        <w:rPr>
          <w:rFonts w:hint="default" w:ascii="Times New Roman" w:hAnsi="Times New Roman" w:eastAsia="宋体" w:cs="Times New Roman"/>
          <w:bCs/>
          <w:color w:val="auto"/>
          <w:sz w:val="24"/>
          <w:szCs w:val="24"/>
          <w:highlight w:val="none"/>
          <w:lang w:val="en-US" w:eastAsia="zh-CN"/>
        </w:rPr>
        <w:t>建设完成后</w:t>
      </w:r>
      <w:r>
        <w:rPr>
          <w:rFonts w:hint="default" w:ascii="Times New Roman" w:hAnsi="Times New Roman" w:eastAsia="宋体" w:cs="Times New Roman"/>
          <w:color w:val="auto"/>
          <w:sz w:val="24"/>
          <w:szCs w:val="24"/>
          <w:highlight w:val="none"/>
          <w:lang w:val="en-US" w:eastAsia="zh-CN"/>
        </w:rPr>
        <w:t>临时占地的土地利用类型由荒地、灌草地变为灌木林地，种植的植被主要为沙棘、紫穗槐和扦插柳枝等，并搭配种植常绿树种如云杉、樟子松、油松、圆柏、侧柏等，</w:t>
      </w:r>
      <w:r>
        <w:rPr>
          <w:rFonts w:hint="default" w:ascii="Times New Roman" w:hAnsi="Times New Roman" w:eastAsia="宋体" w:cs="Times New Roman"/>
          <w:color w:val="auto"/>
          <w:kern w:val="0"/>
          <w:sz w:val="24"/>
          <w:szCs w:val="24"/>
          <w:highlight w:val="none"/>
        </w:rPr>
        <w:t>植被类型均属一般常见种，生长范围广，适应性强</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增加了临时占地区域的</w:t>
      </w:r>
      <w:r>
        <w:rPr>
          <w:rFonts w:hint="default" w:ascii="Times New Roman" w:hAnsi="Times New Roman" w:eastAsia="宋体" w:cs="Times New Roman"/>
          <w:color w:val="auto"/>
          <w:sz w:val="24"/>
          <w:szCs w:val="24"/>
          <w:highlight w:val="none"/>
        </w:rPr>
        <w:t>生物量和生态效益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有利于改善项目</w:t>
      </w:r>
      <w:r>
        <w:rPr>
          <w:rFonts w:hint="default" w:ascii="Times New Roman" w:hAnsi="Times New Roman" w:eastAsia="宋体" w:cs="Times New Roman"/>
          <w:color w:val="auto"/>
          <w:sz w:val="24"/>
          <w:szCs w:val="24"/>
          <w:highlight w:val="none"/>
        </w:rPr>
        <w:t>生态保护红线区域</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kern w:val="0"/>
          <w:sz w:val="24"/>
          <w:szCs w:val="24"/>
          <w:highlight w:val="none"/>
          <w:lang w:val="en-US" w:eastAsia="zh-CN"/>
        </w:rPr>
        <w:t>的</w:t>
      </w:r>
      <w:r>
        <w:rPr>
          <w:rFonts w:hint="default" w:ascii="Times New Roman" w:hAnsi="Times New Roman" w:eastAsia="宋体" w:cs="Times New Roman"/>
          <w:color w:val="auto"/>
          <w:sz w:val="24"/>
          <w:szCs w:val="24"/>
          <w:highlight w:val="none"/>
        </w:rPr>
        <w:t>生物多样性</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提高了临时占地区域的水源涵养功能</w:t>
      </w:r>
      <w:r>
        <w:rPr>
          <w:rFonts w:hint="default" w:ascii="Times New Roman" w:hAnsi="Times New Roman" w:eastAsia="宋体" w:cs="Times New Roman"/>
          <w:color w:val="auto"/>
          <w:kern w:val="0"/>
          <w:sz w:val="24"/>
          <w:szCs w:val="24"/>
          <w:highlight w:val="none"/>
        </w:rPr>
        <w:t>。</w:t>
      </w:r>
    </w:p>
    <w:p>
      <w:pPr>
        <w:pStyle w:val="7"/>
        <w:spacing w:line="360" w:lineRule="auto"/>
        <w:ind w:firstLine="0" w:firstLineChars="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4.3.</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生态现状评价</w:t>
      </w:r>
    </w:p>
    <w:p>
      <w:pPr>
        <w:pageBreakBefore w:val="0"/>
        <w:widowControl w:val="0"/>
        <w:kinsoku/>
        <w:wordWrap/>
        <w:overflowPunct/>
        <w:topLinePunct w:val="0"/>
        <w:autoSpaceDE/>
        <w:autoSpaceDN/>
        <w:bidi w:val="0"/>
        <w:adjustRightInd w:val="0"/>
        <w:snapToGrid w:val="0"/>
        <w:spacing w:line="360" w:lineRule="auto"/>
        <w:ind w:firstLine="400"/>
        <w:jc w:val="both"/>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eastAsia="zh-CN"/>
        </w:rPr>
        <w:t>河道内淤积物较多</w:t>
      </w:r>
    </w:p>
    <w:p>
      <w:pPr>
        <w:pageBreakBefore w:val="0"/>
        <w:widowControl w:val="0"/>
        <w:kinsoku/>
        <w:wordWrap/>
        <w:overflowPunct/>
        <w:topLinePunct w:val="0"/>
        <w:autoSpaceDE/>
        <w:autoSpaceDN/>
        <w:bidi w:val="0"/>
        <w:adjustRightInd w:val="0"/>
        <w:snapToGrid w:val="0"/>
        <w:spacing w:line="360" w:lineRule="auto"/>
        <w:ind w:firstLine="4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治理段河道两岸多分布有杨树、</w:t>
      </w:r>
      <w:r>
        <w:rPr>
          <w:rFonts w:hint="eastAsia" w:cs="Times New Roman"/>
          <w:color w:val="auto"/>
          <w:sz w:val="24"/>
          <w:szCs w:val="24"/>
          <w:highlight w:val="none"/>
          <w:lang w:val="en-US" w:eastAsia="zh-CN"/>
        </w:rPr>
        <w:t>芦苇</w:t>
      </w:r>
      <w:r>
        <w:rPr>
          <w:rFonts w:hint="default" w:ascii="Times New Roman" w:hAnsi="Times New Roman" w:eastAsia="宋体" w:cs="Times New Roman"/>
          <w:color w:val="auto"/>
          <w:sz w:val="24"/>
          <w:szCs w:val="24"/>
          <w:highlight w:val="none"/>
          <w:lang w:eastAsia="zh-CN"/>
        </w:rPr>
        <w:t>以及</w:t>
      </w:r>
      <w:r>
        <w:rPr>
          <w:rFonts w:hint="eastAsia" w:cs="Times New Roman"/>
          <w:color w:val="auto"/>
          <w:sz w:val="24"/>
          <w:szCs w:val="24"/>
          <w:highlight w:val="none"/>
          <w:lang w:val="en-US" w:eastAsia="zh-CN"/>
        </w:rPr>
        <w:t>刺苋草</w:t>
      </w:r>
      <w:r>
        <w:rPr>
          <w:rFonts w:hint="default" w:ascii="Times New Roman" w:hAnsi="Times New Roman" w:eastAsia="宋体" w:cs="Times New Roman"/>
          <w:color w:val="auto"/>
          <w:sz w:val="24"/>
          <w:szCs w:val="24"/>
          <w:highlight w:val="none"/>
          <w:lang w:eastAsia="zh-CN"/>
        </w:rPr>
        <w:t>等植被，两岸村庄均临河而建，牲畜粪便、耕地肥料、生活垃圾等随河水进入河道中，随着时间推移，大量污染物随</w:t>
      </w:r>
      <w:r>
        <w:rPr>
          <w:rFonts w:hint="eastAsia" w:ascii="Times New Roman" w:hAnsi="Times New Roman" w:eastAsia="宋体" w:cs="Times New Roman"/>
          <w:color w:val="auto"/>
          <w:sz w:val="24"/>
          <w:szCs w:val="24"/>
          <w:highlight w:val="none"/>
          <w:lang w:val="en-US" w:eastAsia="zh-CN"/>
        </w:rPr>
        <w:t>底砂</w:t>
      </w:r>
      <w:r>
        <w:rPr>
          <w:rFonts w:hint="default" w:ascii="Times New Roman" w:hAnsi="Times New Roman" w:eastAsia="宋体" w:cs="Times New Roman"/>
          <w:color w:val="auto"/>
          <w:sz w:val="24"/>
          <w:szCs w:val="24"/>
          <w:highlight w:val="none"/>
          <w:lang w:eastAsia="zh-CN"/>
        </w:rPr>
        <w:t>沉积在河床上，成为影响水质的固定污染源之一。</w:t>
      </w:r>
    </w:p>
    <w:p>
      <w:pPr>
        <w:spacing w:line="360" w:lineRule="auto"/>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河道岸坡防护</w:t>
      </w:r>
      <w:r>
        <w:rPr>
          <w:rFonts w:hint="eastAsia" w:ascii="Times New Roman" w:hAnsi="Times New Roman" w:eastAsia="宋体" w:cs="Times New Roman"/>
          <w:color w:val="auto"/>
          <w:sz w:val="24"/>
          <w:szCs w:val="24"/>
          <w:highlight w:val="none"/>
          <w:lang w:val="en-US" w:eastAsia="zh-CN"/>
        </w:rPr>
        <w:t>情况</w:t>
      </w:r>
    </w:p>
    <w:p>
      <w:pPr>
        <w:spacing w:line="360" w:lineRule="auto"/>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河道岸坡防护不完善，局部防护标准低或无防护早期部分邻村河段虽修建了护地坝等护岸工程，但质量不高，标准低，部分护岸工程破损，护地坝高度不满足防洪要求；加之上游沟道无拦沙工程，造成河床淤积，河道过流能力小，不能抗御较大洪水，甚至造成塌岸情况，冲毁大量林草地，破坏了两岸的生态环境。</w:t>
      </w:r>
    </w:p>
    <w:p>
      <w:pPr>
        <w:spacing w:line="360" w:lineRule="auto"/>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水土流失</w:t>
      </w:r>
      <w:r>
        <w:rPr>
          <w:rFonts w:hint="eastAsia" w:ascii="Times New Roman" w:hAnsi="Times New Roman" w:eastAsia="宋体" w:cs="Times New Roman"/>
          <w:color w:val="auto"/>
          <w:sz w:val="24"/>
          <w:szCs w:val="24"/>
          <w:highlight w:val="none"/>
          <w:lang w:val="en-US" w:eastAsia="zh-CN"/>
        </w:rPr>
        <w:t>情况</w:t>
      </w:r>
    </w:p>
    <w:p>
      <w:pPr>
        <w:spacing w:line="360" w:lineRule="auto"/>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河道</w:t>
      </w:r>
      <w:r>
        <w:rPr>
          <w:rFonts w:hint="default" w:ascii="Times New Roman" w:hAnsi="Times New Roman" w:eastAsia="宋体" w:cs="Times New Roman"/>
          <w:color w:val="auto"/>
          <w:sz w:val="24"/>
          <w:szCs w:val="24"/>
          <w:highlight w:val="none"/>
          <w:lang w:val="en-US" w:eastAsia="zh-CN"/>
        </w:rPr>
        <w:t>部分自然岸线受到侵占，导致部分具有重要水源涵养及水土保持功能的生态空间未得到有效保护，已划定管理范围并竖桩划界的部分河段，岸线分区利用边界不明确；随着城镇建设用地需求不断增加，河道及滩地受侵占现象较为突出。</w:t>
      </w:r>
    </w:p>
    <w:p>
      <w:pPr>
        <w:bidi w:val="0"/>
        <w:rPr>
          <w:rFonts w:hint="default"/>
          <w:color w:val="auto"/>
          <w:highlight w:val="none"/>
        </w:rPr>
      </w:pPr>
      <w:r>
        <w:rPr>
          <w:rFonts w:hint="eastAsia"/>
          <w:color w:val="auto"/>
          <w:highlight w:val="none"/>
          <w:lang w:val="en-US" w:eastAsia="zh-CN"/>
        </w:rPr>
        <w:t>④</w:t>
      </w:r>
      <w:r>
        <w:rPr>
          <w:rFonts w:hint="default"/>
          <w:color w:val="auto"/>
          <w:highlight w:val="none"/>
        </w:rPr>
        <w:t>水生生态</w:t>
      </w:r>
    </w:p>
    <w:p>
      <w:pPr>
        <w:bidi w:val="0"/>
        <w:rPr>
          <w:rFonts w:hint="default"/>
          <w:color w:val="auto"/>
          <w:highlight w:val="none"/>
          <w:lang w:val="en-US" w:eastAsia="zh-CN"/>
        </w:rPr>
      </w:pPr>
      <w:r>
        <w:rPr>
          <w:rFonts w:hint="default"/>
          <w:color w:val="auto"/>
          <w:highlight w:val="none"/>
          <w:lang w:val="en-US" w:eastAsia="zh-CN"/>
        </w:rPr>
        <w:t>本项目</w:t>
      </w:r>
      <w:r>
        <w:rPr>
          <w:rFonts w:hint="eastAsia"/>
          <w:color w:val="auto"/>
          <w:highlight w:val="none"/>
          <w:lang w:val="en-US" w:eastAsia="zh-CN"/>
        </w:rPr>
        <w:t>柳河三块石断面</w:t>
      </w:r>
      <w:r>
        <w:rPr>
          <w:rFonts w:hint="default"/>
          <w:color w:val="auto"/>
          <w:highlight w:val="none"/>
        </w:rPr>
        <w:t>河</w:t>
      </w:r>
      <w:r>
        <w:rPr>
          <w:rFonts w:hint="default"/>
          <w:color w:val="auto"/>
          <w:highlight w:val="none"/>
          <w:lang w:val="en-US" w:eastAsia="zh-CN"/>
        </w:rPr>
        <w:t>段无</w:t>
      </w:r>
      <w:r>
        <w:rPr>
          <w:rFonts w:hint="default"/>
          <w:color w:val="auto"/>
          <w:highlight w:val="none"/>
        </w:rPr>
        <w:t>重要水生生物的自然产卵场、无水生生物索饵场、非水生生物的越冬场和洄游通道，无天然渔场</w:t>
      </w:r>
      <w:r>
        <w:rPr>
          <w:rFonts w:hint="default"/>
          <w:color w:val="auto"/>
          <w:highlight w:val="none"/>
          <w:lang w:eastAsia="zh-CN"/>
        </w:rPr>
        <w:t>，</w:t>
      </w:r>
      <w:r>
        <w:rPr>
          <w:rFonts w:hint="default"/>
          <w:color w:val="auto"/>
          <w:highlight w:val="none"/>
        </w:rPr>
        <w:t>河道内的浮游生物、底栖动物</w:t>
      </w:r>
      <w:r>
        <w:rPr>
          <w:rFonts w:hint="default"/>
          <w:color w:val="auto"/>
          <w:highlight w:val="none"/>
          <w:lang w:val="en-US" w:eastAsia="zh-CN"/>
        </w:rPr>
        <w:t>均为常见物种。</w:t>
      </w:r>
    </w:p>
    <w:p>
      <w:pPr>
        <w:bidi w:val="0"/>
        <w:rPr>
          <w:rFonts w:hint="default" w:ascii="Times New Roman" w:hAnsi="Times New Roman" w:eastAsia="宋体" w:cs="Times New Roman"/>
          <w:color w:val="auto"/>
          <w:kern w:val="44"/>
          <w:szCs w:val="24"/>
          <w:highlight w:val="none"/>
        </w:rPr>
      </w:pPr>
      <w:r>
        <w:rPr>
          <w:rFonts w:hint="default"/>
          <w:color w:val="auto"/>
          <w:highlight w:val="none"/>
        </w:rPr>
        <w:t>根据</w:t>
      </w:r>
      <w:r>
        <w:rPr>
          <w:color w:val="auto"/>
          <w:highlight w:val="none"/>
        </w:rPr>
        <w:t>《202</w:t>
      </w:r>
      <w:r>
        <w:rPr>
          <w:rFonts w:hint="eastAsia"/>
          <w:color w:val="auto"/>
          <w:highlight w:val="none"/>
          <w:lang w:val="en-US" w:eastAsia="zh-CN"/>
        </w:rPr>
        <w:t>1</w:t>
      </w:r>
      <w:r>
        <w:rPr>
          <w:color w:val="auto"/>
          <w:highlight w:val="none"/>
        </w:rPr>
        <w:t>年承德市生态环境状况公报》</w:t>
      </w:r>
      <w:r>
        <w:rPr>
          <w:rFonts w:hint="default"/>
          <w:color w:val="auto"/>
          <w:highlight w:val="none"/>
        </w:rPr>
        <w:t>，</w:t>
      </w:r>
      <w:r>
        <w:rPr>
          <w:rFonts w:hint="eastAsia"/>
          <w:color w:val="auto"/>
          <w:highlight w:val="none"/>
          <w:lang w:val="en-US" w:eastAsia="zh-CN"/>
        </w:rPr>
        <w:t>柳河</w:t>
      </w:r>
      <w:r>
        <w:rPr>
          <w:rFonts w:hint="default"/>
          <w:color w:val="auto"/>
          <w:highlight w:val="none"/>
        </w:rPr>
        <w:t>共布设地表水常规监测断面</w:t>
      </w:r>
      <w:r>
        <w:rPr>
          <w:rFonts w:hint="eastAsia"/>
          <w:color w:val="auto"/>
          <w:highlight w:val="none"/>
          <w:lang w:val="en-US" w:eastAsia="zh-CN"/>
        </w:rPr>
        <w:t>3</w:t>
      </w:r>
      <w:r>
        <w:rPr>
          <w:rFonts w:hint="default"/>
          <w:color w:val="auto"/>
          <w:highlight w:val="none"/>
        </w:rPr>
        <w:t>个，</w:t>
      </w:r>
      <w:r>
        <w:rPr>
          <w:rFonts w:hint="eastAsia"/>
          <w:color w:val="auto"/>
          <w:highlight w:val="none"/>
          <w:lang w:val="en-US" w:eastAsia="zh-CN"/>
        </w:rPr>
        <w:t>2021年柳河</w:t>
      </w:r>
      <w:r>
        <w:rPr>
          <w:rFonts w:hint="default"/>
          <w:color w:val="auto"/>
          <w:highlight w:val="none"/>
        </w:rPr>
        <w:t>流域总体水质状况为</w:t>
      </w:r>
      <w:r>
        <w:rPr>
          <w:rFonts w:hint="eastAsia"/>
          <w:color w:val="auto"/>
          <w:highlight w:val="none"/>
          <w:lang w:val="en-US" w:eastAsia="zh-CN"/>
        </w:rPr>
        <w:t>优</w:t>
      </w:r>
      <w:r>
        <w:rPr>
          <w:rFonts w:hint="default"/>
          <w:color w:val="auto"/>
          <w:highlight w:val="none"/>
        </w:rPr>
        <w:t>，与</w:t>
      </w:r>
      <w:r>
        <w:rPr>
          <w:rFonts w:hint="eastAsia"/>
          <w:color w:val="auto"/>
          <w:highlight w:val="none"/>
          <w:lang w:val="en-US" w:eastAsia="zh-CN"/>
        </w:rPr>
        <w:t>2020</w:t>
      </w:r>
      <w:r>
        <w:rPr>
          <w:rFonts w:hint="default"/>
          <w:color w:val="auto"/>
          <w:highlight w:val="none"/>
        </w:rPr>
        <w:t>年相比，</w:t>
      </w:r>
      <w:r>
        <w:rPr>
          <w:rFonts w:hint="eastAsia"/>
          <w:color w:val="auto"/>
          <w:highlight w:val="none"/>
          <w:lang w:val="en-US" w:eastAsia="zh-CN"/>
        </w:rPr>
        <w:t>柳河</w:t>
      </w:r>
      <w:r>
        <w:rPr>
          <w:rFonts w:hint="default"/>
          <w:color w:val="auto"/>
          <w:highlight w:val="none"/>
        </w:rPr>
        <w:t>地表水环境质量</w:t>
      </w:r>
      <w:r>
        <w:rPr>
          <w:rFonts w:hint="eastAsia"/>
          <w:color w:val="auto"/>
          <w:highlight w:val="none"/>
          <w:lang w:val="en-US" w:eastAsia="zh-CN"/>
        </w:rPr>
        <w:t>有</w:t>
      </w:r>
      <w:r>
        <w:rPr>
          <w:rFonts w:hint="eastAsia" w:ascii="Times New Roman" w:hAnsi="Times New Roman" w:eastAsia="宋体" w:cs="Times New Roman"/>
          <w:color w:val="auto"/>
          <w:szCs w:val="24"/>
          <w:highlight w:val="none"/>
          <w:lang w:val="en-US" w:eastAsia="zh-CN"/>
        </w:rPr>
        <w:t>所提升</w:t>
      </w:r>
      <w:r>
        <w:rPr>
          <w:rFonts w:hint="default" w:ascii="Times New Roman" w:hAnsi="Times New Roman" w:eastAsia="宋体" w:cs="Times New Roman"/>
          <w:color w:val="auto"/>
          <w:szCs w:val="24"/>
          <w:highlight w:val="none"/>
        </w:rPr>
        <w:t>。</w:t>
      </w:r>
      <w:r>
        <w:rPr>
          <w:rFonts w:hint="eastAsia" w:ascii="Times New Roman" w:hAnsi="Times New Roman" w:eastAsia="宋体" w:cs="Times New Roman"/>
          <w:color w:val="auto"/>
          <w:szCs w:val="24"/>
          <w:highlight w:val="none"/>
          <w:lang w:val="en-US" w:eastAsia="zh-CN"/>
        </w:rPr>
        <w:t>其中</w:t>
      </w:r>
      <w:r>
        <w:rPr>
          <w:rFonts w:hint="default" w:ascii="Times New Roman" w:hAnsi="Times New Roman" w:eastAsia="宋体" w:cs="Times New Roman"/>
          <w:color w:val="auto"/>
          <w:kern w:val="44"/>
          <w:szCs w:val="24"/>
          <w:highlight w:val="none"/>
        </w:rPr>
        <w:t>，</w:t>
      </w:r>
      <w:r>
        <w:rPr>
          <w:rFonts w:hint="eastAsia" w:ascii="Times New Roman" w:hAnsi="Times New Roman" w:eastAsia="宋体" w:cs="Times New Roman"/>
          <w:color w:val="auto"/>
          <w:kern w:val="44"/>
          <w:szCs w:val="24"/>
          <w:highlight w:val="none"/>
          <w:lang w:val="en-US" w:eastAsia="zh-CN"/>
        </w:rPr>
        <w:t>26#桥</w:t>
      </w:r>
      <w:r>
        <w:rPr>
          <w:rFonts w:hint="default" w:ascii="Times New Roman" w:hAnsi="Times New Roman" w:eastAsia="宋体" w:cs="Times New Roman"/>
          <w:color w:val="auto"/>
          <w:kern w:val="44"/>
          <w:szCs w:val="24"/>
          <w:highlight w:val="none"/>
        </w:rPr>
        <w:t>断面</w:t>
      </w:r>
      <w:r>
        <w:rPr>
          <w:rFonts w:hint="eastAsia" w:ascii="Times New Roman" w:hAnsi="Times New Roman" w:eastAsia="宋体" w:cs="Times New Roman"/>
          <w:color w:val="auto"/>
          <w:kern w:val="44"/>
          <w:szCs w:val="24"/>
          <w:highlight w:val="none"/>
          <w:lang w:val="en-US" w:eastAsia="zh-CN"/>
        </w:rPr>
        <w:t>保持</w:t>
      </w:r>
      <w:r>
        <w:rPr>
          <w:rFonts w:hint="default" w:ascii="Times New Roman" w:hAnsi="Times New Roman" w:eastAsia="宋体" w:cs="Times New Roman"/>
          <w:color w:val="auto"/>
          <w:kern w:val="44"/>
          <w:szCs w:val="24"/>
          <w:highlight w:val="none"/>
        </w:rPr>
        <w:t>Ⅱ类水质</w:t>
      </w:r>
      <w:r>
        <w:rPr>
          <w:rFonts w:hint="eastAsia" w:ascii="Times New Roman" w:hAnsi="Times New Roman" w:eastAsia="宋体" w:cs="Times New Roman"/>
          <w:color w:val="auto"/>
          <w:kern w:val="44"/>
          <w:szCs w:val="24"/>
          <w:highlight w:val="none"/>
          <w:lang w:val="en-US" w:eastAsia="zh-CN"/>
        </w:rPr>
        <w:t>不变</w:t>
      </w:r>
      <w:r>
        <w:rPr>
          <w:rFonts w:hint="eastAsia" w:ascii="Times New Roman" w:hAnsi="Times New Roman" w:eastAsia="宋体" w:cs="Times New Roman"/>
          <w:color w:val="auto"/>
          <w:kern w:val="44"/>
          <w:szCs w:val="24"/>
          <w:highlight w:val="none"/>
          <w:lang w:eastAsia="zh-CN"/>
        </w:rPr>
        <w:t>，</w:t>
      </w:r>
      <w:r>
        <w:rPr>
          <w:rFonts w:hint="eastAsia" w:ascii="Times New Roman" w:hAnsi="Times New Roman" w:eastAsia="宋体" w:cs="Times New Roman"/>
          <w:color w:val="auto"/>
          <w:kern w:val="44"/>
          <w:szCs w:val="24"/>
          <w:highlight w:val="none"/>
          <w:lang w:val="en-US" w:eastAsia="zh-CN"/>
        </w:rPr>
        <w:t>大杖子（二）</w:t>
      </w:r>
      <w:r>
        <w:rPr>
          <w:rFonts w:hint="default" w:ascii="Times New Roman" w:hAnsi="Times New Roman" w:eastAsia="宋体" w:cs="Times New Roman"/>
          <w:color w:val="auto"/>
          <w:kern w:val="44"/>
          <w:szCs w:val="24"/>
          <w:highlight w:val="none"/>
        </w:rPr>
        <w:t>断面</w:t>
      </w:r>
      <w:r>
        <w:rPr>
          <w:rFonts w:hint="eastAsia" w:ascii="Times New Roman" w:hAnsi="Times New Roman" w:eastAsia="宋体" w:cs="Times New Roman"/>
          <w:color w:val="auto"/>
          <w:kern w:val="44"/>
          <w:szCs w:val="24"/>
          <w:highlight w:val="none"/>
          <w:lang w:val="en-US" w:eastAsia="zh-CN"/>
        </w:rPr>
        <w:t>保持</w:t>
      </w:r>
      <w:r>
        <w:rPr>
          <w:rFonts w:hint="default" w:ascii="Times New Roman" w:hAnsi="Times New Roman" w:eastAsia="宋体" w:cs="Times New Roman"/>
          <w:color w:val="auto"/>
          <w:kern w:val="44"/>
          <w:szCs w:val="24"/>
          <w:highlight w:val="none"/>
          <w:lang w:val="en-US" w:eastAsia="zh-CN"/>
        </w:rPr>
        <w:t>Ⅰ</w:t>
      </w:r>
      <w:r>
        <w:rPr>
          <w:rFonts w:hint="default" w:ascii="Times New Roman" w:hAnsi="Times New Roman" w:eastAsia="宋体" w:cs="Times New Roman"/>
          <w:color w:val="auto"/>
          <w:kern w:val="44"/>
          <w:szCs w:val="24"/>
          <w:highlight w:val="none"/>
        </w:rPr>
        <w:t>类水质</w:t>
      </w:r>
      <w:r>
        <w:rPr>
          <w:rFonts w:hint="eastAsia" w:ascii="Times New Roman" w:hAnsi="Times New Roman" w:eastAsia="宋体" w:cs="Times New Roman"/>
          <w:color w:val="auto"/>
          <w:kern w:val="44"/>
          <w:szCs w:val="24"/>
          <w:highlight w:val="none"/>
          <w:lang w:val="en-US" w:eastAsia="zh-CN"/>
        </w:rPr>
        <w:t>不变</w:t>
      </w:r>
      <w:r>
        <w:rPr>
          <w:rFonts w:hint="eastAsia" w:ascii="Times New Roman" w:hAnsi="Times New Roman" w:eastAsia="宋体" w:cs="Times New Roman"/>
          <w:color w:val="auto"/>
          <w:kern w:val="44"/>
          <w:szCs w:val="24"/>
          <w:highlight w:val="none"/>
          <w:lang w:eastAsia="zh-CN"/>
        </w:rPr>
        <w:t>，</w:t>
      </w:r>
      <w:r>
        <w:rPr>
          <w:rFonts w:hint="eastAsia" w:ascii="Times New Roman" w:hAnsi="Times New Roman" w:eastAsia="宋体" w:cs="Times New Roman"/>
          <w:color w:val="auto"/>
          <w:kern w:val="44"/>
          <w:szCs w:val="24"/>
          <w:highlight w:val="none"/>
          <w:lang w:val="en-US" w:eastAsia="zh-CN"/>
        </w:rPr>
        <w:t>三块石</w:t>
      </w:r>
      <w:r>
        <w:rPr>
          <w:rFonts w:hint="default" w:ascii="Times New Roman" w:hAnsi="Times New Roman" w:eastAsia="宋体" w:cs="Times New Roman"/>
          <w:color w:val="auto"/>
          <w:kern w:val="44"/>
          <w:szCs w:val="24"/>
          <w:highlight w:val="none"/>
        </w:rPr>
        <w:t>断面水质</w:t>
      </w:r>
      <w:r>
        <w:rPr>
          <w:rFonts w:hint="eastAsia" w:ascii="Times New Roman" w:hAnsi="Times New Roman" w:eastAsia="宋体" w:cs="Times New Roman"/>
          <w:color w:val="auto"/>
          <w:kern w:val="44"/>
          <w:szCs w:val="24"/>
          <w:highlight w:val="none"/>
          <w:lang w:val="en-US" w:eastAsia="zh-CN"/>
        </w:rPr>
        <w:t>由</w:t>
      </w:r>
      <w:r>
        <w:rPr>
          <w:rFonts w:hint="default" w:ascii="Times New Roman" w:hAnsi="Times New Roman" w:eastAsia="宋体" w:cs="Times New Roman"/>
          <w:color w:val="auto"/>
          <w:kern w:val="44"/>
          <w:szCs w:val="24"/>
          <w:highlight w:val="none"/>
        </w:rPr>
        <w:t>Ⅱ类水质</w:t>
      </w:r>
      <w:r>
        <w:rPr>
          <w:rFonts w:hint="eastAsia" w:ascii="Times New Roman" w:hAnsi="Times New Roman" w:eastAsia="宋体" w:cs="Times New Roman"/>
          <w:color w:val="auto"/>
          <w:kern w:val="44"/>
          <w:szCs w:val="24"/>
          <w:highlight w:val="none"/>
          <w:lang w:val="en-US" w:eastAsia="zh-CN"/>
        </w:rPr>
        <w:t>提升为</w:t>
      </w:r>
      <w:r>
        <w:rPr>
          <w:rFonts w:hint="default" w:ascii="Times New Roman" w:hAnsi="Times New Roman" w:eastAsia="宋体" w:cs="Times New Roman"/>
          <w:color w:val="auto"/>
          <w:kern w:val="44"/>
          <w:szCs w:val="24"/>
          <w:highlight w:val="none"/>
          <w:lang w:val="en-US" w:eastAsia="zh-CN"/>
        </w:rPr>
        <w:t>Ⅰ</w:t>
      </w:r>
      <w:r>
        <w:rPr>
          <w:rFonts w:hint="default" w:ascii="Times New Roman" w:hAnsi="Times New Roman" w:eastAsia="宋体" w:cs="Times New Roman"/>
          <w:color w:val="auto"/>
          <w:kern w:val="44"/>
          <w:szCs w:val="24"/>
          <w:highlight w:val="none"/>
        </w:rPr>
        <w:t>类水质</w:t>
      </w:r>
      <w:r>
        <w:rPr>
          <w:rFonts w:hint="eastAsia" w:ascii="Times New Roman" w:hAnsi="Times New Roman" w:eastAsia="宋体" w:cs="Times New Roman"/>
          <w:color w:val="auto"/>
          <w:kern w:val="44"/>
          <w:szCs w:val="24"/>
          <w:highlight w:val="none"/>
          <w:lang w:eastAsia="zh-CN"/>
        </w:rPr>
        <w:t>。</w:t>
      </w:r>
      <w:r>
        <w:rPr>
          <w:rFonts w:hint="default" w:ascii="Times New Roman" w:hAnsi="Times New Roman" w:eastAsia="宋体" w:cs="Times New Roman"/>
          <w:color w:val="auto"/>
          <w:szCs w:val="24"/>
          <w:highlight w:val="none"/>
        </w:rPr>
        <w:t>本项目所属流域的河流-</w:t>
      </w:r>
      <w:r>
        <w:rPr>
          <w:rFonts w:hint="eastAsia" w:ascii="Times New Roman" w:hAnsi="Times New Roman" w:eastAsia="宋体" w:cs="Times New Roman"/>
          <w:color w:val="auto"/>
          <w:szCs w:val="24"/>
          <w:highlight w:val="none"/>
          <w:lang w:val="en-US" w:eastAsia="zh-CN"/>
        </w:rPr>
        <w:t>北水泉沟河</w:t>
      </w:r>
      <w:r>
        <w:rPr>
          <w:rFonts w:hint="default" w:ascii="Times New Roman" w:hAnsi="Times New Roman" w:eastAsia="宋体" w:cs="Times New Roman"/>
          <w:color w:val="auto"/>
          <w:szCs w:val="24"/>
          <w:highlight w:val="none"/>
        </w:rPr>
        <w:t>汇入</w:t>
      </w:r>
      <w:r>
        <w:rPr>
          <w:rFonts w:hint="eastAsia" w:ascii="Times New Roman" w:hAnsi="Times New Roman" w:eastAsia="宋体" w:cs="Times New Roman"/>
          <w:color w:val="auto"/>
          <w:szCs w:val="24"/>
          <w:highlight w:val="none"/>
          <w:lang w:val="en-US" w:eastAsia="zh-CN"/>
        </w:rPr>
        <w:t>柳</w:t>
      </w:r>
      <w:r>
        <w:rPr>
          <w:rFonts w:hint="default" w:ascii="Times New Roman" w:hAnsi="Times New Roman" w:eastAsia="宋体" w:cs="Times New Roman"/>
          <w:color w:val="auto"/>
          <w:szCs w:val="24"/>
          <w:highlight w:val="none"/>
        </w:rPr>
        <w:t>河的交汇断面位于</w:t>
      </w:r>
      <w:r>
        <w:rPr>
          <w:rFonts w:hint="eastAsia" w:ascii="Times New Roman" w:hAnsi="Times New Roman" w:eastAsia="宋体" w:cs="Times New Roman"/>
          <w:color w:val="auto"/>
          <w:kern w:val="44"/>
          <w:szCs w:val="24"/>
          <w:highlight w:val="none"/>
          <w:lang w:val="en-US" w:eastAsia="zh-CN"/>
        </w:rPr>
        <w:t>26#桥</w:t>
      </w:r>
      <w:r>
        <w:rPr>
          <w:rFonts w:hint="default" w:ascii="Times New Roman" w:hAnsi="Times New Roman" w:eastAsia="宋体" w:cs="Times New Roman"/>
          <w:color w:val="auto"/>
          <w:kern w:val="44"/>
          <w:szCs w:val="24"/>
          <w:highlight w:val="none"/>
        </w:rPr>
        <w:t>断面</w:t>
      </w:r>
      <w:r>
        <w:rPr>
          <w:rFonts w:hint="eastAsia" w:ascii="Times New Roman" w:hAnsi="Times New Roman" w:eastAsia="宋体" w:cs="Times New Roman"/>
          <w:color w:val="auto"/>
          <w:kern w:val="44"/>
          <w:szCs w:val="24"/>
          <w:highlight w:val="none"/>
          <w:lang w:val="en-US" w:eastAsia="zh-CN"/>
        </w:rPr>
        <w:t>上游</w:t>
      </w:r>
      <w:r>
        <w:rPr>
          <w:rFonts w:hint="default" w:ascii="Times New Roman" w:hAnsi="Times New Roman" w:eastAsia="宋体" w:cs="Times New Roman"/>
          <w:color w:val="auto"/>
          <w:szCs w:val="24"/>
          <w:highlight w:val="none"/>
        </w:rPr>
        <w:t>，地表水环境质量</w:t>
      </w:r>
      <w:r>
        <w:rPr>
          <w:rFonts w:hint="eastAsia" w:ascii="Times New Roman" w:hAnsi="Times New Roman" w:eastAsia="宋体" w:cs="Times New Roman"/>
          <w:color w:val="auto"/>
          <w:szCs w:val="24"/>
          <w:highlight w:val="none"/>
          <w:lang w:val="en-US" w:eastAsia="zh-CN"/>
        </w:rPr>
        <w:t>较好</w:t>
      </w:r>
      <w:r>
        <w:rPr>
          <w:rFonts w:hint="default" w:ascii="Times New Roman" w:hAnsi="Times New Roman" w:eastAsia="宋体" w:cs="Times New Roman"/>
          <w:color w:val="auto"/>
          <w:szCs w:val="24"/>
          <w:highlight w:val="none"/>
        </w:rPr>
        <w:t>。</w:t>
      </w:r>
    </w:p>
    <w:p>
      <w:pPr>
        <w:spacing w:line="360" w:lineRule="auto"/>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⑤</w:t>
      </w:r>
      <w:r>
        <w:rPr>
          <w:rFonts w:hint="eastAsia" w:cs="Times New Roman"/>
          <w:color w:val="auto"/>
          <w:sz w:val="24"/>
          <w:szCs w:val="24"/>
          <w:highlight w:val="none"/>
          <w:lang w:val="en-US" w:eastAsia="zh-CN"/>
        </w:rPr>
        <w:t>陆生生态</w:t>
      </w:r>
    </w:p>
    <w:p>
      <w:pPr>
        <w:spacing w:line="360" w:lineRule="auto"/>
        <w:jc w:val="both"/>
        <w:rPr>
          <w:color w:val="auto"/>
          <w:sz w:val="24"/>
          <w:szCs w:val="24"/>
          <w:highlight w:val="none"/>
        </w:rPr>
      </w:pPr>
      <w:r>
        <w:rPr>
          <w:rFonts w:hint="eastAsia"/>
          <w:color w:val="auto"/>
          <w:sz w:val="24"/>
          <w:szCs w:val="24"/>
          <w:highlight w:val="none"/>
        </w:rPr>
        <w:t>由土地利用现状调查的章节可知，</w:t>
      </w:r>
      <w:r>
        <w:rPr>
          <w:color w:val="auto"/>
          <w:sz w:val="24"/>
          <w:szCs w:val="24"/>
          <w:highlight w:val="none"/>
        </w:rPr>
        <w:t>生态评价范围内以</w:t>
      </w:r>
      <w:r>
        <w:rPr>
          <w:rFonts w:hint="eastAsia" w:ascii="Times New Roman" w:hAnsi="Times New Roman" w:eastAsia="宋体" w:cs="Times New Roman"/>
          <w:color w:val="auto"/>
          <w:sz w:val="24"/>
          <w:szCs w:val="24"/>
          <w:highlight w:val="none"/>
          <w:lang w:val="en-US" w:eastAsia="zh-CN"/>
        </w:rPr>
        <w:t>草地和林地</w:t>
      </w:r>
      <w:r>
        <w:rPr>
          <w:color w:val="auto"/>
          <w:sz w:val="24"/>
          <w:szCs w:val="24"/>
          <w:highlight w:val="none"/>
        </w:rPr>
        <w:t>占地比例</w:t>
      </w:r>
      <w:r>
        <w:rPr>
          <w:rFonts w:hint="eastAsia"/>
          <w:color w:val="auto"/>
          <w:sz w:val="24"/>
          <w:szCs w:val="24"/>
          <w:highlight w:val="none"/>
          <w:lang w:val="en-US" w:eastAsia="zh-CN"/>
        </w:rPr>
        <w:t>较</w:t>
      </w:r>
      <w:r>
        <w:rPr>
          <w:color w:val="auto"/>
          <w:sz w:val="24"/>
          <w:szCs w:val="24"/>
          <w:highlight w:val="none"/>
        </w:rPr>
        <w:t>大，其次为</w:t>
      </w:r>
      <w:r>
        <w:rPr>
          <w:rFonts w:hint="eastAsia" w:ascii="Times New Roman" w:hAnsi="Times New Roman" w:eastAsia="宋体" w:cs="Times New Roman"/>
          <w:color w:val="auto"/>
          <w:sz w:val="24"/>
          <w:szCs w:val="24"/>
          <w:highlight w:val="none"/>
          <w:lang w:val="en-US" w:eastAsia="zh-CN"/>
        </w:rPr>
        <w:t>旱地</w:t>
      </w:r>
      <w:r>
        <w:rPr>
          <w:rFonts w:hint="eastAsia"/>
          <w:color w:val="auto"/>
          <w:sz w:val="24"/>
          <w:szCs w:val="24"/>
          <w:highlight w:val="none"/>
          <w:lang w:eastAsia="zh-CN"/>
        </w:rPr>
        <w:t>等</w:t>
      </w:r>
      <w:r>
        <w:rPr>
          <w:color w:val="auto"/>
          <w:sz w:val="24"/>
          <w:szCs w:val="24"/>
          <w:highlight w:val="none"/>
        </w:rPr>
        <w:t>。</w:t>
      </w:r>
    </w:p>
    <w:p>
      <w:pPr>
        <w:spacing w:line="360" w:lineRule="auto"/>
        <w:jc w:val="both"/>
        <w:rPr>
          <w:color w:val="auto"/>
          <w:sz w:val="24"/>
          <w:szCs w:val="24"/>
          <w:highlight w:val="none"/>
        </w:rPr>
      </w:pPr>
      <w:r>
        <w:rPr>
          <w:rFonts w:hint="eastAsia"/>
          <w:color w:val="auto"/>
          <w:sz w:val="24"/>
          <w:szCs w:val="24"/>
          <w:highlight w:val="none"/>
        </w:rPr>
        <w:t>在生态评价范围内主要以林地</w:t>
      </w:r>
      <w:r>
        <w:rPr>
          <w:rFonts w:hint="eastAsia"/>
          <w:color w:val="auto"/>
          <w:sz w:val="24"/>
          <w:szCs w:val="24"/>
          <w:highlight w:val="none"/>
          <w:lang w:eastAsia="zh-CN"/>
        </w:rPr>
        <w:t>、</w:t>
      </w:r>
      <w:r>
        <w:rPr>
          <w:rFonts w:hint="eastAsia"/>
          <w:color w:val="auto"/>
          <w:sz w:val="24"/>
          <w:szCs w:val="24"/>
          <w:highlight w:val="none"/>
          <w:lang w:val="en-US" w:eastAsia="zh-CN"/>
        </w:rPr>
        <w:t>草地</w:t>
      </w:r>
      <w:r>
        <w:rPr>
          <w:rFonts w:hint="eastAsia"/>
          <w:color w:val="auto"/>
          <w:sz w:val="24"/>
          <w:szCs w:val="24"/>
          <w:highlight w:val="none"/>
        </w:rPr>
        <w:t>分布为主，本项目为</w:t>
      </w:r>
      <w:r>
        <w:rPr>
          <w:rFonts w:hint="eastAsia"/>
          <w:color w:val="auto"/>
          <w:sz w:val="24"/>
          <w:szCs w:val="24"/>
          <w:highlight w:val="none"/>
          <w:lang w:eastAsia="zh-CN"/>
        </w:rPr>
        <w:t>水生态修复提升工程</w:t>
      </w:r>
      <w:r>
        <w:rPr>
          <w:rFonts w:hint="eastAsia"/>
          <w:color w:val="auto"/>
          <w:sz w:val="24"/>
          <w:szCs w:val="24"/>
          <w:highlight w:val="none"/>
        </w:rPr>
        <w:t>，属于线性工程，占地面积较小，且项目建设对所占区域地表植被状况影响很小，大部分为乔木林、灌木林及荒草地，不涉及基本农田。项目建设后，本项目占地范围的土地性质仍为水域及水利设施用地，建设前后项目占地范围内的土地性质未发生改变，对土地利用性质的改变程度很小，因此这种改变对整个生态评价范围的影响是可接受的。</w:t>
      </w:r>
    </w:p>
    <w:p>
      <w:pPr>
        <w:spacing w:line="360" w:lineRule="auto"/>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lang w:val="en-US" w:eastAsia="zh-CN"/>
        </w:rPr>
        <w:t>生态保护红线</w:t>
      </w:r>
    </w:p>
    <w:p>
      <w:pPr>
        <w:spacing w:line="360" w:lineRule="auto"/>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本项目占用的生态保护红线区域主要为</w:t>
      </w:r>
      <w:r>
        <w:rPr>
          <w:rFonts w:hint="eastAsia" w:ascii="Times New Roman" w:hAnsi="Times New Roman" w:eastAsia="宋体" w:cs="Times New Roman"/>
          <w:color w:val="auto"/>
          <w:sz w:val="24"/>
          <w:szCs w:val="24"/>
          <w:highlight w:val="none"/>
          <w:lang w:val="en-US" w:eastAsia="zh-CN"/>
        </w:rPr>
        <w:t>柳河段</w:t>
      </w:r>
      <w:r>
        <w:rPr>
          <w:rFonts w:hint="default" w:ascii="Times New Roman" w:hAnsi="Times New Roman" w:eastAsia="宋体" w:cs="Times New Roman"/>
          <w:color w:val="auto"/>
          <w:sz w:val="24"/>
          <w:szCs w:val="24"/>
          <w:highlight w:val="none"/>
          <w:lang w:val="en-US" w:eastAsia="zh-CN"/>
        </w:rPr>
        <w:t>，生态保护红线的功能为水源涵养区，保护内容为燕山水源涵养、生物多样性维护，植被类型主要为温性针叶林和针阔混交林（森林生态系统）。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本项目占用的生态保护红线斑块化明显，部分自然岸线受到侵占。</w:t>
      </w:r>
      <w:r>
        <w:rPr>
          <w:rFonts w:hint="eastAsia" w:ascii="Times New Roman" w:hAnsi="Times New Roman" w:eastAsia="宋体" w:cs="Times New Roman"/>
          <w:color w:val="auto"/>
          <w:sz w:val="24"/>
          <w:szCs w:val="24"/>
          <w:highlight w:val="none"/>
          <w:lang w:val="en-US" w:eastAsia="zh-CN"/>
        </w:rPr>
        <w:t>柳河</w:t>
      </w:r>
      <w:r>
        <w:rPr>
          <w:rFonts w:hint="default" w:ascii="Times New Roman" w:hAnsi="Times New Roman" w:eastAsia="宋体" w:cs="Times New Roman"/>
          <w:color w:val="auto"/>
          <w:sz w:val="24"/>
          <w:szCs w:val="24"/>
          <w:highlight w:val="none"/>
          <w:lang w:val="en-US" w:eastAsia="zh-CN"/>
        </w:rPr>
        <w:t>流域生态保护红线面积占比虽高于河北省平均水平，但红线外仍有部分具有重要水源涵养及水土保持功能的生态空间未得到有效保护。已划定管理范围并竖桩划界的部分河段，岸线分区利用边界不明确，河道及滩地受侵占现象较为突出。</w:t>
      </w:r>
    </w:p>
    <w:p>
      <w:pPr>
        <w:pStyle w:val="5"/>
        <w:rPr>
          <w:highlight w:val="none"/>
        </w:rPr>
      </w:pPr>
      <w:bookmarkStart w:id="441" w:name="_Toc14810"/>
      <w:r>
        <w:rPr>
          <w:highlight w:val="none"/>
        </w:rPr>
        <w:t>4.4 项目</w:t>
      </w:r>
      <w:r>
        <w:rPr>
          <w:rFonts w:hint="eastAsia"/>
          <w:highlight w:val="none"/>
        </w:rPr>
        <w:t>区域</w:t>
      </w:r>
      <w:r>
        <w:rPr>
          <w:highlight w:val="none"/>
        </w:rPr>
        <w:t>污染源</w:t>
      </w:r>
      <w:bookmarkEnd w:id="435"/>
      <w:bookmarkEnd w:id="436"/>
      <w:bookmarkEnd w:id="437"/>
      <w:r>
        <w:rPr>
          <w:highlight w:val="none"/>
        </w:rPr>
        <w:t>调查</w:t>
      </w:r>
      <w:bookmarkEnd w:id="438"/>
      <w:bookmarkEnd w:id="439"/>
      <w:bookmarkEnd w:id="440"/>
      <w:bookmarkEnd w:id="441"/>
    </w:p>
    <w:p>
      <w:pPr>
        <w:bidi w:val="0"/>
        <w:rPr>
          <w:rFonts w:hint="eastAsia"/>
          <w:b/>
          <w:bCs/>
          <w:sz w:val="21"/>
          <w:szCs w:val="18"/>
          <w:lang w:eastAsia="zh-CN"/>
        </w:rPr>
      </w:pPr>
      <w:r>
        <w:rPr>
          <w:rFonts w:hint="eastAsia"/>
        </w:rPr>
        <w:t>根据现场调查可知，项目所在地区域开发利用程度不高，是主要以农业种植为主的山区农村环境。项目评价范围及周边区域主要是农田及居民生活源</w:t>
      </w:r>
      <w:r>
        <w:rPr>
          <w:rFonts w:hint="eastAsia"/>
          <w:lang w:eastAsia="zh-CN"/>
        </w:rPr>
        <w:t>，无</w:t>
      </w:r>
      <w:r>
        <w:rPr>
          <w:rFonts w:hint="eastAsia"/>
        </w:rPr>
        <w:t>工业企业。</w:t>
      </w:r>
    </w:p>
    <w:p>
      <w:pPr>
        <w:numPr>
          <w:ilvl w:val="0"/>
          <w:numId w:val="0"/>
        </w:numPr>
        <w:tabs>
          <w:tab w:val="left" w:pos="0"/>
        </w:tabs>
        <w:autoSpaceDE w:val="0"/>
        <w:autoSpaceDN w:val="0"/>
        <w:adjustRightInd w:val="0"/>
        <w:ind w:leftChars="0"/>
        <w:jc w:val="center"/>
        <w:rPr>
          <w:b/>
          <w:bCs/>
          <w:sz w:val="21"/>
          <w:szCs w:val="18"/>
          <w:lang w:eastAsia="ja-JP"/>
        </w:rPr>
      </w:pPr>
      <w:r>
        <w:rPr>
          <w:rFonts w:hint="eastAsia"/>
          <w:b/>
          <w:bCs/>
          <w:sz w:val="21"/>
          <w:szCs w:val="18"/>
          <w:lang w:eastAsia="zh-CN"/>
        </w:rPr>
        <w:t>表</w:t>
      </w:r>
      <w:r>
        <w:rPr>
          <w:rFonts w:hint="eastAsia"/>
          <w:b/>
          <w:bCs/>
          <w:sz w:val="21"/>
          <w:szCs w:val="18"/>
          <w:lang w:val="en-US" w:eastAsia="zh-CN"/>
        </w:rPr>
        <w:t xml:space="preserve">4.4-1  </w:t>
      </w:r>
      <w:r>
        <w:rPr>
          <w:b/>
          <w:bCs/>
          <w:sz w:val="21"/>
          <w:szCs w:val="18"/>
        </w:rPr>
        <w:t>区域污染源调查情况表</w:t>
      </w:r>
    </w:p>
    <w:tbl>
      <w:tblPr>
        <w:tblStyle w:val="39"/>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290"/>
        <w:gridCol w:w="1350"/>
        <w:gridCol w:w="1650"/>
        <w:gridCol w:w="1948"/>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1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738"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污染源分类</w:t>
            </w:r>
          </w:p>
        </w:tc>
        <w:tc>
          <w:tcPr>
            <w:tcW w:w="77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污染源名称</w:t>
            </w:r>
          </w:p>
        </w:tc>
        <w:tc>
          <w:tcPr>
            <w:tcW w:w="94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相关描述</w:t>
            </w:r>
          </w:p>
        </w:tc>
        <w:tc>
          <w:tcPr>
            <w:tcW w:w="111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污染物</w:t>
            </w:r>
          </w:p>
        </w:tc>
        <w:tc>
          <w:tcPr>
            <w:tcW w:w="101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对地表水的影响途径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1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738"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农业源</w:t>
            </w:r>
          </w:p>
        </w:tc>
        <w:tc>
          <w:tcPr>
            <w:tcW w:w="77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农业种植</w:t>
            </w:r>
          </w:p>
        </w:tc>
        <w:tc>
          <w:tcPr>
            <w:tcW w:w="94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eastAsia" w:cs="Times New Roman"/>
                <w:sz w:val="21"/>
                <w:szCs w:val="21"/>
                <w:lang w:eastAsia="zh-CN"/>
              </w:rPr>
              <w:t>农田</w:t>
            </w:r>
            <w:r>
              <w:rPr>
                <w:rFonts w:hint="eastAsia" w:ascii="Times New Roman" w:hAnsi="Times New Roman" w:cs="Times New Roman"/>
                <w:sz w:val="21"/>
                <w:szCs w:val="21"/>
              </w:rPr>
              <w:t>耕地面积</w:t>
            </w:r>
            <w:r>
              <w:rPr>
                <w:rFonts w:hint="eastAsia" w:cs="Times New Roman"/>
                <w:sz w:val="21"/>
                <w:szCs w:val="21"/>
                <w:lang w:val="en-US" w:eastAsia="zh-CN"/>
              </w:rPr>
              <w:t>40</w:t>
            </w:r>
            <w:r>
              <w:rPr>
                <w:rFonts w:hint="eastAsia" w:ascii="Times New Roman" w:hAnsi="Times New Roman" w:cs="Times New Roman"/>
                <w:sz w:val="21"/>
                <w:szCs w:val="21"/>
              </w:rPr>
              <w:t>亩</w:t>
            </w:r>
          </w:p>
        </w:tc>
        <w:tc>
          <w:tcPr>
            <w:tcW w:w="111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农药、化肥</w:t>
            </w:r>
          </w:p>
        </w:tc>
        <w:tc>
          <w:tcPr>
            <w:tcW w:w="101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sz w:val="21"/>
                <w:szCs w:val="21"/>
              </w:rPr>
            </w:pPr>
            <w:r>
              <w:rPr>
                <w:rFonts w:hint="default" w:ascii="Times New Roman" w:hAnsi="Times New Roman" w:cs="Times New Roman"/>
                <w:sz w:val="21"/>
                <w:szCs w:val="21"/>
              </w:rPr>
              <w:t>面源入渗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1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738"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生活源</w:t>
            </w:r>
          </w:p>
        </w:tc>
        <w:tc>
          <w:tcPr>
            <w:tcW w:w="77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农村生活</w:t>
            </w:r>
          </w:p>
        </w:tc>
        <w:tc>
          <w:tcPr>
            <w:tcW w:w="94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sz w:val="21"/>
                <w:szCs w:val="21"/>
                <w:lang w:eastAsia="zh-CN"/>
              </w:rPr>
            </w:pPr>
            <w:r>
              <w:rPr>
                <w:rFonts w:hint="eastAsia" w:cs="Times New Roman"/>
                <w:sz w:val="21"/>
                <w:szCs w:val="21"/>
                <w:lang w:eastAsia="zh-CN"/>
              </w:rPr>
              <w:t>杨树底下村、三块石村</w:t>
            </w:r>
          </w:p>
        </w:tc>
        <w:tc>
          <w:tcPr>
            <w:tcW w:w="111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生活污水、生活垃圾</w:t>
            </w:r>
          </w:p>
        </w:tc>
        <w:tc>
          <w:tcPr>
            <w:tcW w:w="101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面源入渗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1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3</w:t>
            </w:r>
          </w:p>
        </w:tc>
        <w:tc>
          <w:tcPr>
            <w:tcW w:w="738"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交通源</w:t>
            </w:r>
          </w:p>
        </w:tc>
        <w:tc>
          <w:tcPr>
            <w:tcW w:w="77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道路</w:t>
            </w:r>
            <w:r>
              <w:rPr>
                <w:rFonts w:hint="eastAsia" w:ascii="Times New Roman" w:hAnsi="Times New Roman" w:cs="Times New Roman"/>
                <w:sz w:val="21"/>
                <w:szCs w:val="21"/>
              </w:rPr>
              <w:t>、桥梁</w:t>
            </w:r>
          </w:p>
        </w:tc>
        <w:tc>
          <w:tcPr>
            <w:tcW w:w="94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rPr>
              <w:t>/</w:t>
            </w:r>
          </w:p>
        </w:tc>
        <w:tc>
          <w:tcPr>
            <w:tcW w:w="111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交通源（车辆运输）风险</w:t>
            </w:r>
          </w:p>
        </w:tc>
        <w:tc>
          <w:tcPr>
            <w:tcW w:w="101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危险化学品泄漏</w:t>
            </w:r>
          </w:p>
        </w:tc>
      </w:tr>
    </w:tbl>
    <w:p>
      <w:pPr>
        <w:ind w:firstLine="0" w:firstLineChars="0"/>
        <w:rPr>
          <w:rStyle w:val="46"/>
        </w:rPr>
      </w:pPr>
    </w:p>
    <w:p>
      <w:pPr>
        <w:ind w:firstLine="0" w:firstLineChars="0"/>
        <w:rPr>
          <w:rStyle w:val="46"/>
        </w:rPr>
        <w:sectPr>
          <w:pgSz w:w="11906" w:h="16838"/>
          <w:pgMar w:top="1701" w:right="1701" w:bottom="1701" w:left="1701" w:header="1020" w:footer="992" w:gutter="0"/>
          <w:cols w:space="425" w:num="1"/>
          <w:docGrid w:linePitch="326" w:charSpace="0"/>
        </w:sectPr>
      </w:pPr>
    </w:p>
    <w:p>
      <w:pPr>
        <w:pStyle w:val="3"/>
        <w:rPr>
          <w:rFonts w:ascii="Times New Roman" w:hAnsi="Times New Roman"/>
        </w:rPr>
      </w:pPr>
      <w:bookmarkStart w:id="442" w:name="_Toc286934660"/>
      <w:bookmarkStart w:id="443" w:name="_Toc21717"/>
      <w:bookmarkStart w:id="444" w:name="_Toc326754971"/>
      <w:bookmarkStart w:id="445" w:name="_Toc470785876"/>
      <w:bookmarkStart w:id="446" w:name="_Toc286835725"/>
      <w:bookmarkStart w:id="447" w:name="_Toc283110193"/>
      <w:bookmarkStart w:id="448" w:name="_Toc282959718"/>
      <w:bookmarkStart w:id="449" w:name="_Toc332632566"/>
      <w:bookmarkStart w:id="450" w:name="_Toc282946148"/>
      <w:r>
        <w:rPr>
          <w:rFonts w:ascii="Times New Roman" w:hAnsi="Times New Roman"/>
        </w:rPr>
        <w:t>第五章 环境影响预测与评价</w:t>
      </w:r>
      <w:bookmarkEnd w:id="442"/>
      <w:bookmarkEnd w:id="443"/>
      <w:bookmarkEnd w:id="444"/>
      <w:bookmarkEnd w:id="445"/>
      <w:bookmarkEnd w:id="446"/>
      <w:bookmarkEnd w:id="447"/>
      <w:bookmarkEnd w:id="448"/>
      <w:bookmarkEnd w:id="449"/>
      <w:bookmarkEnd w:id="450"/>
    </w:p>
    <w:p>
      <w:pPr>
        <w:pStyle w:val="5"/>
      </w:pPr>
      <w:bookmarkStart w:id="451" w:name="_Toc286934661"/>
      <w:bookmarkStart w:id="452" w:name="_Toc282959719"/>
      <w:bookmarkStart w:id="453" w:name="_Toc282946149"/>
      <w:bookmarkStart w:id="454" w:name="_Toc269200640"/>
      <w:bookmarkStart w:id="455" w:name="_Toc286835726"/>
      <w:bookmarkStart w:id="456" w:name="_Toc1678"/>
      <w:bookmarkStart w:id="457" w:name="_Toc332632567"/>
      <w:bookmarkStart w:id="458" w:name="_Toc470785877"/>
      <w:bookmarkStart w:id="459" w:name="_Toc326754972"/>
      <w:bookmarkStart w:id="460" w:name="_Toc5105"/>
      <w:bookmarkStart w:id="461" w:name="_Toc283110194"/>
      <w:bookmarkStart w:id="462" w:name="_Toc326754981"/>
      <w:bookmarkStart w:id="463" w:name="_Toc282959724"/>
      <w:bookmarkStart w:id="464" w:name="_Toc286934666"/>
      <w:bookmarkStart w:id="465" w:name="_Toc283110199"/>
      <w:bookmarkStart w:id="466" w:name="_Toc282946154"/>
      <w:bookmarkStart w:id="467" w:name="_Toc286835731"/>
      <w:bookmarkStart w:id="468" w:name="_Toc332632576"/>
      <w:bookmarkStart w:id="469" w:name="_Toc7502"/>
      <w:bookmarkStart w:id="470" w:name="_Toc470785883"/>
      <w:bookmarkStart w:id="471" w:name="_Toc269200646"/>
      <w:bookmarkStart w:id="472" w:name="_Toc282946163"/>
      <w:bookmarkStart w:id="473" w:name="_Toc326754996"/>
      <w:bookmarkStart w:id="474" w:name="_Toc269200651"/>
      <w:bookmarkStart w:id="475" w:name="_Toc470785890"/>
      <w:bookmarkStart w:id="476" w:name="_Toc286835740"/>
      <w:bookmarkStart w:id="477" w:name="_Toc286934675"/>
      <w:bookmarkStart w:id="478" w:name="_Toc282959733"/>
      <w:bookmarkStart w:id="479" w:name="_Toc332632591"/>
      <w:bookmarkStart w:id="480" w:name="_Toc283110208"/>
      <w:r>
        <w:t>5.1 建设阶段环境影响分析</w:t>
      </w:r>
      <w:bookmarkEnd w:id="451"/>
      <w:bookmarkEnd w:id="452"/>
      <w:bookmarkEnd w:id="453"/>
      <w:bookmarkEnd w:id="454"/>
      <w:bookmarkEnd w:id="455"/>
      <w:bookmarkEnd w:id="456"/>
      <w:bookmarkEnd w:id="457"/>
      <w:bookmarkEnd w:id="458"/>
      <w:bookmarkEnd w:id="459"/>
      <w:bookmarkEnd w:id="460"/>
      <w:bookmarkEnd w:id="461"/>
    </w:p>
    <w:p>
      <w:bookmarkStart w:id="481" w:name="_Toc11450"/>
      <w:bookmarkStart w:id="482" w:name="_Toc470785878"/>
      <w:bookmarkStart w:id="483" w:name="_Toc324770223"/>
      <w:bookmarkStart w:id="484" w:name="_Toc308012403"/>
      <w:bookmarkStart w:id="485" w:name="_Toc332632569"/>
      <w:bookmarkStart w:id="486" w:name="_Toc324769761"/>
      <w:bookmarkStart w:id="487" w:name="_Toc326754974"/>
      <w:r>
        <w:rPr>
          <w:rFonts w:hint="eastAsia"/>
        </w:rPr>
        <w:t>项目</w:t>
      </w:r>
      <w:r>
        <w:t>建设阶段主要污染</w:t>
      </w:r>
      <w:r>
        <w:rPr>
          <w:rFonts w:hint="eastAsia"/>
        </w:rPr>
        <w:t>物</w:t>
      </w:r>
      <w:r>
        <w:t>为施工废气、施工废水、施工噪声及</w:t>
      </w:r>
      <w:r>
        <w:rPr>
          <w:rFonts w:hint="eastAsia"/>
        </w:rPr>
        <w:t>施工</w:t>
      </w:r>
      <w:r>
        <w:t>固体废物</w:t>
      </w:r>
      <w:r>
        <w:rPr>
          <w:rFonts w:hint="eastAsia"/>
        </w:rPr>
        <w:t>等</w:t>
      </w:r>
      <w:r>
        <w:t>，建设阶段污染物的排放均呈现间断排放特征。</w:t>
      </w:r>
    </w:p>
    <w:p>
      <w:pPr>
        <w:pStyle w:val="6"/>
      </w:pPr>
      <w:bookmarkStart w:id="488" w:name="_Toc26209"/>
      <w:r>
        <w:t>5.1.1 建设阶段大气环境影响分析</w:t>
      </w:r>
      <w:bookmarkEnd w:id="481"/>
      <w:bookmarkEnd w:id="482"/>
      <w:bookmarkEnd w:id="488"/>
    </w:p>
    <w:bookmarkEnd w:id="483"/>
    <w:bookmarkEnd w:id="484"/>
    <w:bookmarkEnd w:id="485"/>
    <w:bookmarkEnd w:id="486"/>
    <w:bookmarkEnd w:id="487"/>
    <w:p>
      <w:bookmarkStart w:id="489" w:name="_Toc282946151"/>
      <w:bookmarkStart w:id="490" w:name="_Toc326754978"/>
      <w:bookmarkStart w:id="491" w:name="_Toc283110196"/>
      <w:bookmarkStart w:id="492" w:name="_Toc286835728"/>
      <w:bookmarkStart w:id="493" w:name="_Toc324769765"/>
      <w:bookmarkStart w:id="494" w:name="_Toc31764"/>
      <w:bookmarkStart w:id="495" w:name="_Toc282959721"/>
      <w:bookmarkStart w:id="496" w:name="_Toc324770227"/>
      <w:bookmarkStart w:id="497" w:name="_Toc332632573"/>
      <w:bookmarkStart w:id="498" w:name="_Toc470785879"/>
      <w:bookmarkStart w:id="499" w:name="_Toc286934663"/>
      <w:r>
        <w:rPr>
          <w:rFonts w:hint="eastAsia"/>
        </w:rPr>
        <w:t>项目</w:t>
      </w:r>
      <w:r>
        <w:t>建设阶段大气污染物主要为</w:t>
      </w:r>
      <w:r>
        <w:rPr>
          <w:rFonts w:hint="eastAsia"/>
        </w:rPr>
        <w:t>：场地</w:t>
      </w:r>
      <w:r>
        <w:t>平整、</w:t>
      </w:r>
      <w:r>
        <w:rPr>
          <w:rFonts w:hint="eastAsia"/>
        </w:rPr>
        <w:t>土方开挖、回填、</w:t>
      </w:r>
      <w:r>
        <w:t>建筑材料装卸及堆存、工程施工</w:t>
      </w:r>
      <w:r>
        <w:rPr>
          <w:rFonts w:hint="eastAsia"/>
        </w:rPr>
        <w:t>等工序产生的废气；运输车辆行驶产生道路扬尘；机械和车辆尾气等。</w:t>
      </w:r>
    </w:p>
    <w:p>
      <w:pPr>
        <w:pStyle w:val="7"/>
        <w:bidi w:val="0"/>
      </w:pPr>
      <w:r>
        <w:rPr>
          <w:rFonts w:hint="eastAsia"/>
          <w:lang w:val="en-US" w:eastAsia="zh-CN"/>
        </w:rPr>
        <w:t>5.1.1.1</w:t>
      </w:r>
      <w:r>
        <w:rPr>
          <w:rFonts w:hint="eastAsia"/>
        </w:rPr>
        <w:t>建设阶段施工扬尘影响分析</w:t>
      </w:r>
    </w:p>
    <w:p>
      <w:pPr>
        <w:rPr>
          <w:kern w:val="0"/>
          <w:szCs w:val="21"/>
        </w:rPr>
      </w:pPr>
      <w:r>
        <w:rPr>
          <w:rFonts w:ascii="宋体" w:hAnsi="宋体"/>
          <w:color w:val="000000"/>
        </w:rPr>
        <w:t>建设项目施工过程中由于土石方挖掘破坏了地表的原有结构，造成地面扬尘污染环境</w:t>
      </w:r>
      <w:r>
        <w:rPr>
          <w:rFonts w:hint="eastAsia" w:ascii="宋体" w:hAnsi="宋体"/>
          <w:color w:val="000000"/>
        </w:rPr>
        <w:t>。</w:t>
      </w:r>
      <w:r>
        <w:rPr>
          <w:rFonts w:ascii="宋体" w:hAnsi="宋体"/>
          <w:color w:val="000000"/>
        </w:rPr>
        <w:t>扬尘量的大小与</w:t>
      </w:r>
      <w:r>
        <w:rPr>
          <w:rFonts w:hint="eastAsia" w:ascii="宋体" w:hAnsi="宋体"/>
          <w:color w:val="000000"/>
        </w:rPr>
        <w:t>建设施工</w:t>
      </w:r>
      <w:r>
        <w:rPr>
          <w:rFonts w:ascii="宋体" w:hAnsi="宋体"/>
          <w:color w:val="000000"/>
        </w:rPr>
        <w:t>现场条件、施工阶段、管理水平、机械化程度及施工季节、土质及天气条件等诸多因素有关。根据对多个建筑施工工地的扬尘情况进行的类比调查：建筑施工扬尘较严重，施工场界周边无组织排放浓度一般达到</w:t>
      </w:r>
      <w:r>
        <w:rPr>
          <w:color w:val="000000"/>
        </w:rPr>
        <w:t>4-6mg/m</w:t>
      </w:r>
      <w:r>
        <w:rPr>
          <w:color w:val="000000"/>
          <w:kern w:val="44"/>
          <w:vertAlign w:val="superscript"/>
        </w:rPr>
        <w:t>3</w:t>
      </w:r>
      <w:r>
        <w:rPr>
          <w:rFonts w:ascii="宋体" w:hAnsi="宋体"/>
          <w:color w:val="000000"/>
        </w:rPr>
        <w:t>左右；当风速为</w:t>
      </w:r>
      <w:r>
        <w:rPr>
          <w:color w:val="000000"/>
        </w:rPr>
        <w:t>2.5m/s</w:t>
      </w:r>
      <w:r>
        <w:rPr>
          <w:rFonts w:ascii="宋体" w:hAnsi="宋体"/>
          <w:color w:val="000000"/>
        </w:rPr>
        <w:t>时，工地内的</w:t>
      </w:r>
      <w:r>
        <w:rPr>
          <w:rFonts w:hint="eastAsia" w:ascii="宋体" w:hAnsi="宋体"/>
          <w:color w:val="000000"/>
        </w:rPr>
        <w:t>扬尘颗粒物</w:t>
      </w:r>
      <w:r>
        <w:rPr>
          <w:rFonts w:ascii="宋体" w:hAnsi="宋体"/>
          <w:color w:val="000000"/>
        </w:rPr>
        <w:t>浓度为上风向对照点的</w:t>
      </w:r>
      <w:r>
        <w:rPr>
          <w:color w:val="000000"/>
        </w:rPr>
        <w:t>1.9</w:t>
      </w:r>
      <w:r>
        <w:rPr>
          <w:rFonts w:ascii="宋体" w:hAnsi="宋体"/>
          <w:color w:val="000000"/>
        </w:rPr>
        <w:t>倍。实践表明，施工场地洒水与否对扬尘的影响很大，场地洒水后扬尘量将降低</w:t>
      </w:r>
      <w:r>
        <w:rPr>
          <w:color w:val="000000"/>
        </w:rPr>
        <w:t>28%</w:t>
      </w:r>
      <w:r>
        <w:rPr>
          <w:rFonts w:ascii="宋体" w:hAnsi="宋体"/>
          <w:color w:val="000000"/>
        </w:rPr>
        <w:t>～</w:t>
      </w:r>
      <w:r>
        <w:rPr>
          <w:color w:val="000000"/>
        </w:rPr>
        <w:t>75%</w:t>
      </w:r>
      <w:r>
        <w:rPr>
          <w:rFonts w:ascii="宋体" w:hAnsi="宋体"/>
          <w:color w:val="000000"/>
        </w:rPr>
        <w:t>，大大减少其对</w:t>
      </w:r>
      <w:r>
        <w:rPr>
          <w:rFonts w:hint="eastAsia" w:ascii="宋体" w:hAnsi="宋体"/>
          <w:color w:val="000000"/>
        </w:rPr>
        <w:t>区域环境空气</w:t>
      </w:r>
      <w:r>
        <w:rPr>
          <w:rFonts w:ascii="宋体" w:hAnsi="宋体"/>
          <w:color w:val="000000"/>
        </w:rPr>
        <w:t>的影响。</w:t>
      </w:r>
    </w:p>
    <w:p>
      <w:pPr>
        <w:rPr>
          <w:kern w:val="0"/>
          <w:szCs w:val="21"/>
        </w:rPr>
      </w:pPr>
      <w:r>
        <w:rPr>
          <w:rFonts w:hint="eastAsia"/>
          <w:kern w:val="0"/>
          <w:szCs w:val="21"/>
        </w:rPr>
        <w:t>项目拟</w:t>
      </w:r>
      <w:r>
        <w:rPr>
          <w:kern w:val="0"/>
          <w:szCs w:val="21"/>
        </w:rPr>
        <w:t>采取的措施为：</w:t>
      </w:r>
    </w:p>
    <w:p>
      <w:r>
        <w:rPr>
          <w:rFonts w:hint="eastAsia"/>
        </w:rPr>
        <w:t>1、</w:t>
      </w:r>
      <w:r>
        <w:t>在施工现场出</w:t>
      </w:r>
      <w:r>
        <w:rPr>
          <w:rFonts w:hint="eastAsia"/>
        </w:rPr>
        <w:t>、</w:t>
      </w:r>
      <w:r>
        <w:t>入口明显位置设置公示牌，公示施工现场负责人、环保监督员、防尘措施、扬尘监督管理部门、举报投诉电话等信息；</w:t>
      </w:r>
    </w:p>
    <w:p>
      <w:pPr>
        <w:rPr>
          <w:kern w:val="0"/>
          <w:szCs w:val="21"/>
        </w:rPr>
      </w:pPr>
      <w:r>
        <w:rPr>
          <w:rFonts w:hint="eastAsia"/>
          <w:kern w:val="0"/>
          <w:szCs w:val="21"/>
        </w:rPr>
        <w:t>2、</w:t>
      </w:r>
      <w:r>
        <w:rPr>
          <w:kern w:val="0"/>
          <w:szCs w:val="21"/>
        </w:rPr>
        <w:t>对施工现场出</w:t>
      </w:r>
      <w:r>
        <w:rPr>
          <w:rFonts w:hint="eastAsia"/>
          <w:kern w:val="0"/>
          <w:szCs w:val="21"/>
        </w:rPr>
        <w:t>、</w:t>
      </w:r>
      <w:r>
        <w:rPr>
          <w:kern w:val="0"/>
          <w:szCs w:val="21"/>
        </w:rPr>
        <w:t>入口、场内施工道路、材料加工堆放区进行简单硬化处理，并保持地面整洁；</w:t>
      </w:r>
    </w:p>
    <w:p>
      <w:pPr>
        <w:rPr>
          <w:kern w:val="0"/>
          <w:szCs w:val="21"/>
        </w:rPr>
      </w:pPr>
      <w:r>
        <w:rPr>
          <w:rFonts w:hint="eastAsia"/>
          <w:kern w:val="0"/>
          <w:szCs w:val="21"/>
        </w:rPr>
        <w:t>3、</w:t>
      </w:r>
      <w:r>
        <w:rPr>
          <w:rFonts w:hint="eastAsia"/>
        </w:rPr>
        <w:t>在</w:t>
      </w:r>
      <w:r>
        <w:t>施工现场出口处设置车辆清洗设施并配套设置排水、泥浆沉淀设施，车辆冲洗干净后方可驶出；</w:t>
      </w:r>
    </w:p>
    <w:p>
      <w:pPr>
        <w:rPr>
          <w:kern w:val="0"/>
          <w:szCs w:val="21"/>
        </w:rPr>
      </w:pPr>
      <w:r>
        <w:rPr>
          <w:rFonts w:hint="eastAsia"/>
          <w:kern w:val="0"/>
          <w:szCs w:val="21"/>
        </w:rPr>
        <w:t>4、</w:t>
      </w:r>
      <w:r>
        <w:t>土地挖掘、平整及施工建设过程中采用洒水措施，及时向易产生扬尘的施工厂地、路面洒水，大风天增加洒水量及洒水次数，减少扬尘产生；</w:t>
      </w:r>
    </w:p>
    <w:p>
      <w:pPr>
        <w:rPr>
          <w:kern w:val="0"/>
          <w:szCs w:val="21"/>
        </w:rPr>
      </w:pPr>
      <w:r>
        <w:rPr>
          <w:rFonts w:hint="eastAsia"/>
          <w:kern w:val="0"/>
          <w:szCs w:val="21"/>
        </w:rPr>
        <w:t>5、</w:t>
      </w:r>
      <w:r>
        <w:t>施工时减少土地开挖面积，降低开挖土量，施工后及时回填，可有效地减少施工扬尘量；</w:t>
      </w:r>
    </w:p>
    <w:p>
      <w:pPr>
        <w:rPr>
          <w:kern w:val="0"/>
          <w:szCs w:val="21"/>
        </w:rPr>
      </w:pPr>
      <w:r>
        <w:rPr>
          <w:rFonts w:hint="eastAsia"/>
          <w:kern w:val="0"/>
          <w:szCs w:val="21"/>
        </w:rPr>
        <w:t>6、不在施工</w:t>
      </w:r>
      <w:r>
        <w:rPr>
          <w:kern w:val="0"/>
          <w:szCs w:val="21"/>
        </w:rPr>
        <w:t>现场搅拌，</w:t>
      </w:r>
      <w:r>
        <w:rPr>
          <w:rFonts w:hint="eastAsia"/>
          <w:kern w:val="0"/>
          <w:szCs w:val="21"/>
        </w:rPr>
        <w:t>外购成品施工料；</w:t>
      </w:r>
    </w:p>
    <w:p>
      <w:r>
        <w:rPr>
          <w:rFonts w:hint="eastAsia"/>
          <w:kern w:val="0"/>
          <w:szCs w:val="21"/>
        </w:rPr>
        <w:t>7、</w:t>
      </w:r>
      <w:r>
        <w:t>在施工工地内堆放砂石、建筑土方等易产生扬尘的粉状、粒状建筑材料的，应采取密闭或者遮盖等防尘措施，装卸、搬运时应当采取防尘措施；</w:t>
      </w:r>
    </w:p>
    <w:p>
      <w:r>
        <w:t>8</w:t>
      </w:r>
      <w:r>
        <w:rPr>
          <w:rFonts w:hint="eastAsia"/>
        </w:rPr>
        <w:t>、</w:t>
      </w:r>
      <w:r>
        <w:t>建筑垃圾应当及时清运，建筑垃圾在场地内堆存的，应当集中堆放并采取密闭或者遮盖等防尘措施；运输车辆应减速慢行，运输建筑垃圾及土方时应采用蓬布遮盖，以避免沿途洒落，减少运输扬尘；</w:t>
      </w:r>
      <w:r>
        <w:rPr>
          <w:rFonts w:hint="eastAsia"/>
        </w:rPr>
        <w:t>对运输道路及时进行清扫；</w:t>
      </w:r>
    </w:p>
    <w:p>
      <w:r>
        <w:rPr>
          <w:rFonts w:hint="eastAsia"/>
          <w:kern w:val="0"/>
          <w:szCs w:val="21"/>
        </w:rPr>
        <w:t>9、</w:t>
      </w:r>
      <w:r>
        <w:t>建</w:t>
      </w:r>
      <w:r>
        <w:rPr>
          <w:rFonts w:hint="eastAsia"/>
        </w:rPr>
        <w:t>设</w:t>
      </w:r>
      <w:r>
        <w:t>施工单位加强监管，对现场作业人员进行环境保护方面的培训教育，严格按照《河北省扬尘污染防治办法》（河北省人民政府令〔2020〕第1号）要求进行施工作业</w:t>
      </w:r>
      <w:r>
        <w:rPr>
          <w:rFonts w:hint="eastAsia"/>
        </w:rPr>
        <w:t>；</w:t>
      </w:r>
    </w:p>
    <w:p>
      <w:pPr>
        <w:rPr>
          <w:kern w:val="0"/>
          <w:szCs w:val="21"/>
        </w:rPr>
      </w:pPr>
      <w:r>
        <w:rPr>
          <w:rFonts w:hint="eastAsia"/>
          <w:kern w:val="0"/>
          <w:szCs w:val="21"/>
        </w:rPr>
        <w:t>1</w:t>
      </w:r>
      <w:r>
        <w:rPr>
          <w:kern w:val="0"/>
          <w:szCs w:val="21"/>
        </w:rPr>
        <w:t>0</w:t>
      </w:r>
      <w:r>
        <w:rPr>
          <w:rFonts w:hint="eastAsia"/>
          <w:kern w:val="0"/>
          <w:szCs w:val="21"/>
        </w:rPr>
        <w:t>、</w:t>
      </w:r>
      <w:r>
        <w:t>在施工工地同步安装视频监控设备和扬尘污染物在线监测设备，分别与建设主管部门、生态环境主管部门的监控设备联网，并保证系统正常运行，发生故障应当在二十四小时内修复。</w:t>
      </w:r>
    </w:p>
    <w:p>
      <w:pPr>
        <w:rPr>
          <w:kern w:val="0"/>
          <w:szCs w:val="21"/>
        </w:rPr>
      </w:pPr>
      <w:r>
        <w:rPr>
          <w:kern w:val="0"/>
          <w:szCs w:val="21"/>
        </w:rPr>
        <w:t>通过采取以上措施后，对施工扬尘的总体控制效率&gt;85%，可实现工程施工场地及运输道路外的PM</w:t>
      </w:r>
      <w:r>
        <w:rPr>
          <w:kern w:val="0"/>
          <w:szCs w:val="21"/>
          <w:vertAlign w:val="subscript"/>
        </w:rPr>
        <w:t>10</w:t>
      </w:r>
      <w:r>
        <w:rPr>
          <w:kern w:val="0"/>
          <w:szCs w:val="21"/>
        </w:rPr>
        <w:t>小时平均浓度与</w:t>
      </w:r>
      <w:r>
        <w:rPr>
          <w:rFonts w:hint="eastAsia"/>
          <w:kern w:val="0"/>
          <w:szCs w:val="21"/>
          <w:lang w:val="en-US" w:eastAsia="zh-CN"/>
        </w:rPr>
        <w:t>兴隆</w:t>
      </w:r>
      <w:r>
        <w:rPr>
          <w:rFonts w:hint="eastAsia"/>
          <w:kern w:val="0"/>
          <w:szCs w:val="21"/>
        </w:rPr>
        <w:t>县</w:t>
      </w:r>
      <w:r>
        <w:rPr>
          <w:kern w:val="0"/>
          <w:szCs w:val="21"/>
        </w:rPr>
        <w:t>PM</w:t>
      </w:r>
      <w:r>
        <w:rPr>
          <w:kern w:val="0"/>
          <w:szCs w:val="21"/>
          <w:vertAlign w:val="subscript"/>
        </w:rPr>
        <w:t>10</w:t>
      </w:r>
      <w:r>
        <w:rPr>
          <w:kern w:val="0"/>
          <w:szCs w:val="21"/>
        </w:rPr>
        <w:t>小时平均浓度的差值小于80ug/m</w:t>
      </w:r>
      <w:r>
        <w:rPr>
          <w:kern w:val="0"/>
          <w:szCs w:val="21"/>
          <w:vertAlign w:val="superscript"/>
        </w:rPr>
        <w:t>3</w:t>
      </w:r>
      <w:r>
        <w:rPr>
          <w:kern w:val="0"/>
          <w:szCs w:val="21"/>
        </w:rPr>
        <w:t>（≤2 次/天），满足《施工场地扬尘排放标准》（DB 13/ 2934-2019）表1中扬尘排放浓度限值。</w:t>
      </w:r>
    </w:p>
    <w:p>
      <w:r>
        <w:t>建设阶段的</w:t>
      </w:r>
      <w:r>
        <w:rPr>
          <w:rFonts w:hint="eastAsia"/>
        </w:rPr>
        <w:t>施工</w:t>
      </w:r>
      <w:r>
        <w:t>扬尘污染具有临时性，当建设阶段结束后，</w:t>
      </w:r>
      <w:r>
        <w:rPr>
          <w:rFonts w:hint="eastAsia"/>
        </w:rPr>
        <w:t>施工</w:t>
      </w:r>
      <w:r>
        <w:t>扬尘所带来的污染也将随之结束。</w:t>
      </w:r>
    </w:p>
    <w:p>
      <w:pPr>
        <w:pStyle w:val="7"/>
        <w:bidi w:val="0"/>
      </w:pPr>
      <w:r>
        <w:rPr>
          <w:rFonts w:hint="eastAsia"/>
          <w:lang w:val="en-US" w:eastAsia="zh-CN"/>
        </w:rPr>
        <w:t>5.1.1.2</w:t>
      </w:r>
      <w:r>
        <w:rPr>
          <w:rFonts w:hint="eastAsia"/>
        </w:rPr>
        <w:t>建设阶段道路扬尘影响分析</w:t>
      </w:r>
    </w:p>
    <w:p>
      <w:r>
        <w:rPr>
          <w:rFonts w:hint="eastAsia"/>
        </w:rPr>
        <w:t>施工过程中各种施工材料的运输，尤其土石料等松散物料的运输将给运输道路沿线带来一定的扬尘污染。车辆道路扬尘为线源污染，扬尘在道路两侧扩散，最大起尘浓度易出现在道路两侧，随离散距离增加浓度逐渐降低，最终可达背景值。虽然是间歇性的，但对沿线道路两侧及整个施工区环境空气质量将产生不利影响。</w:t>
      </w:r>
    </w:p>
    <w:p>
      <w:r>
        <w:rPr>
          <w:rFonts w:hint="eastAsia"/>
        </w:rPr>
        <w:t>在同样路面清洁情况下，车速越快，扬尘量越大；而在同样车速情况下，路面清洁度越差，则扬尘量越大。根据类比调查，一般情况下，施工场地、施工道路在自然风力作用下产生的扬尘所影响的范围一般在100m以内。抑制扬尘的一个简洁有效的措施是洒水。在建设阶段内对车辆行驶的路面实施洒水抑尘，每天洒水4、5次，可使扬尘减少70%左右。并可将TSP污染距离缩小到20m～50m范围。</w:t>
      </w:r>
    </w:p>
    <w:p>
      <w:r>
        <w:rPr>
          <w:rFonts w:hint="eastAsia"/>
        </w:rPr>
        <w:t>项目通过采取运输车辆减速慢行，蓬布遮盖，对运输道路及时进行清扫等措施，以降低道路扬尘对区域环境空气的不利影响。</w:t>
      </w:r>
    </w:p>
    <w:p>
      <w:r>
        <w:t>建设阶段的</w:t>
      </w:r>
      <w:r>
        <w:rPr>
          <w:rFonts w:hint="eastAsia"/>
        </w:rPr>
        <w:t>道路</w:t>
      </w:r>
      <w:r>
        <w:t>扬尘污染具有临时性，当建设阶段结束后，</w:t>
      </w:r>
      <w:r>
        <w:rPr>
          <w:rFonts w:hint="eastAsia"/>
        </w:rPr>
        <w:t>道路</w:t>
      </w:r>
      <w:r>
        <w:t>扬尘所带来的污染也将随之结束。</w:t>
      </w:r>
    </w:p>
    <w:p>
      <w:pPr>
        <w:pStyle w:val="7"/>
        <w:bidi w:val="0"/>
      </w:pPr>
      <w:r>
        <w:rPr>
          <w:rFonts w:hint="eastAsia"/>
          <w:lang w:val="en-US" w:eastAsia="zh-CN"/>
        </w:rPr>
        <w:t>5.1.1.3</w:t>
      </w:r>
      <w:r>
        <w:rPr>
          <w:rFonts w:hint="eastAsia"/>
        </w:rPr>
        <w:t>建设阶段机械和车辆尾气影响分析</w:t>
      </w:r>
    </w:p>
    <w:p>
      <w:r>
        <w:rPr>
          <w:rFonts w:hint="eastAsia"/>
        </w:rPr>
        <w:t>项目施工需要使用的燃油机械设备一般有推土机、挖掘机、自卸汽车等，燃料以柴油为主，会产生一定量的废气。机械尾气中主要含CO、THC、NO</w:t>
      </w:r>
      <w:r>
        <w:rPr>
          <w:rFonts w:hint="eastAsia"/>
          <w:vertAlign w:val="subscript"/>
        </w:rPr>
        <w:t>x</w:t>
      </w:r>
      <w:r>
        <w:rPr>
          <w:rFonts w:hint="eastAsia"/>
        </w:rPr>
        <w:t>等污染物。由于项目作业区为线状，污染源分布分散，且污染物大多为露天排放，废气排放量不大且间歇排放，加强防护措施以及经大气扩散和稀释，对区域环境空气质量影响不大。</w:t>
      </w:r>
    </w:p>
    <w:p>
      <w:r>
        <w:t>建设阶段的</w:t>
      </w:r>
      <w:r>
        <w:rPr>
          <w:rFonts w:hint="eastAsia"/>
        </w:rPr>
        <w:t>机械和车辆尾气</w:t>
      </w:r>
      <w:r>
        <w:t>污染具有临时性，当建设阶段结束后，</w:t>
      </w:r>
      <w:r>
        <w:rPr>
          <w:rFonts w:hint="eastAsia"/>
        </w:rPr>
        <w:t>机械和车辆尾气</w:t>
      </w:r>
      <w:r>
        <w:t>所带来的污染也将随之结束。</w:t>
      </w:r>
    </w:p>
    <w:p>
      <w:pPr>
        <w:pStyle w:val="6"/>
      </w:pPr>
      <w:bookmarkStart w:id="500" w:name="_Toc16379"/>
      <w:r>
        <w:t>5.1.2 建设阶段水环境影响分析</w:t>
      </w:r>
      <w:bookmarkEnd w:id="489"/>
      <w:bookmarkEnd w:id="490"/>
      <w:bookmarkEnd w:id="491"/>
      <w:bookmarkEnd w:id="492"/>
      <w:bookmarkEnd w:id="493"/>
      <w:bookmarkEnd w:id="494"/>
      <w:bookmarkEnd w:id="495"/>
      <w:bookmarkEnd w:id="496"/>
      <w:bookmarkEnd w:id="497"/>
      <w:bookmarkEnd w:id="498"/>
      <w:bookmarkEnd w:id="499"/>
      <w:bookmarkEnd w:id="500"/>
    </w:p>
    <w:p>
      <w:pPr>
        <w:pStyle w:val="7"/>
        <w:bidi w:val="0"/>
        <w:rPr>
          <w:rFonts w:hint="eastAsia"/>
          <w:lang w:val="en-US" w:eastAsia="zh-CN"/>
        </w:rPr>
      </w:pPr>
      <w:r>
        <w:rPr>
          <w:rFonts w:hint="eastAsia"/>
          <w:lang w:val="en-US" w:eastAsia="zh-CN"/>
        </w:rPr>
        <w:t>5.1.2.1建设阶段地表水环境影响</w:t>
      </w:r>
    </w:p>
    <w:p>
      <w:pPr>
        <w:bidi w:val="0"/>
      </w:pPr>
      <w:r>
        <w:rPr>
          <w:rFonts w:hint="eastAsia"/>
          <w:lang w:eastAsia="zh-CN"/>
        </w:rPr>
        <w:t>（</w:t>
      </w:r>
      <w:r>
        <w:rPr>
          <w:rFonts w:hint="eastAsia"/>
          <w:lang w:val="en-US" w:eastAsia="zh-CN"/>
        </w:rPr>
        <w:t>1</w:t>
      </w:r>
      <w:r>
        <w:rPr>
          <w:rFonts w:hint="eastAsia"/>
          <w:lang w:eastAsia="zh-CN"/>
        </w:rPr>
        <w:t>）</w:t>
      </w:r>
      <w:r>
        <w:t>水质影响分析</w:t>
      </w:r>
    </w:p>
    <w:p>
      <w:pPr>
        <w:ind w:firstLine="540"/>
        <w:rPr>
          <w:szCs w:val="24"/>
        </w:rPr>
      </w:pPr>
      <w:r>
        <w:rPr>
          <w:szCs w:val="24"/>
        </w:rPr>
        <w:t>项目建设阶段废水主要为：基坑排水、施工场地雨季地表径流和施工人员生活盥洗污水。</w:t>
      </w:r>
    </w:p>
    <w:p>
      <w:pPr>
        <w:ind w:firstLine="540"/>
        <w:rPr>
          <w:szCs w:val="24"/>
        </w:rPr>
      </w:pPr>
      <w:r>
        <w:rPr>
          <w:szCs w:val="24"/>
        </w:rPr>
        <w:t>针对施工场地雨季地表径流和施工过程产生的基坑排水，要求河道内施工前，在河道管理线外设置临时沉淀池，河道内施工产生的基坑排水和施工场地内的雨季地表径流全部集中收集至临时沉淀池内沉淀后用于区域道路洒水抑尘和绿化使用，污水不得进入河流。</w:t>
      </w:r>
    </w:p>
    <w:p>
      <w:pPr>
        <w:ind w:firstLine="540"/>
      </w:pPr>
      <w:r>
        <w:t>项目不设置施工营地，租用</w:t>
      </w:r>
      <w:r>
        <w:rPr>
          <w:rFonts w:hint="eastAsia"/>
        </w:rPr>
        <w:t>周边</w:t>
      </w:r>
      <w:r>
        <w:t>民房，人员生活污水用于居民区域洒水降尘，对河流水环境质量无明显影响。</w:t>
      </w:r>
    </w:p>
    <w:p>
      <w:pPr>
        <w:ind w:firstLine="540"/>
        <w:rPr>
          <w:szCs w:val="24"/>
        </w:rPr>
      </w:pPr>
      <w:r>
        <w:rPr>
          <w:szCs w:val="24"/>
        </w:rPr>
        <w:t>同时</w:t>
      </w:r>
      <w:r>
        <w:rPr>
          <w:rFonts w:hint="eastAsia"/>
          <w:szCs w:val="24"/>
        </w:rPr>
        <w:t>，为防范水环境污染问题，施工方在建设过程中采取以下防范措施：</w:t>
      </w:r>
    </w:p>
    <w:p>
      <w:pPr>
        <w:ind w:firstLine="540"/>
        <w:rPr>
          <w:szCs w:val="24"/>
        </w:rPr>
      </w:pPr>
      <w:r>
        <w:rPr>
          <w:szCs w:val="24"/>
        </w:rPr>
        <w:t>①施工期间，各类施工作业严格控制在施工作业范围内进行施工；</w:t>
      </w:r>
    </w:p>
    <w:p>
      <w:pPr>
        <w:ind w:firstLine="540"/>
        <w:rPr>
          <w:szCs w:val="24"/>
        </w:rPr>
      </w:pPr>
      <w:r>
        <w:rPr>
          <w:szCs w:val="24"/>
        </w:rPr>
        <w:t>②严禁在施工期间向</w:t>
      </w:r>
      <w:r>
        <w:rPr>
          <w:rFonts w:hint="eastAsia"/>
          <w:szCs w:val="24"/>
        </w:rPr>
        <w:t>柳河</w:t>
      </w:r>
      <w:r>
        <w:rPr>
          <w:szCs w:val="24"/>
        </w:rPr>
        <w:t>及附近其他水体倾倒废渣、施工废水、垃圾及其他废弃物；</w:t>
      </w:r>
    </w:p>
    <w:p>
      <w:pPr>
        <w:ind w:firstLine="540"/>
        <w:rPr>
          <w:szCs w:val="24"/>
        </w:rPr>
      </w:pPr>
      <w:r>
        <w:rPr>
          <w:szCs w:val="24"/>
        </w:rPr>
        <w:t>③严禁将施工期间生活垃圾、建筑垃圾等在施工作业带中随意堆放，每天及时清运生活和建筑施工垃圾，日产日清；</w:t>
      </w:r>
    </w:p>
    <w:p>
      <w:pPr>
        <w:ind w:firstLine="540"/>
        <w:rPr>
          <w:szCs w:val="24"/>
        </w:rPr>
      </w:pPr>
      <w:r>
        <w:rPr>
          <w:szCs w:val="24"/>
        </w:rPr>
        <w:t>④施工期间，禁止破坏沿线非占地植被、生态环境等；</w:t>
      </w:r>
    </w:p>
    <w:p>
      <w:pPr>
        <w:snapToGrid/>
        <w:ind w:firstLine="540"/>
        <w:rPr>
          <w:szCs w:val="24"/>
        </w:rPr>
      </w:pPr>
      <w:r>
        <w:rPr>
          <w:szCs w:val="24"/>
        </w:rPr>
        <w:t>⑤生态护岸施工过程中在基坑沿河一侧设置导流围堰</w:t>
      </w:r>
      <w:r>
        <w:rPr>
          <w:rFonts w:hint="eastAsia"/>
          <w:szCs w:val="24"/>
        </w:rPr>
        <w:t>；</w:t>
      </w:r>
    </w:p>
    <w:p>
      <w:pPr>
        <w:snapToGrid/>
        <w:ind w:firstLine="540"/>
        <w:rPr>
          <w:szCs w:val="24"/>
        </w:rPr>
      </w:pPr>
      <w:r>
        <w:rPr>
          <w:szCs w:val="24"/>
        </w:rPr>
        <w:t>⑥河道清理施工时，依据现场实际情况，对于河滩较宽阔的地带，首先设置引流沟渠，引流沟宽度为10m，引流沟渠下底面进行压实处理，地表径流经引流沟流向下游。对于河道较窄，河滩陡峭区域，采用河道左右岸两边分段施工，利用基础开挖土方进行分期围堰，施工中采取分期导流的方式进行河道施工，河道清理完毕后对河道进行简单压实，减少河道表面浮土，防治短期SS浓度急剧升高。⑦项目施工期应加强施工机械的管理，施工车辆不得在河道内行驶，不得在河道内对施工设备进行检修、清洗，防止油品泄露而造成的地表水污染。</w:t>
      </w:r>
    </w:p>
    <w:p>
      <w:pPr>
        <w:ind w:firstLine="540"/>
        <w:rPr>
          <w:szCs w:val="24"/>
        </w:rPr>
      </w:pPr>
      <w:r>
        <w:rPr>
          <w:szCs w:val="24"/>
        </w:rPr>
        <w:t>项目导流围堰及河道清理、生态护岸、水生植物种植工程建设过程在一定程度上扰动地表水体，引起局部水域泥沙的悬浮，从而引起SS浓度增加，改变</w:t>
      </w:r>
      <w:r>
        <w:rPr>
          <w:rFonts w:hint="eastAsia"/>
          <w:kern w:val="2"/>
          <w:szCs w:val="22"/>
        </w:rPr>
        <w:t>柳河</w:t>
      </w:r>
      <w:r>
        <w:rPr>
          <w:szCs w:val="24"/>
        </w:rPr>
        <w:t>水质，但通过合理安排施工期时段，主要在枯水期进行工程建设，水流流速相对较小，因此对河道底泥的扰动只会短期内使小范围水体悬浮物有所超标，总体来看，产生的SS不会对水体水质造成较大不利影响。经过一段时间的沉淀，水体中的SS可恢复到接近原有水平</w:t>
      </w:r>
      <w:r>
        <w:rPr>
          <w:rFonts w:hint="eastAsia"/>
          <w:szCs w:val="24"/>
        </w:rPr>
        <w:t>。</w:t>
      </w:r>
    </w:p>
    <w:p>
      <w:pPr>
        <w:ind w:firstLine="542"/>
        <w:rPr>
          <w:rFonts w:hint="eastAsia"/>
          <w:b w:val="0"/>
          <w:bCs w:val="0"/>
          <w:szCs w:val="24"/>
        </w:rPr>
      </w:pPr>
      <w:r>
        <w:rPr>
          <w:b w:val="0"/>
          <w:bCs w:val="0"/>
          <w:szCs w:val="24"/>
        </w:rPr>
        <w:t>（2）水生生态影响</w:t>
      </w:r>
    </w:p>
    <w:p>
      <w:pPr>
        <w:ind w:firstLine="540"/>
        <w:rPr>
          <w:szCs w:val="24"/>
        </w:rPr>
      </w:pPr>
      <w:r>
        <w:rPr>
          <w:szCs w:val="24"/>
        </w:rPr>
        <w:t>施工期工程建设对地表及水体的扰动，导致水质混浊、恶化，水中的含氧量降低，进而导致河道内浮游生物减少，对河道内的底栖动物的生境产生了一定不利的影响，从而导致河道内的底栖生物逐渐减少；由于浮游生物、底栖动物等饵料生物量的减少及水质的变动，局部范围内改变了原有鱼类的生存、生长和繁衍条件，鱼类将择水而栖迁到其它地方，施工区域河道内鱼类密度有所降低。</w:t>
      </w:r>
    </w:p>
    <w:p>
      <w:pPr>
        <w:ind w:firstLine="540"/>
        <w:rPr>
          <w:szCs w:val="24"/>
        </w:rPr>
      </w:pPr>
      <w:r>
        <w:rPr>
          <w:szCs w:val="24"/>
        </w:rPr>
        <w:t>项目施工区域总体属于河道行洪区，由于水体条件所限，河段内仅有少量低级鱼类存在，施工范围内无重点保护野生植物生长繁殖地、非重要水生生物的自然产卵场、无水生生物索饵场、非水生生物的越冬场和洄游通道，无天然渔场。鱼类多为经济鱼类，</w:t>
      </w:r>
      <w:r>
        <w:t>包括马口鱼、赤眼鳟、餐鲦、麦穗鱼、蛇鮈、鲤鱼、鲫鱼、北鳅、北方须鳅、泥鳅、鲇等</w:t>
      </w:r>
      <w:r>
        <w:rPr>
          <w:szCs w:val="24"/>
        </w:rPr>
        <w:t>。</w:t>
      </w:r>
    </w:p>
    <w:p>
      <w:pPr>
        <w:ind w:firstLine="540"/>
        <w:rPr>
          <w:szCs w:val="24"/>
        </w:rPr>
      </w:pPr>
      <w:r>
        <w:rPr>
          <w:szCs w:val="24"/>
        </w:rPr>
        <w:t>工程建设过程对河道的扰动，使区域内的生物量有一定的减少</w:t>
      </w:r>
      <w:r>
        <w:rPr>
          <w:rFonts w:hint="eastAsia"/>
          <w:szCs w:val="24"/>
        </w:rPr>
        <w:t>。项目施工已结束，目前柳河</w:t>
      </w:r>
      <w:r>
        <w:rPr>
          <w:szCs w:val="24"/>
        </w:rPr>
        <w:t>水量充沛，水质清洁，原有的鱼类资源及其</w:t>
      </w:r>
      <w:r>
        <w:rPr>
          <w:rFonts w:hint="eastAsia"/>
          <w:szCs w:val="24"/>
        </w:rPr>
        <w:t>栖息地未发生生态环境恶化。</w:t>
      </w:r>
    </w:p>
    <w:p>
      <w:pPr>
        <w:ind w:firstLine="540"/>
        <w:rPr>
          <w:szCs w:val="24"/>
        </w:rPr>
      </w:pPr>
      <w:r>
        <w:rPr>
          <w:szCs w:val="24"/>
        </w:rPr>
        <w:t>总体来说</w:t>
      </w:r>
      <w:r>
        <w:rPr>
          <w:rFonts w:hint="eastAsia"/>
          <w:szCs w:val="24"/>
        </w:rPr>
        <w:t>，</w:t>
      </w:r>
      <w:r>
        <w:rPr>
          <w:szCs w:val="24"/>
        </w:rPr>
        <w:t>本项目的建设期对水生生物的影响是暂时的，不会导致水生生物多样性的减少，对水生生态环境影响较小。</w:t>
      </w:r>
    </w:p>
    <w:p>
      <w:pPr>
        <w:pStyle w:val="7"/>
        <w:bidi w:val="0"/>
        <w:rPr>
          <w:rFonts w:hint="eastAsia"/>
          <w:lang w:val="en-US" w:eastAsia="zh-CN"/>
        </w:rPr>
      </w:pPr>
      <w:r>
        <w:rPr>
          <w:rFonts w:hint="eastAsia"/>
          <w:lang w:val="en-US" w:eastAsia="zh-CN"/>
        </w:rPr>
        <w:t>5.1.2.2建设阶段地下水环境影响</w:t>
      </w:r>
    </w:p>
    <w:p>
      <w:pPr>
        <w:ind w:firstLine="540"/>
        <w:rPr>
          <w:szCs w:val="24"/>
        </w:rPr>
      </w:pPr>
      <w:r>
        <w:rPr>
          <w:szCs w:val="24"/>
        </w:rPr>
        <w:t>根据《环境影响评价技术导则 地下水环境》（HJ610-2016），本项目地下水环境影响评价工作等级为</w:t>
      </w:r>
      <w:r>
        <w:rPr>
          <w:rFonts w:hint="eastAsia"/>
          <w:szCs w:val="24"/>
        </w:rPr>
        <w:t>三</w:t>
      </w:r>
      <w:r>
        <w:rPr>
          <w:szCs w:val="24"/>
        </w:rPr>
        <w:t>级。</w:t>
      </w:r>
    </w:p>
    <w:p>
      <w:pPr>
        <w:ind w:firstLine="540"/>
        <w:rPr>
          <w:color w:val="auto"/>
          <w:szCs w:val="24"/>
        </w:rPr>
      </w:pPr>
      <w:r>
        <w:rPr>
          <w:color w:val="auto"/>
          <w:szCs w:val="24"/>
        </w:rPr>
        <w:t>本项目为</w:t>
      </w:r>
      <w:r>
        <w:rPr>
          <w:rFonts w:hint="eastAsia"/>
          <w:color w:val="auto"/>
          <w:szCs w:val="24"/>
          <w:lang w:eastAsia="zh-CN"/>
        </w:rPr>
        <w:t>河流</w:t>
      </w:r>
      <w:r>
        <w:rPr>
          <w:color w:val="auto"/>
          <w:szCs w:val="24"/>
        </w:rPr>
        <w:t>生态保护工程，施工期占地主要位于河道及河道紧邻的河岸，建设生态护岸、水生植物种植等，故本项目对</w:t>
      </w:r>
      <w:r>
        <w:rPr>
          <w:rFonts w:hint="eastAsia"/>
          <w:color w:val="auto"/>
          <w:szCs w:val="24"/>
        </w:rPr>
        <w:t>柳河</w:t>
      </w:r>
      <w:r>
        <w:rPr>
          <w:color w:val="auto"/>
          <w:szCs w:val="24"/>
        </w:rPr>
        <w:t>及河岸两侧地下水产生影响的污染源主要为临时沉淀池，为防止临时沉淀池影响地下水，沉淀池采取防渗措施（防渗系数K≤1×10</w:t>
      </w:r>
      <w:r>
        <w:rPr>
          <w:color w:val="auto"/>
          <w:szCs w:val="24"/>
          <w:vertAlign w:val="superscript"/>
        </w:rPr>
        <w:t>-7</w:t>
      </w:r>
      <w:r>
        <w:rPr>
          <w:color w:val="auto"/>
          <w:szCs w:val="24"/>
        </w:rPr>
        <w:t>cm/s）</w:t>
      </w:r>
      <w:r>
        <w:rPr>
          <w:rFonts w:hint="eastAsia"/>
          <w:color w:val="auto"/>
          <w:szCs w:val="24"/>
        </w:rPr>
        <w:t>。本项目开挖表土及土石方位于河流两侧，长期受地表径流、支持毛细水等冲刷，表土及土石方中的可溶性污染物含量极低，在本项目短暂的建设过程中，表土和土石方的短期堆存，表土和土石方中的少量污染物受自然降雨浸溶后的污染物的量极少，不会导致区域内的土壤和地下水污染。项目土石方回填采用原位回填方式，土石方已在原地长期存在多年，未导致区域地下水质量发生明显不达标现象，因此本项目原位回填后，不会对区域地下水产生不利影响</w:t>
      </w:r>
      <w:r>
        <w:rPr>
          <w:rFonts w:hint="eastAsia"/>
          <w:color w:val="auto"/>
          <w:szCs w:val="24"/>
          <w:lang w:eastAsia="zh-CN"/>
        </w:rPr>
        <w:t>。</w:t>
      </w:r>
      <w:r>
        <w:rPr>
          <w:rFonts w:hint="eastAsia"/>
          <w:color w:val="auto"/>
          <w:szCs w:val="24"/>
        </w:rPr>
        <w:t>项目运营期不产生污水，不存在水污染源。</w:t>
      </w:r>
    </w:p>
    <w:p>
      <w:pPr>
        <w:pStyle w:val="6"/>
        <w:rPr>
          <w:color w:val="auto"/>
        </w:rPr>
      </w:pPr>
      <w:bookmarkStart w:id="501" w:name="_Toc286934664"/>
      <w:bookmarkStart w:id="502" w:name="_Toc282946152"/>
      <w:bookmarkStart w:id="503" w:name="_Toc324769766"/>
      <w:bookmarkStart w:id="504" w:name="_Toc286835729"/>
      <w:bookmarkStart w:id="505" w:name="_Toc326754979"/>
      <w:bookmarkStart w:id="506" w:name="_Toc283110197"/>
      <w:bookmarkStart w:id="507" w:name="_Toc470785880"/>
      <w:bookmarkStart w:id="508" w:name="_Toc332632574"/>
      <w:bookmarkStart w:id="509" w:name="_Toc282959722"/>
      <w:bookmarkStart w:id="510" w:name="_Toc324770228"/>
      <w:bookmarkStart w:id="511" w:name="_Toc8475"/>
      <w:bookmarkStart w:id="512" w:name="_Toc23490"/>
      <w:r>
        <w:rPr>
          <w:color w:val="auto"/>
        </w:rPr>
        <w:t>5.1.3 建设阶段声环境影响分析</w:t>
      </w:r>
      <w:bookmarkEnd w:id="501"/>
      <w:bookmarkEnd w:id="502"/>
      <w:bookmarkEnd w:id="503"/>
      <w:bookmarkEnd w:id="504"/>
      <w:bookmarkEnd w:id="505"/>
      <w:bookmarkEnd w:id="506"/>
      <w:bookmarkEnd w:id="507"/>
      <w:bookmarkEnd w:id="508"/>
      <w:bookmarkEnd w:id="509"/>
      <w:bookmarkEnd w:id="510"/>
      <w:bookmarkEnd w:id="511"/>
      <w:bookmarkEnd w:id="512"/>
    </w:p>
    <w:p>
      <w:pPr>
        <w:keepNext w:val="0"/>
        <w:keepLines w:val="0"/>
        <w:pageBreakBefore w:val="0"/>
        <w:widowControl w:val="0"/>
        <w:kinsoku/>
        <w:wordWrap/>
        <w:overflowPunct/>
        <w:topLinePunct w:val="0"/>
        <w:autoSpaceDE/>
        <w:autoSpaceDN/>
        <w:bidi w:val="0"/>
        <w:adjustRightInd w:val="0"/>
        <w:snapToGrid w:val="0"/>
        <w:textAlignment w:val="auto"/>
        <w:rPr>
          <w:color w:val="auto"/>
        </w:rPr>
      </w:pPr>
      <w:bookmarkStart w:id="513" w:name="_Toc282946153"/>
      <w:bookmarkStart w:id="514" w:name="_Toc286835730"/>
      <w:bookmarkStart w:id="515" w:name="_Toc286934665"/>
      <w:bookmarkStart w:id="516" w:name="_Toc283110198"/>
      <w:bookmarkStart w:id="517" w:name="_Toc282959723"/>
      <w:r>
        <w:rPr>
          <w:color w:val="auto"/>
        </w:rPr>
        <w:t>根据</w:t>
      </w:r>
      <w:r>
        <w:rPr>
          <w:rFonts w:hint="eastAsia"/>
          <w:color w:val="auto"/>
        </w:rPr>
        <w:t>前述“2</w:t>
      </w:r>
      <w:r>
        <w:rPr>
          <w:color w:val="auto"/>
        </w:rPr>
        <w:t>.4.</w:t>
      </w:r>
      <w:r>
        <w:rPr>
          <w:rFonts w:hint="eastAsia"/>
          <w:color w:val="auto"/>
          <w:lang w:val="en-US" w:eastAsia="zh-CN"/>
        </w:rPr>
        <w:t>3</w:t>
      </w:r>
      <w:r>
        <w:rPr>
          <w:rFonts w:hint="eastAsia"/>
          <w:color w:val="auto"/>
        </w:rPr>
        <w:t>声环境影响评价等级”章节的分析，判定项目声环境影响评价工作等级为</w:t>
      </w:r>
      <w:r>
        <w:rPr>
          <w:rFonts w:hint="eastAsia"/>
          <w:b/>
          <w:color w:val="auto"/>
          <w:u w:val="single"/>
        </w:rPr>
        <w:t>二级评价</w:t>
      </w:r>
      <w:r>
        <w:rPr>
          <w:rFonts w:hint="eastAsia"/>
          <w:color w:val="auto"/>
        </w:rPr>
        <w:t>，按照</w:t>
      </w:r>
      <w:r>
        <w:rPr>
          <w:color w:val="auto"/>
        </w:rPr>
        <w:t xml:space="preserve">《环境影响评价技术导则  </w:t>
      </w:r>
      <w:r>
        <w:rPr>
          <w:rFonts w:hint="eastAsia"/>
          <w:color w:val="auto"/>
        </w:rPr>
        <w:t>声</w:t>
      </w:r>
      <w:r>
        <w:rPr>
          <w:color w:val="auto"/>
        </w:rPr>
        <w:t>环境》（HJ2.4-2021）</w:t>
      </w:r>
      <w:r>
        <w:rPr>
          <w:rFonts w:hint="eastAsia"/>
          <w:color w:val="auto"/>
        </w:rPr>
        <w:t>的相关规定开展评价工作。</w:t>
      </w:r>
    </w:p>
    <w:p>
      <w:pPr>
        <w:pStyle w:val="137"/>
        <w:bidi w:val="0"/>
        <w:outlineLvl w:val="3"/>
        <w:rPr>
          <w:color w:val="auto"/>
        </w:rPr>
      </w:pPr>
      <w:r>
        <w:rPr>
          <w:rFonts w:hint="eastAsia"/>
          <w:color w:val="auto"/>
          <w:lang w:val="en-US" w:eastAsia="zh-CN"/>
        </w:rPr>
        <w:t>5.1.3.1</w:t>
      </w:r>
      <w:r>
        <w:rPr>
          <w:rFonts w:hint="eastAsia"/>
          <w:color w:val="auto"/>
        </w:rPr>
        <w:t>声环境预测范围</w:t>
      </w:r>
    </w:p>
    <w:p>
      <w:pPr>
        <w:rPr>
          <w:color w:val="auto"/>
        </w:rPr>
      </w:pPr>
      <w:r>
        <w:rPr>
          <w:rFonts w:hint="eastAsia"/>
          <w:color w:val="auto"/>
        </w:rPr>
        <w:t>导则规定：“声影响预测范围应与评价范围相同”。</w:t>
      </w:r>
    </w:p>
    <w:p>
      <w:pPr>
        <w:rPr>
          <w:color w:val="auto"/>
        </w:rPr>
      </w:pPr>
      <w:r>
        <w:rPr>
          <w:rFonts w:hint="eastAsia"/>
          <w:color w:val="auto"/>
        </w:rPr>
        <w:t>噪声二级评价项目，评价范围为</w:t>
      </w:r>
      <w:r>
        <w:rPr>
          <w:rFonts w:hint="eastAsia"/>
          <w:color w:val="auto"/>
          <w:lang w:eastAsia="zh-CN"/>
        </w:rPr>
        <w:t>施工场</w:t>
      </w:r>
      <w:r>
        <w:rPr>
          <w:rFonts w:hint="eastAsia"/>
          <w:color w:val="auto"/>
        </w:rPr>
        <w:t>界范围外200m范围内。</w:t>
      </w:r>
    </w:p>
    <w:p>
      <w:pPr>
        <w:rPr>
          <w:color w:val="auto"/>
        </w:rPr>
      </w:pPr>
      <w:r>
        <w:rPr>
          <w:rFonts w:hint="eastAsia"/>
          <w:color w:val="auto"/>
        </w:rPr>
        <w:t>因此，项目声环境预测范围为：</w:t>
      </w:r>
      <w:r>
        <w:rPr>
          <w:rFonts w:hint="eastAsia"/>
          <w:color w:val="auto"/>
          <w:lang w:eastAsia="zh-CN"/>
        </w:rPr>
        <w:t>施工场</w:t>
      </w:r>
      <w:r>
        <w:rPr>
          <w:rFonts w:hint="eastAsia"/>
          <w:color w:val="auto"/>
        </w:rPr>
        <w:t>界范围外200m范围内。</w:t>
      </w:r>
    </w:p>
    <w:p>
      <w:pPr>
        <w:pStyle w:val="137"/>
        <w:bidi w:val="0"/>
        <w:outlineLvl w:val="3"/>
        <w:rPr>
          <w:color w:val="auto"/>
        </w:rPr>
      </w:pPr>
      <w:r>
        <w:rPr>
          <w:rFonts w:hint="eastAsia"/>
          <w:color w:val="auto"/>
          <w:lang w:val="en-US" w:eastAsia="zh-CN"/>
        </w:rPr>
        <w:t>5.1.3.2</w:t>
      </w:r>
      <w:r>
        <w:rPr>
          <w:rFonts w:hint="eastAsia"/>
          <w:color w:val="auto"/>
        </w:rPr>
        <w:t>预测点和评价点的确定</w:t>
      </w:r>
    </w:p>
    <w:p>
      <w:pPr>
        <w:rPr>
          <w:rFonts w:hint="eastAsia"/>
          <w:color w:val="auto"/>
        </w:rPr>
      </w:pPr>
      <w:r>
        <w:rPr>
          <w:rFonts w:hint="eastAsia"/>
          <w:color w:val="auto"/>
        </w:rPr>
        <w:t>根据现状调查，项目</w:t>
      </w:r>
      <w:r>
        <w:rPr>
          <w:rFonts w:hint="eastAsia"/>
          <w:color w:val="auto"/>
          <w:lang w:eastAsia="zh-CN"/>
        </w:rPr>
        <w:t>施工场界</w:t>
      </w:r>
      <w:r>
        <w:rPr>
          <w:rFonts w:hint="eastAsia"/>
          <w:color w:val="auto"/>
        </w:rPr>
        <w:t>范围外周边200m范围内</w:t>
      </w:r>
      <w:r>
        <w:rPr>
          <w:rFonts w:hint="eastAsia"/>
          <w:color w:val="auto"/>
          <w:lang w:eastAsia="zh-CN"/>
        </w:rPr>
        <w:t>的声环境保护目标为杨树底下村和三块石村，评价范围内存有居民共计</w:t>
      </w:r>
      <w:r>
        <w:rPr>
          <w:rFonts w:hint="eastAsia"/>
          <w:color w:val="auto"/>
          <w:lang w:val="en-US" w:eastAsia="zh-CN"/>
        </w:rPr>
        <w:t>13户</w:t>
      </w:r>
      <w:r>
        <w:rPr>
          <w:rFonts w:hint="eastAsia"/>
          <w:color w:val="auto"/>
        </w:rPr>
        <w:t>。</w:t>
      </w:r>
    </w:p>
    <w:p>
      <w:pPr>
        <w:pStyle w:val="1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2" w:leftChars="0"/>
        <w:jc w:val="center"/>
        <w:textAlignment w:val="auto"/>
        <w:rPr>
          <w:rStyle w:val="46"/>
          <w:rFonts w:hint="default" w:ascii="Times New Roman" w:hAnsi="Times New Roman" w:eastAsia="宋体" w:cs="Times New Roman"/>
          <w:b/>
          <w:bCs/>
          <w:i w:val="0"/>
          <w:iCs/>
          <w:color w:val="auto"/>
          <w:sz w:val="21"/>
          <w:szCs w:val="21"/>
          <w:lang w:val="en-US" w:eastAsia="zh-CN"/>
        </w:rPr>
      </w:pPr>
      <w:r>
        <w:rPr>
          <w:rStyle w:val="46"/>
          <w:rFonts w:hint="eastAsia" w:ascii="Times New Roman" w:hAnsi="Times New Roman" w:eastAsia="宋体" w:cs="Times New Roman"/>
          <w:b/>
          <w:bCs/>
          <w:i w:val="0"/>
          <w:iCs/>
          <w:color w:val="auto"/>
          <w:sz w:val="21"/>
          <w:szCs w:val="21"/>
          <w:lang w:val="en-US" w:eastAsia="zh-CN"/>
        </w:rPr>
        <w:t>表5.1-1  声环境保护目标调查表</w:t>
      </w:r>
    </w:p>
    <w:tbl>
      <w:tblPr>
        <w:tblStyle w:val="39"/>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102"/>
        <w:gridCol w:w="892"/>
        <w:gridCol w:w="845"/>
        <w:gridCol w:w="379"/>
        <w:gridCol w:w="726"/>
        <w:gridCol w:w="884"/>
        <w:gridCol w:w="964"/>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cs="Times New Roman"/>
                <w:b/>
                <w:color w:val="auto"/>
                <w:kern w:val="0"/>
                <w:sz w:val="21"/>
                <w:szCs w:val="21"/>
                <w:lang w:eastAsia="zh-CN"/>
              </w:rPr>
              <w:t>序号</w:t>
            </w:r>
          </w:p>
        </w:tc>
        <w:tc>
          <w:tcPr>
            <w:tcW w:w="110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cs="Times New Roman"/>
                <w:b/>
                <w:color w:val="auto"/>
                <w:kern w:val="0"/>
                <w:sz w:val="21"/>
                <w:szCs w:val="21"/>
                <w:lang w:eastAsia="zh-CN"/>
              </w:rPr>
              <w:t>声环境保护目标名称</w:t>
            </w:r>
          </w:p>
        </w:tc>
        <w:tc>
          <w:tcPr>
            <w:tcW w:w="2116" w:type="dxa"/>
            <w:gridSpan w:val="3"/>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kern w:val="0"/>
                <w:sz w:val="21"/>
                <w:szCs w:val="21"/>
                <w:lang w:eastAsia="zh-CN"/>
              </w:rPr>
            </w:pPr>
            <w:r>
              <w:rPr>
                <w:rFonts w:hint="default" w:ascii="Times New Roman" w:hAnsi="Times New Roman" w:cs="Times New Roman"/>
                <w:b/>
                <w:color w:val="auto"/>
                <w:kern w:val="0"/>
                <w:sz w:val="21"/>
                <w:szCs w:val="21"/>
                <w:lang w:eastAsia="zh-CN"/>
              </w:rPr>
              <w:t>空间相对位置</w:t>
            </w:r>
            <w:r>
              <w:rPr>
                <w:rFonts w:hint="default" w:ascii="Times New Roman" w:hAnsi="Times New Roman" w:cs="Times New Roman"/>
                <w:b/>
                <w:color w:val="auto"/>
                <w:kern w:val="0"/>
                <w:sz w:val="21"/>
                <w:szCs w:val="21"/>
                <w:lang w:val="en-US" w:eastAsia="zh-CN"/>
              </w:rPr>
              <w:t>/m</w:t>
            </w:r>
          </w:p>
        </w:tc>
        <w:tc>
          <w:tcPr>
            <w:tcW w:w="72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cs="Times New Roman"/>
                <w:b/>
                <w:color w:val="auto"/>
                <w:kern w:val="0"/>
                <w:sz w:val="21"/>
                <w:szCs w:val="21"/>
                <w:lang w:eastAsia="zh-CN"/>
              </w:rPr>
              <w:t>距厂界最近距离</w:t>
            </w:r>
            <w:r>
              <w:rPr>
                <w:rFonts w:hint="default" w:ascii="Times New Roman" w:hAnsi="Times New Roman" w:cs="Times New Roman"/>
                <w:b/>
                <w:color w:val="auto"/>
                <w:kern w:val="0"/>
                <w:sz w:val="21"/>
                <w:szCs w:val="21"/>
                <w:lang w:val="en-US" w:eastAsia="zh-CN"/>
              </w:rPr>
              <w:t>/m</w:t>
            </w:r>
          </w:p>
        </w:tc>
        <w:tc>
          <w:tcPr>
            <w:tcW w:w="88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cs="Times New Roman"/>
                <w:b/>
                <w:color w:val="auto"/>
                <w:kern w:val="0"/>
                <w:sz w:val="21"/>
                <w:szCs w:val="21"/>
                <w:lang w:eastAsia="zh-CN"/>
              </w:rPr>
              <w:t>方位</w:t>
            </w:r>
          </w:p>
        </w:tc>
        <w:tc>
          <w:tcPr>
            <w:tcW w:w="96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执行标准</w:t>
            </w:r>
          </w:p>
        </w:tc>
        <w:tc>
          <w:tcPr>
            <w:tcW w:w="226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val="en-US" w:eastAsia="zh-CN"/>
              </w:rPr>
              <w:t>声环境保护目标情况说明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102"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X</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Y</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Z</w:t>
            </w:r>
          </w:p>
        </w:tc>
        <w:tc>
          <w:tcPr>
            <w:tcW w:w="7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88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96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226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三块石村</w:t>
            </w:r>
            <w:r>
              <w:rPr>
                <w:rFonts w:hint="default" w:ascii="Times New Roman" w:hAnsi="Times New Roman" w:eastAsia="宋体" w:cs="Times New Roman"/>
                <w:i w:val="0"/>
                <w:iCs w:val="0"/>
                <w:color w:val="auto"/>
                <w:kern w:val="0"/>
                <w:sz w:val="21"/>
                <w:szCs w:val="21"/>
                <w:u w:val="none"/>
                <w:lang w:val="en-US" w:eastAsia="zh-CN" w:bidi="ar"/>
              </w:rPr>
              <w:t>居民1#</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-136.32</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153.99</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120</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eastAsia="zh-CN"/>
              </w:rPr>
              <w:t>东</w:t>
            </w:r>
            <w:r>
              <w:rPr>
                <w:rFonts w:hint="default" w:ascii="Times New Roman" w:hAnsi="Times New Roman" w:cs="Times New Roman"/>
                <w:color w:val="auto"/>
                <w:kern w:val="0"/>
                <w:sz w:val="21"/>
                <w:szCs w:val="21"/>
                <w:lang w:eastAsia="zh-CN"/>
              </w:rPr>
              <w:t>北</w:t>
            </w:r>
          </w:p>
        </w:tc>
        <w:tc>
          <w:tcPr>
            <w:tcW w:w="96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《声环境质量标准》（GB3096-2008）中的2类区</w:t>
            </w:r>
          </w:p>
        </w:tc>
        <w:tc>
          <w:tcPr>
            <w:tcW w:w="22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砖混结构，朝向南，</w:t>
            </w:r>
            <w:r>
              <w:rPr>
                <w:rFonts w:hint="default" w:ascii="Times New Roman" w:hAnsi="Times New Roman" w:cs="Times New Roman"/>
                <w:color w:val="auto"/>
                <w:kern w:val="0"/>
                <w:sz w:val="21"/>
                <w:szCs w:val="21"/>
                <w:lang w:val="en-US" w:eastAsia="zh-CN"/>
              </w:rPr>
              <w:t>1F，典型北方农村民居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1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eastAsia="zh-CN"/>
              </w:rPr>
            </w:pPr>
            <w:r>
              <w:rPr>
                <w:rFonts w:hint="eastAsia" w:ascii="Times New Roman" w:hAnsi="Times New Roman" w:eastAsia="宋体" w:cs="Times New Roman"/>
                <w:i w:val="0"/>
                <w:iCs w:val="0"/>
                <w:color w:val="auto"/>
                <w:kern w:val="0"/>
                <w:sz w:val="21"/>
                <w:szCs w:val="21"/>
                <w:u w:val="none"/>
                <w:lang w:val="en-US" w:eastAsia="zh-CN" w:bidi="ar"/>
              </w:rPr>
              <w:t>三块石村</w:t>
            </w:r>
            <w:r>
              <w:rPr>
                <w:rFonts w:hint="default" w:ascii="Times New Roman" w:hAnsi="Times New Roman" w:eastAsia="宋体" w:cs="Times New Roman"/>
                <w:i w:val="0"/>
                <w:iCs w:val="0"/>
                <w:color w:val="auto"/>
                <w:kern w:val="0"/>
                <w:sz w:val="21"/>
                <w:szCs w:val="21"/>
                <w:u w:val="none"/>
                <w:lang w:val="en-US" w:eastAsia="zh-CN" w:bidi="ar"/>
              </w:rPr>
              <w:t>居民2#</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-141.32</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169.6</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141</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东</w:t>
            </w:r>
            <w:r>
              <w:rPr>
                <w:rFonts w:hint="default" w:ascii="Times New Roman" w:hAnsi="Times New Roman" w:cs="Times New Roman"/>
                <w:color w:val="auto"/>
                <w:kern w:val="0"/>
                <w:sz w:val="21"/>
                <w:szCs w:val="21"/>
                <w:lang w:eastAsia="zh-CN"/>
              </w:rPr>
              <w:t>北</w:t>
            </w:r>
          </w:p>
        </w:tc>
        <w:tc>
          <w:tcPr>
            <w:tcW w:w="96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rPr>
            </w:pPr>
          </w:p>
        </w:tc>
        <w:tc>
          <w:tcPr>
            <w:tcW w:w="22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砖混结构，朝向南，</w:t>
            </w:r>
            <w:r>
              <w:rPr>
                <w:rFonts w:hint="default" w:ascii="Times New Roman" w:hAnsi="Times New Roman" w:cs="Times New Roman"/>
                <w:color w:val="auto"/>
                <w:kern w:val="0"/>
                <w:sz w:val="21"/>
                <w:szCs w:val="21"/>
                <w:lang w:val="en-US" w:eastAsia="zh-CN"/>
              </w:rPr>
              <w:t>1F，典型北方农村民居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1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eastAsia="zh-CN"/>
              </w:rPr>
            </w:pPr>
            <w:r>
              <w:rPr>
                <w:rFonts w:hint="eastAsia" w:ascii="Times New Roman" w:hAnsi="Times New Roman" w:eastAsia="宋体" w:cs="Times New Roman"/>
                <w:i w:val="0"/>
                <w:iCs w:val="0"/>
                <w:color w:val="auto"/>
                <w:kern w:val="0"/>
                <w:sz w:val="21"/>
                <w:szCs w:val="21"/>
                <w:u w:val="none"/>
                <w:lang w:val="en-US" w:eastAsia="zh-CN" w:bidi="ar"/>
              </w:rPr>
              <w:t>三块石村</w:t>
            </w:r>
            <w:r>
              <w:rPr>
                <w:rFonts w:hint="default" w:ascii="Times New Roman" w:hAnsi="Times New Roman" w:eastAsia="宋体" w:cs="Times New Roman"/>
                <w:i w:val="0"/>
                <w:iCs w:val="0"/>
                <w:color w:val="auto"/>
                <w:kern w:val="0"/>
                <w:sz w:val="21"/>
                <w:szCs w:val="21"/>
                <w:u w:val="none"/>
                <w:lang w:val="en-US" w:eastAsia="zh-CN" w:bidi="ar"/>
              </w:rPr>
              <w:t>居民3#</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-157.23</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181.68</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145</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东</w:t>
            </w:r>
            <w:r>
              <w:rPr>
                <w:rFonts w:hint="default" w:ascii="Times New Roman" w:hAnsi="Times New Roman" w:cs="Times New Roman"/>
                <w:color w:val="auto"/>
                <w:kern w:val="0"/>
                <w:sz w:val="21"/>
                <w:szCs w:val="21"/>
                <w:lang w:eastAsia="zh-CN"/>
              </w:rPr>
              <w:t>北</w:t>
            </w:r>
          </w:p>
        </w:tc>
        <w:tc>
          <w:tcPr>
            <w:tcW w:w="96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rPr>
            </w:pPr>
          </w:p>
        </w:tc>
        <w:tc>
          <w:tcPr>
            <w:tcW w:w="22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砖混结构，朝向南，</w:t>
            </w:r>
            <w:r>
              <w:rPr>
                <w:rFonts w:hint="default" w:ascii="Times New Roman" w:hAnsi="Times New Roman" w:cs="Times New Roman"/>
                <w:color w:val="auto"/>
                <w:kern w:val="0"/>
                <w:sz w:val="21"/>
                <w:szCs w:val="21"/>
                <w:lang w:val="en-US" w:eastAsia="zh-CN"/>
              </w:rPr>
              <w:t>1F，典型北方农村民居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1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eastAsia="zh-CN"/>
              </w:rPr>
            </w:pPr>
            <w:r>
              <w:rPr>
                <w:rFonts w:hint="eastAsia" w:ascii="Times New Roman" w:hAnsi="Times New Roman" w:eastAsia="宋体" w:cs="Times New Roman"/>
                <w:i w:val="0"/>
                <w:iCs w:val="0"/>
                <w:color w:val="auto"/>
                <w:kern w:val="0"/>
                <w:sz w:val="21"/>
                <w:szCs w:val="21"/>
                <w:u w:val="none"/>
                <w:lang w:val="en-US" w:eastAsia="zh-CN" w:bidi="ar"/>
              </w:rPr>
              <w:t>三块石村</w:t>
            </w:r>
            <w:r>
              <w:rPr>
                <w:rFonts w:hint="default" w:ascii="Times New Roman" w:hAnsi="Times New Roman" w:eastAsia="宋体" w:cs="Times New Roman"/>
                <w:i w:val="0"/>
                <w:iCs w:val="0"/>
                <w:color w:val="auto"/>
                <w:kern w:val="0"/>
                <w:sz w:val="21"/>
                <w:szCs w:val="21"/>
                <w:u w:val="none"/>
                <w:lang w:val="en-US" w:eastAsia="zh-CN" w:bidi="ar"/>
              </w:rPr>
              <w:t>居民4#</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-169.6</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196.71</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147</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东</w:t>
            </w:r>
            <w:r>
              <w:rPr>
                <w:rFonts w:hint="default" w:ascii="Times New Roman" w:hAnsi="Times New Roman" w:cs="Times New Roman"/>
                <w:color w:val="auto"/>
                <w:kern w:val="0"/>
                <w:sz w:val="21"/>
                <w:szCs w:val="21"/>
                <w:lang w:eastAsia="zh-CN"/>
              </w:rPr>
              <w:t>北</w:t>
            </w:r>
          </w:p>
        </w:tc>
        <w:tc>
          <w:tcPr>
            <w:tcW w:w="96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rPr>
            </w:pPr>
          </w:p>
        </w:tc>
        <w:tc>
          <w:tcPr>
            <w:tcW w:w="22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砖混结构，朝向南，</w:t>
            </w:r>
            <w:r>
              <w:rPr>
                <w:rFonts w:hint="default" w:ascii="Times New Roman" w:hAnsi="Times New Roman" w:cs="Times New Roman"/>
                <w:color w:val="auto"/>
                <w:kern w:val="0"/>
                <w:sz w:val="21"/>
                <w:szCs w:val="21"/>
                <w:lang w:val="en-US" w:eastAsia="zh-CN"/>
              </w:rPr>
              <w:t>1F，典型北方农村民居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1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eastAsia="zh-CN"/>
              </w:rPr>
            </w:pPr>
            <w:r>
              <w:rPr>
                <w:rFonts w:hint="eastAsia" w:ascii="Times New Roman" w:hAnsi="Times New Roman" w:eastAsia="宋体" w:cs="Times New Roman"/>
                <w:i w:val="0"/>
                <w:iCs w:val="0"/>
                <w:color w:val="auto"/>
                <w:kern w:val="0"/>
                <w:sz w:val="21"/>
                <w:szCs w:val="21"/>
                <w:u w:val="none"/>
                <w:lang w:val="en-US" w:eastAsia="zh-CN" w:bidi="ar"/>
              </w:rPr>
              <w:t>三块石村</w:t>
            </w:r>
            <w:r>
              <w:rPr>
                <w:rFonts w:hint="default" w:ascii="Times New Roman" w:hAnsi="Times New Roman" w:eastAsia="宋体" w:cs="Times New Roman"/>
                <w:i w:val="0"/>
                <w:iCs w:val="0"/>
                <w:color w:val="auto"/>
                <w:kern w:val="0"/>
                <w:sz w:val="21"/>
                <w:szCs w:val="21"/>
                <w:u w:val="none"/>
                <w:lang w:val="en-US" w:eastAsia="zh-CN" w:bidi="ar"/>
              </w:rPr>
              <w:t>居民5#</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-186.1</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222.04</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163</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东</w:t>
            </w:r>
            <w:r>
              <w:rPr>
                <w:rFonts w:hint="default" w:ascii="Times New Roman" w:hAnsi="Times New Roman" w:cs="Times New Roman"/>
                <w:color w:val="auto"/>
                <w:kern w:val="0"/>
                <w:sz w:val="21"/>
                <w:szCs w:val="21"/>
                <w:lang w:eastAsia="zh-CN"/>
              </w:rPr>
              <w:t>北</w:t>
            </w:r>
          </w:p>
        </w:tc>
        <w:tc>
          <w:tcPr>
            <w:tcW w:w="96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rPr>
            </w:pPr>
          </w:p>
        </w:tc>
        <w:tc>
          <w:tcPr>
            <w:tcW w:w="22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砖混结构，朝向南，</w:t>
            </w:r>
            <w:r>
              <w:rPr>
                <w:rFonts w:hint="default" w:ascii="Times New Roman" w:hAnsi="Times New Roman" w:cs="Times New Roman"/>
                <w:color w:val="auto"/>
                <w:kern w:val="0"/>
                <w:sz w:val="21"/>
                <w:szCs w:val="21"/>
                <w:lang w:val="en-US" w:eastAsia="zh-CN"/>
              </w:rPr>
              <w:t>1F，典型北方农村民居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1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eastAsia="zh-CN"/>
              </w:rPr>
            </w:pPr>
            <w:r>
              <w:rPr>
                <w:rFonts w:hint="eastAsia" w:ascii="Times New Roman" w:hAnsi="Times New Roman" w:eastAsia="宋体" w:cs="Times New Roman"/>
                <w:i w:val="0"/>
                <w:iCs w:val="0"/>
                <w:color w:val="auto"/>
                <w:kern w:val="0"/>
                <w:sz w:val="21"/>
                <w:szCs w:val="21"/>
                <w:u w:val="none"/>
                <w:lang w:val="en-US" w:eastAsia="zh-CN" w:bidi="ar"/>
              </w:rPr>
              <w:t>三块石村</w:t>
            </w:r>
            <w:r>
              <w:rPr>
                <w:rFonts w:hint="default" w:ascii="Times New Roman" w:hAnsi="Times New Roman" w:eastAsia="宋体" w:cs="Times New Roman"/>
                <w:i w:val="0"/>
                <w:iCs w:val="0"/>
                <w:color w:val="auto"/>
                <w:kern w:val="0"/>
                <w:sz w:val="21"/>
                <w:szCs w:val="21"/>
                <w:u w:val="none"/>
                <w:lang w:val="en-US" w:eastAsia="zh-CN" w:bidi="ar"/>
              </w:rPr>
              <w:t>居民6#</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-235.93</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257.61</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172</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东</w:t>
            </w:r>
            <w:r>
              <w:rPr>
                <w:rFonts w:hint="default" w:ascii="Times New Roman" w:hAnsi="Times New Roman" w:cs="Times New Roman"/>
                <w:color w:val="auto"/>
                <w:kern w:val="0"/>
                <w:sz w:val="21"/>
                <w:szCs w:val="21"/>
                <w:lang w:eastAsia="zh-CN"/>
              </w:rPr>
              <w:t>北</w:t>
            </w:r>
          </w:p>
        </w:tc>
        <w:tc>
          <w:tcPr>
            <w:tcW w:w="96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rPr>
            </w:pPr>
          </w:p>
        </w:tc>
        <w:tc>
          <w:tcPr>
            <w:tcW w:w="22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砖混结构，朝向南，</w:t>
            </w:r>
            <w:r>
              <w:rPr>
                <w:rFonts w:hint="default" w:ascii="Times New Roman" w:hAnsi="Times New Roman" w:cs="Times New Roman"/>
                <w:color w:val="auto"/>
                <w:kern w:val="0"/>
                <w:sz w:val="21"/>
                <w:szCs w:val="21"/>
                <w:lang w:val="en-US" w:eastAsia="zh-CN"/>
              </w:rPr>
              <w:t>1F，典型北方农村民居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w:t>
            </w:r>
          </w:p>
        </w:tc>
        <w:tc>
          <w:tcPr>
            <w:tcW w:w="1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eastAsia="zh-CN"/>
              </w:rPr>
            </w:pPr>
            <w:r>
              <w:rPr>
                <w:rFonts w:hint="eastAsia" w:ascii="Times New Roman" w:hAnsi="Times New Roman" w:eastAsia="宋体" w:cs="Times New Roman"/>
                <w:i w:val="0"/>
                <w:iCs w:val="0"/>
                <w:color w:val="auto"/>
                <w:kern w:val="0"/>
                <w:sz w:val="21"/>
                <w:szCs w:val="21"/>
                <w:u w:val="none"/>
                <w:lang w:val="en-US" w:eastAsia="zh-CN" w:bidi="ar"/>
              </w:rPr>
              <w:t>三块石村</w:t>
            </w:r>
            <w:r>
              <w:rPr>
                <w:rFonts w:hint="default" w:ascii="Times New Roman" w:hAnsi="Times New Roman" w:eastAsia="宋体" w:cs="Times New Roman"/>
                <w:i w:val="0"/>
                <w:iCs w:val="0"/>
                <w:color w:val="auto"/>
                <w:kern w:val="0"/>
                <w:sz w:val="21"/>
                <w:szCs w:val="21"/>
                <w:u w:val="none"/>
                <w:lang w:val="en-US" w:eastAsia="zh-CN" w:bidi="ar"/>
              </w:rPr>
              <w:t>居民7#</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-246.15</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269.65</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76</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东</w:t>
            </w:r>
            <w:r>
              <w:rPr>
                <w:rFonts w:hint="default" w:ascii="Times New Roman" w:hAnsi="Times New Roman" w:cs="Times New Roman"/>
                <w:color w:val="auto"/>
                <w:kern w:val="0"/>
                <w:sz w:val="21"/>
                <w:szCs w:val="21"/>
                <w:lang w:eastAsia="zh-CN"/>
              </w:rPr>
              <w:t>北</w:t>
            </w:r>
          </w:p>
        </w:tc>
        <w:tc>
          <w:tcPr>
            <w:tcW w:w="96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rPr>
            </w:pPr>
          </w:p>
        </w:tc>
        <w:tc>
          <w:tcPr>
            <w:tcW w:w="22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砖混结构，朝向南，</w:t>
            </w:r>
            <w:r>
              <w:rPr>
                <w:rFonts w:hint="default" w:ascii="Times New Roman" w:hAnsi="Times New Roman" w:cs="Times New Roman"/>
                <w:color w:val="auto"/>
                <w:kern w:val="0"/>
                <w:sz w:val="21"/>
                <w:szCs w:val="21"/>
                <w:lang w:val="en-US" w:eastAsia="zh-CN"/>
              </w:rPr>
              <w:t>1F，典型北方农村民居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w:t>
            </w:r>
          </w:p>
        </w:tc>
        <w:tc>
          <w:tcPr>
            <w:tcW w:w="1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eastAsia="zh-CN"/>
              </w:rPr>
            </w:pPr>
            <w:r>
              <w:rPr>
                <w:rFonts w:hint="eastAsia" w:ascii="Times New Roman" w:hAnsi="Times New Roman" w:eastAsia="宋体" w:cs="Times New Roman"/>
                <w:i w:val="0"/>
                <w:iCs w:val="0"/>
                <w:color w:val="auto"/>
                <w:kern w:val="0"/>
                <w:sz w:val="21"/>
                <w:szCs w:val="21"/>
                <w:u w:val="none"/>
                <w:lang w:val="en-US" w:eastAsia="zh-CN" w:bidi="ar"/>
              </w:rPr>
              <w:t>三块石村</w:t>
            </w:r>
            <w:r>
              <w:rPr>
                <w:rFonts w:hint="default" w:ascii="Times New Roman" w:hAnsi="Times New Roman" w:eastAsia="宋体" w:cs="Times New Roman"/>
                <w:i w:val="0"/>
                <w:iCs w:val="0"/>
                <w:color w:val="auto"/>
                <w:kern w:val="0"/>
                <w:sz w:val="21"/>
                <w:szCs w:val="21"/>
                <w:u w:val="none"/>
                <w:lang w:val="en-US" w:eastAsia="zh-CN" w:bidi="ar"/>
              </w:rPr>
              <w:t>居民8#</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-225.35</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284.25</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91</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东</w:t>
            </w:r>
            <w:r>
              <w:rPr>
                <w:rFonts w:hint="default" w:ascii="Times New Roman" w:hAnsi="Times New Roman" w:cs="Times New Roman"/>
                <w:color w:val="auto"/>
                <w:kern w:val="0"/>
                <w:sz w:val="21"/>
                <w:szCs w:val="21"/>
                <w:lang w:eastAsia="zh-CN"/>
              </w:rPr>
              <w:t>北</w:t>
            </w:r>
          </w:p>
        </w:tc>
        <w:tc>
          <w:tcPr>
            <w:tcW w:w="96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rPr>
            </w:pPr>
          </w:p>
        </w:tc>
        <w:tc>
          <w:tcPr>
            <w:tcW w:w="22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砖混结构，朝向南，</w:t>
            </w:r>
            <w:r>
              <w:rPr>
                <w:rFonts w:hint="default" w:ascii="Times New Roman" w:hAnsi="Times New Roman" w:cs="Times New Roman"/>
                <w:color w:val="auto"/>
                <w:kern w:val="0"/>
                <w:sz w:val="21"/>
                <w:szCs w:val="21"/>
                <w:lang w:val="en-US" w:eastAsia="zh-CN"/>
              </w:rPr>
              <w:t>1F，典型北方农村民居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1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eastAsia="zh-CN"/>
              </w:rPr>
            </w:pPr>
            <w:r>
              <w:rPr>
                <w:rFonts w:hint="eastAsia" w:ascii="Times New Roman" w:hAnsi="Times New Roman" w:eastAsia="宋体" w:cs="Times New Roman"/>
                <w:i w:val="0"/>
                <w:iCs w:val="0"/>
                <w:color w:val="auto"/>
                <w:kern w:val="0"/>
                <w:sz w:val="21"/>
                <w:szCs w:val="21"/>
                <w:u w:val="none"/>
                <w:lang w:val="en-US" w:eastAsia="zh-CN" w:bidi="ar"/>
              </w:rPr>
              <w:t>三块石村</w:t>
            </w:r>
            <w:r>
              <w:rPr>
                <w:rFonts w:hint="default" w:ascii="Times New Roman" w:hAnsi="Times New Roman" w:eastAsia="宋体" w:cs="Times New Roman"/>
                <w:i w:val="0"/>
                <w:iCs w:val="0"/>
                <w:color w:val="auto"/>
                <w:kern w:val="0"/>
                <w:sz w:val="21"/>
                <w:szCs w:val="21"/>
                <w:u w:val="none"/>
                <w:lang w:val="en-US" w:eastAsia="zh-CN" w:bidi="ar"/>
              </w:rPr>
              <w:t>居民9#</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-162.35</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252.63</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193</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东</w:t>
            </w:r>
            <w:r>
              <w:rPr>
                <w:rFonts w:hint="default" w:ascii="Times New Roman" w:hAnsi="Times New Roman" w:cs="Times New Roman"/>
                <w:color w:val="auto"/>
                <w:kern w:val="0"/>
                <w:sz w:val="21"/>
                <w:szCs w:val="21"/>
                <w:lang w:eastAsia="zh-CN"/>
              </w:rPr>
              <w:t>北</w:t>
            </w:r>
          </w:p>
        </w:tc>
        <w:tc>
          <w:tcPr>
            <w:tcW w:w="96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rPr>
            </w:pPr>
          </w:p>
        </w:tc>
        <w:tc>
          <w:tcPr>
            <w:tcW w:w="22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砖混结构，朝向南，</w:t>
            </w:r>
            <w:r>
              <w:rPr>
                <w:rFonts w:hint="default" w:ascii="Times New Roman" w:hAnsi="Times New Roman" w:cs="Times New Roman"/>
                <w:color w:val="auto"/>
                <w:kern w:val="0"/>
                <w:sz w:val="21"/>
                <w:szCs w:val="21"/>
                <w:lang w:val="en-US" w:eastAsia="zh-CN"/>
              </w:rPr>
              <w:t>1F，典型北方农村民居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eastAsia="zh-CN"/>
              </w:rPr>
            </w:pPr>
            <w:r>
              <w:rPr>
                <w:rFonts w:hint="eastAsia" w:ascii="Times New Roman" w:hAnsi="Times New Roman" w:eastAsia="宋体" w:cs="Times New Roman"/>
                <w:i w:val="0"/>
                <w:iCs w:val="0"/>
                <w:color w:val="auto"/>
                <w:kern w:val="0"/>
                <w:sz w:val="21"/>
                <w:szCs w:val="21"/>
                <w:u w:val="none"/>
                <w:lang w:val="en-US" w:eastAsia="zh-CN" w:bidi="ar"/>
              </w:rPr>
              <w:t>三块石村</w:t>
            </w:r>
            <w:r>
              <w:rPr>
                <w:rFonts w:hint="default" w:ascii="Times New Roman" w:hAnsi="Times New Roman" w:eastAsia="宋体" w:cs="Times New Roman"/>
                <w:i w:val="0"/>
                <w:iCs w:val="0"/>
                <w:color w:val="auto"/>
                <w:kern w:val="0"/>
                <w:sz w:val="21"/>
                <w:szCs w:val="21"/>
                <w:u w:val="none"/>
                <w:lang w:val="en-US" w:eastAsia="zh-CN" w:bidi="ar"/>
              </w:rPr>
              <w:t>居民10#</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272.57</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199</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东</w:t>
            </w:r>
            <w:r>
              <w:rPr>
                <w:rFonts w:hint="default" w:ascii="Times New Roman" w:hAnsi="Times New Roman" w:cs="Times New Roman"/>
                <w:color w:val="auto"/>
                <w:kern w:val="0"/>
                <w:sz w:val="21"/>
                <w:szCs w:val="21"/>
                <w:lang w:eastAsia="zh-CN"/>
              </w:rPr>
              <w:t>北</w:t>
            </w:r>
          </w:p>
        </w:tc>
        <w:tc>
          <w:tcPr>
            <w:tcW w:w="96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rPr>
            </w:pPr>
          </w:p>
        </w:tc>
        <w:tc>
          <w:tcPr>
            <w:tcW w:w="22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砖混结构，朝向南，</w:t>
            </w:r>
            <w:r>
              <w:rPr>
                <w:rFonts w:hint="default" w:ascii="Times New Roman" w:hAnsi="Times New Roman" w:cs="Times New Roman"/>
                <w:color w:val="auto"/>
                <w:kern w:val="0"/>
                <w:sz w:val="21"/>
                <w:szCs w:val="21"/>
                <w:lang w:val="en-US" w:eastAsia="zh-CN"/>
              </w:rPr>
              <w:t>1F，典型北方农村民居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eastAsia="zh-CN"/>
              </w:rPr>
            </w:pPr>
            <w:r>
              <w:rPr>
                <w:rFonts w:hint="eastAsia" w:ascii="Times New Roman" w:hAnsi="Times New Roman" w:eastAsia="宋体" w:cs="Times New Roman"/>
                <w:i w:val="0"/>
                <w:iCs w:val="0"/>
                <w:color w:val="auto"/>
                <w:kern w:val="0"/>
                <w:sz w:val="21"/>
                <w:szCs w:val="21"/>
                <w:u w:val="none"/>
                <w:lang w:val="en-US" w:eastAsia="zh-CN" w:bidi="ar"/>
              </w:rPr>
              <w:t>杨树底下村</w:t>
            </w:r>
            <w:r>
              <w:rPr>
                <w:rFonts w:hint="default" w:ascii="Times New Roman" w:hAnsi="Times New Roman" w:eastAsia="宋体" w:cs="Times New Roman"/>
                <w:i w:val="0"/>
                <w:iCs w:val="0"/>
                <w:color w:val="auto"/>
                <w:kern w:val="0"/>
                <w:sz w:val="21"/>
                <w:szCs w:val="21"/>
                <w:u w:val="none"/>
                <w:lang w:val="en-US" w:eastAsia="zh-CN" w:bidi="ar"/>
              </w:rPr>
              <w:t>居民11#</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-129.47</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284.11</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160</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正西</w:t>
            </w:r>
          </w:p>
        </w:tc>
        <w:tc>
          <w:tcPr>
            <w:tcW w:w="96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rPr>
            </w:pPr>
          </w:p>
        </w:tc>
        <w:tc>
          <w:tcPr>
            <w:tcW w:w="22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砖混结构，朝向南，</w:t>
            </w:r>
            <w:r>
              <w:rPr>
                <w:rFonts w:hint="default" w:ascii="Times New Roman" w:hAnsi="Times New Roman" w:cs="Times New Roman"/>
                <w:color w:val="auto"/>
                <w:kern w:val="0"/>
                <w:sz w:val="21"/>
                <w:szCs w:val="21"/>
                <w:lang w:val="en-US" w:eastAsia="zh-CN"/>
              </w:rPr>
              <w:t>1F，典型北方农村民居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eastAsia="zh-CN"/>
              </w:rPr>
            </w:pPr>
            <w:r>
              <w:rPr>
                <w:rFonts w:hint="eastAsia" w:ascii="Times New Roman" w:hAnsi="Times New Roman" w:eastAsia="宋体" w:cs="Times New Roman"/>
                <w:i w:val="0"/>
                <w:iCs w:val="0"/>
                <w:color w:val="auto"/>
                <w:kern w:val="0"/>
                <w:sz w:val="21"/>
                <w:szCs w:val="21"/>
                <w:u w:val="none"/>
                <w:lang w:val="en-US" w:eastAsia="zh-CN" w:bidi="ar"/>
              </w:rPr>
              <w:t>杨树底下村</w:t>
            </w:r>
            <w:r>
              <w:rPr>
                <w:rFonts w:hint="default" w:ascii="Times New Roman" w:hAnsi="Times New Roman" w:eastAsia="宋体" w:cs="Times New Roman"/>
                <w:i w:val="0"/>
                <w:iCs w:val="0"/>
                <w:color w:val="auto"/>
                <w:kern w:val="0"/>
                <w:sz w:val="21"/>
                <w:szCs w:val="21"/>
                <w:u w:val="none"/>
                <w:lang w:val="en-US" w:eastAsia="zh-CN" w:bidi="ar"/>
              </w:rPr>
              <w:t>居民12#</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-131.57</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251.58</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169</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正</w:t>
            </w:r>
            <w:r>
              <w:rPr>
                <w:rFonts w:hint="eastAsia" w:ascii="Times New Roman" w:hAnsi="Times New Roman" w:cs="Times New Roman"/>
                <w:color w:val="auto"/>
                <w:kern w:val="0"/>
                <w:sz w:val="21"/>
                <w:szCs w:val="21"/>
                <w:lang w:eastAsia="zh-CN"/>
              </w:rPr>
              <w:t>西</w:t>
            </w:r>
          </w:p>
        </w:tc>
        <w:tc>
          <w:tcPr>
            <w:tcW w:w="96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rPr>
            </w:pPr>
          </w:p>
        </w:tc>
        <w:tc>
          <w:tcPr>
            <w:tcW w:w="22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砖混结构，朝向南，</w:t>
            </w:r>
            <w:r>
              <w:rPr>
                <w:rFonts w:hint="default" w:ascii="Times New Roman" w:hAnsi="Times New Roman" w:cs="Times New Roman"/>
                <w:color w:val="auto"/>
                <w:kern w:val="0"/>
                <w:sz w:val="21"/>
                <w:szCs w:val="21"/>
                <w:lang w:val="en-US" w:eastAsia="zh-CN"/>
              </w:rPr>
              <w:t>1F，典型北方农村民居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10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eastAsia="zh-CN"/>
              </w:rPr>
            </w:pPr>
            <w:r>
              <w:rPr>
                <w:rFonts w:hint="eastAsia" w:ascii="Times New Roman" w:hAnsi="Times New Roman" w:eastAsia="宋体" w:cs="Times New Roman"/>
                <w:i w:val="0"/>
                <w:iCs w:val="0"/>
                <w:color w:val="auto"/>
                <w:kern w:val="0"/>
                <w:sz w:val="21"/>
                <w:szCs w:val="21"/>
                <w:u w:val="none"/>
                <w:lang w:val="en-US" w:eastAsia="zh-CN" w:bidi="ar"/>
              </w:rPr>
              <w:t>杨树底下村</w:t>
            </w:r>
            <w:r>
              <w:rPr>
                <w:rFonts w:hint="default" w:ascii="Times New Roman" w:hAnsi="Times New Roman" w:eastAsia="宋体" w:cs="Times New Roman"/>
                <w:i w:val="0"/>
                <w:iCs w:val="0"/>
                <w:color w:val="auto"/>
                <w:kern w:val="0"/>
                <w:sz w:val="21"/>
                <w:szCs w:val="21"/>
                <w:u w:val="none"/>
                <w:lang w:val="en-US" w:eastAsia="zh-CN" w:bidi="ar"/>
              </w:rPr>
              <w:t>居民13#</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-116.18</w:t>
            </w:r>
          </w:p>
        </w:tc>
        <w:tc>
          <w:tcPr>
            <w:tcW w:w="8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249.48</w:t>
            </w:r>
          </w:p>
        </w:tc>
        <w:tc>
          <w:tcPr>
            <w:tcW w:w="37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7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83</w:t>
            </w:r>
          </w:p>
        </w:tc>
        <w:tc>
          <w:tcPr>
            <w:tcW w:w="8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正西</w:t>
            </w:r>
          </w:p>
        </w:tc>
        <w:tc>
          <w:tcPr>
            <w:tcW w:w="96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rPr>
            </w:pPr>
          </w:p>
        </w:tc>
        <w:tc>
          <w:tcPr>
            <w:tcW w:w="22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砖混结构，朝向南，</w:t>
            </w:r>
            <w:r>
              <w:rPr>
                <w:rFonts w:hint="default" w:ascii="Times New Roman" w:hAnsi="Times New Roman" w:cs="Times New Roman"/>
                <w:color w:val="auto"/>
                <w:kern w:val="0"/>
                <w:sz w:val="21"/>
                <w:szCs w:val="21"/>
                <w:lang w:val="en-US" w:eastAsia="zh-CN"/>
              </w:rPr>
              <w:t>1F，典型北方农村民居</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lang w:eastAsia="zh-CN"/>
        </w:rPr>
        <w:t>综上</w:t>
      </w:r>
      <w:r>
        <w:rPr>
          <w:rFonts w:hint="eastAsia"/>
          <w:color w:val="auto"/>
        </w:rPr>
        <w:t>，本次声环境预测以项目厂界和</w:t>
      </w:r>
      <w:r>
        <w:rPr>
          <w:rFonts w:hint="eastAsia"/>
          <w:color w:val="auto"/>
          <w:lang w:eastAsia="zh-CN"/>
        </w:rPr>
        <w:t>评价范围内的半壁山村居民</w:t>
      </w:r>
      <w:r>
        <w:rPr>
          <w:rFonts w:hint="eastAsia"/>
          <w:color w:val="auto"/>
        </w:rPr>
        <w:t>作为预测点</w:t>
      </w:r>
      <w:r>
        <w:rPr>
          <w:rFonts w:hint="eastAsia"/>
          <w:color w:val="auto"/>
          <w:lang w:eastAsia="zh-CN"/>
        </w:rPr>
        <w:t>和</w:t>
      </w:r>
      <w:r>
        <w:rPr>
          <w:rFonts w:hint="eastAsia"/>
          <w:color w:val="auto"/>
        </w:rPr>
        <w:t>评价点。</w:t>
      </w:r>
    </w:p>
    <w:p>
      <w:pPr>
        <w:pStyle w:val="137"/>
        <w:jc w:val="both"/>
        <w:outlineLvl w:val="3"/>
        <w:rPr>
          <w:b/>
          <w:bCs w:val="0"/>
          <w:color w:val="auto"/>
        </w:rPr>
      </w:pPr>
      <w:r>
        <w:rPr>
          <w:rFonts w:hint="eastAsia"/>
          <w:b/>
          <w:bCs w:val="0"/>
          <w:color w:val="auto"/>
          <w:lang w:val="en-US" w:eastAsia="zh-CN"/>
        </w:rPr>
        <w:t>5.1.3.3</w:t>
      </w:r>
      <w:r>
        <w:rPr>
          <w:rFonts w:hint="eastAsia"/>
          <w:b/>
          <w:bCs w:val="0"/>
          <w:color w:val="auto"/>
        </w:rPr>
        <w:t>预测基础数据</w:t>
      </w:r>
    </w:p>
    <w:p>
      <w:pPr>
        <w:ind w:firstLine="540"/>
        <w:rPr>
          <w:color w:val="auto"/>
          <w:szCs w:val="24"/>
        </w:rPr>
      </w:pPr>
      <w:r>
        <w:rPr>
          <w:color w:val="auto"/>
        </w:rPr>
        <w:t>由工程分析可知，项目噪声源主要为</w:t>
      </w:r>
      <w:r>
        <w:rPr>
          <w:color w:val="auto"/>
          <w:szCs w:val="24"/>
        </w:rPr>
        <w:t>起重机、挖掘机、铲运机、推土机等施工机械设备</w:t>
      </w:r>
      <w:r>
        <w:rPr>
          <w:snapToGrid w:val="0"/>
          <w:color w:val="auto"/>
          <w:szCs w:val="24"/>
        </w:rPr>
        <w:t>；</w:t>
      </w:r>
      <w:r>
        <w:rPr>
          <w:color w:val="auto"/>
          <w:szCs w:val="24"/>
        </w:rPr>
        <w:t>运输噪声源为运输车辆。</w:t>
      </w:r>
      <w:r>
        <w:rPr>
          <w:rFonts w:hint="eastAsia"/>
          <w:color w:val="auto"/>
          <w:szCs w:val="24"/>
        </w:rPr>
        <w:t>根据《建筑施工场所排污申报登记表》附件2建筑施工噪声强度值与噪声源距离的相应关系一览表中相关设备噪声源强，本项目</w:t>
      </w:r>
      <w:r>
        <w:rPr>
          <w:color w:val="auto"/>
          <w:szCs w:val="24"/>
        </w:rPr>
        <w:t>建设阶段噪声源强见下表。</w:t>
      </w:r>
    </w:p>
    <w:p>
      <w:pPr>
        <w:pStyle w:val="144"/>
        <w:numPr>
          <w:ilvl w:val="0"/>
          <w:numId w:val="0"/>
        </w:numPr>
        <w:tabs>
          <w:tab w:val="left" w:pos="420"/>
        </w:tabs>
        <w:adjustRightInd w:val="0"/>
        <w:ind w:leftChars="0"/>
        <w:jc w:val="center"/>
        <w:rPr>
          <w:rStyle w:val="46"/>
          <w:color w:val="auto"/>
          <w:szCs w:val="21"/>
        </w:rPr>
      </w:pPr>
      <w:r>
        <w:rPr>
          <w:rStyle w:val="46"/>
          <w:rFonts w:hint="eastAsia"/>
          <w:color w:val="auto"/>
          <w:szCs w:val="21"/>
          <w:lang w:eastAsia="zh-CN"/>
        </w:rPr>
        <w:t>表</w:t>
      </w:r>
      <w:r>
        <w:rPr>
          <w:rStyle w:val="46"/>
          <w:rFonts w:hint="eastAsia"/>
          <w:color w:val="auto"/>
          <w:szCs w:val="21"/>
          <w:lang w:val="en-US" w:eastAsia="zh-CN"/>
        </w:rPr>
        <w:t xml:space="preserve">5.1-2  </w:t>
      </w:r>
      <w:r>
        <w:rPr>
          <w:rStyle w:val="46"/>
          <w:color w:val="auto"/>
          <w:szCs w:val="21"/>
        </w:rPr>
        <w:t>建设阶段噪声源强一览表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674"/>
        <w:gridCol w:w="2039"/>
        <w:gridCol w:w="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5"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auto"/>
                <w:kern w:val="0"/>
                <w:sz w:val="21"/>
                <w:szCs w:val="21"/>
              </w:rPr>
            </w:pPr>
            <w:r>
              <w:rPr>
                <w:rFonts w:hint="eastAsia"/>
                <w:b/>
                <w:color w:val="auto"/>
                <w:kern w:val="0"/>
                <w:sz w:val="21"/>
                <w:szCs w:val="21"/>
              </w:rPr>
              <w:t>序号</w:t>
            </w:r>
          </w:p>
        </w:tc>
        <w:tc>
          <w:tcPr>
            <w:tcW w:w="1533" w:type="pct"/>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auto"/>
                <w:kern w:val="0"/>
                <w:sz w:val="21"/>
                <w:szCs w:val="21"/>
              </w:rPr>
            </w:pPr>
            <w:r>
              <w:rPr>
                <w:rFonts w:hint="eastAsia"/>
                <w:b/>
                <w:color w:val="auto"/>
                <w:kern w:val="0"/>
                <w:sz w:val="21"/>
                <w:szCs w:val="21"/>
              </w:rPr>
              <w:t>设备</w:t>
            </w:r>
            <w:r>
              <w:rPr>
                <w:rFonts w:hint="default"/>
                <w:b/>
                <w:color w:val="auto"/>
                <w:kern w:val="0"/>
                <w:sz w:val="21"/>
                <w:szCs w:val="21"/>
              </w:rPr>
              <w:t>名称</w:t>
            </w:r>
          </w:p>
        </w:tc>
        <w:tc>
          <w:tcPr>
            <w:tcW w:w="1169" w:type="pct"/>
            <w:shd w:val="clear" w:color="auto" w:fill="auto"/>
            <w:noWrap/>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b/>
                <w:color w:val="auto"/>
                <w:kern w:val="0"/>
                <w:sz w:val="21"/>
                <w:szCs w:val="21"/>
              </w:rPr>
            </w:pPr>
            <w:r>
              <w:rPr>
                <w:rFonts w:hint="eastAsia"/>
                <w:b/>
                <w:color w:val="auto"/>
                <w:kern w:val="0"/>
                <w:sz w:val="21"/>
                <w:szCs w:val="21"/>
              </w:rPr>
              <w:t>数量</w:t>
            </w:r>
          </w:p>
        </w:tc>
        <w:tc>
          <w:tcPr>
            <w:tcW w:w="1851" w:type="pct"/>
            <w:shd w:val="clear" w:color="auto" w:fill="auto"/>
            <w:noWrap/>
            <w:vAlign w:val="center"/>
          </w:tcPr>
          <w:p>
            <w:pPr>
              <w:pStyle w:val="65"/>
              <w:keepNext w:val="0"/>
              <w:keepLines w:val="0"/>
              <w:framePr w:hSpace="0" w:wrap="auto" w:vAnchor="margin" w:hAnchor="text" w:xAlign="left" w:yAlign="inline"/>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Cs w:val="21"/>
              </w:rPr>
              <w:t>噪声源强dB（A）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kern w:val="0"/>
                <w:sz w:val="21"/>
                <w:szCs w:val="21"/>
              </w:rPr>
            </w:pPr>
            <w:r>
              <w:rPr>
                <w:rFonts w:hint="eastAsia"/>
                <w:color w:val="auto"/>
                <w:kern w:val="0"/>
                <w:sz w:val="21"/>
                <w:szCs w:val="21"/>
              </w:rPr>
              <w:t>1</w:t>
            </w:r>
          </w:p>
        </w:tc>
        <w:tc>
          <w:tcPr>
            <w:tcW w:w="1533" w:type="pct"/>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1"/>
                <w:szCs w:val="21"/>
              </w:rPr>
            </w:pPr>
            <w:r>
              <w:rPr>
                <w:rFonts w:hint="eastAsia"/>
                <w:color w:val="auto"/>
                <w:kern w:val="0"/>
                <w:sz w:val="21"/>
                <w:szCs w:val="21"/>
              </w:rPr>
              <w:t>推土机</w:t>
            </w:r>
          </w:p>
        </w:tc>
        <w:tc>
          <w:tcPr>
            <w:tcW w:w="1169" w:type="pct"/>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kern w:val="0"/>
                <w:sz w:val="21"/>
                <w:szCs w:val="21"/>
                <w:lang w:eastAsia="zh-CN"/>
              </w:rPr>
            </w:pPr>
            <w:r>
              <w:rPr>
                <w:rFonts w:hint="eastAsia"/>
                <w:color w:val="auto"/>
                <w:kern w:val="0"/>
                <w:sz w:val="21"/>
                <w:szCs w:val="21"/>
                <w:lang w:val="en-US" w:eastAsia="zh-CN"/>
              </w:rPr>
              <w:t>1</w:t>
            </w:r>
          </w:p>
        </w:tc>
        <w:tc>
          <w:tcPr>
            <w:tcW w:w="1851" w:type="pct"/>
            <w:shd w:val="clear" w:color="auto" w:fill="auto"/>
            <w:noWrap/>
            <w:vAlign w:val="center"/>
          </w:tcPr>
          <w:p>
            <w:pPr>
              <w:pStyle w:val="65"/>
              <w:keepNext w:val="0"/>
              <w:keepLines w:val="0"/>
              <w:pageBreakBefore w:val="0"/>
              <w:framePr w:hSpace="0" w:wrap="auto" w:vAnchor="margin" w:hAnchor="text" w:xAlign="left" w:yAlign="inline"/>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auto"/>
                <w:kern w:val="0"/>
                <w:sz w:val="21"/>
                <w:szCs w:val="21"/>
              </w:rPr>
            </w:pPr>
            <w:r>
              <w:rPr>
                <w:rFonts w:hint="default"/>
                <w:color w:val="auto"/>
                <w:kern w:val="0"/>
                <w:sz w:val="21"/>
                <w:szCs w:val="21"/>
              </w:rPr>
              <w:t>2</w:t>
            </w:r>
          </w:p>
        </w:tc>
        <w:tc>
          <w:tcPr>
            <w:tcW w:w="1533" w:type="pct"/>
            <w:shd w:val="clear" w:color="auto" w:fill="auto"/>
            <w:noWrap/>
            <w:vAlign w:val="center"/>
          </w:tcPr>
          <w:p>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rPr>
            </w:pPr>
            <w:r>
              <w:rPr>
                <w:rFonts w:hint="eastAsia"/>
                <w:color w:val="auto"/>
              </w:rPr>
              <w:t>长臂挖掘机</w:t>
            </w:r>
          </w:p>
        </w:tc>
        <w:tc>
          <w:tcPr>
            <w:tcW w:w="116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kern w:val="0"/>
                <w:sz w:val="21"/>
                <w:szCs w:val="21"/>
                <w:lang w:eastAsia="zh-CN"/>
              </w:rPr>
            </w:pPr>
            <w:r>
              <w:rPr>
                <w:rFonts w:hint="eastAsia"/>
                <w:color w:val="auto"/>
                <w:kern w:val="0"/>
                <w:sz w:val="21"/>
                <w:szCs w:val="21"/>
                <w:lang w:val="en-US" w:eastAsia="zh-CN"/>
              </w:rPr>
              <w:t>1</w:t>
            </w:r>
          </w:p>
        </w:tc>
        <w:tc>
          <w:tcPr>
            <w:tcW w:w="1851" w:type="pct"/>
            <w:shd w:val="clear" w:color="auto" w:fill="auto"/>
            <w:noWrap/>
            <w:vAlign w:val="center"/>
          </w:tcPr>
          <w:p>
            <w:pPr>
              <w:pStyle w:val="65"/>
              <w:keepNext w:val="0"/>
              <w:keepLines w:val="0"/>
              <w:pageBreakBefore w:val="0"/>
              <w:framePr w:hSpace="0" w:wrap="auto" w:vAnchor="margin" w:hAnchor="text" w:xAlign="left" w:yAlign="inline"/>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auto"/>
                <w:kern w:val="0"/>
                <w:sz w:val="21"/>
                <w:szCs w:val="21"/>
              </w:rPr>
            </w:pPr>
            <w:r>
              <w:rPr>
                <w:rFonts w:hint="eastAsia"/>
                <w:color w:val="auto"/>
                <w:kern w:val="0"/>
                <w:sz w:val="21"/>
                <w:szCs w:val="21"/>
              </w:rPr>
              <w:t>3</w:t>
            </w:r>
          </w:p>
        </w:tc>
        <w:tc>
          <w:tcPr>
            <w:tcW w:w="1533" w:type="pct"/>
            <w:shd w:val="clear" w:color="auto" w:fill="auto"/>
            <w:noWrap/>
            <w:vAlign w:val="center"/>
          </w:tcPr>
          <w:p>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rPr>
            </w:pPr>
            <w:r>
              <w:rPr>
                <w:rFonts w:hint="eastAsia"/>
                <w:color w:val="auto"/>
              </w:rPr>
              <w:t>普通挖掘机</w:t>
            </w:r>
          </w:p>
        </w:tc>
        <w:tc>
          <w:tcPr>
            <w:tcW w:w="116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kern w:val="0"/>
                <w:sz w:val="21"/>
                <w:szCs w:val="21"/>
                <w:lang w:eastAsia="zh-CN"/>
              </w:rPr>
            </w:pPr>
            <w:r>
              <w:rPr>
                <w:rFonts w:hint="eastAsia"/>
                <w:color w:val="auto"/>
                <w:kern w:val="0"/>
                <w:sz w:val="21"/>
                <w:szCs w:val="21"/>
                <w:lang w:val="en-US" w:eastAsia="zh-CN"/>
              </w:rPr>
              <w:t>1</w:t>
            </w:r>
          </w:p>
        </w:tc>
        <w:tc>
          <w:tcPr>
            <w:tcW w:w="1851" w:type="pct"/>
            <w:shd w:val="clear" w:color="auto" w:fill="auto"/>
            <w:noWrap/>
            <w:vAlign w:val="center"/>
          </w:tcPr>
          <w:p>
            <w:pPr>
              <w:pStyle w:val="65"/>
              <w:keepNext w:val="0"/>
              <w:keepLines w:val="0"/>
              <w:pageBreakBefore w:val="0"/>
              <w:framePr w:hSpace="0" w:wrap="auto" w:vAnchor="margin" w:hAnchor="text" w:xAlign="left" w:yAlign="inline"/>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auto"/>
                <w:kern w:val="0"/>
                <w:sz w:val="21"/>
                <w:szCs w:val="21"/>
              </w:rPr>
            </w:pPr>
            <w:r>
              <w:rPr>
                <w:rFonts w:hint="eastAsia"/>
                <w:color w:val="auto"/>
                <w:kern w:val="0"/>
                <w:sz w:val="21"/>
                <w:szCs w:val="21"/>
              </w:rPr>
              <w:t>4</w:t>
            </w:r>
          </w:p>
        </w:tc>
        <w:tc>
          <w:tcPr>
            <w:tcW w:w="1533" w:type="pct"/>
            <w:shd w:val="clear" w:color="auto" w:fill="auto"/>
            <w:noWrap/>
            <w:vAlign w:val="center"/>
          </w:tcPr>
          <w:p>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rPr>
              <w:t>打夯机</w:t>
            </w:r>
          </w:p>
        </w:tc>
        <w:tc>
          <w:tcPr>
            <w:tcW w:w="116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w:t>
            </w:r>
          </w:p>
        </w:tc>
        <w:tc>
          <w:tcPr>
            <w:tcW w:w="1851" w:type="pct"/>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eastAsia" w:eastAsia="宋体"/>
                <w:color w:val="auto"/>
                <w:kern w:val="0"/>
                <w:sz w:val="21"/>
                <w:szCs w:val="21"/>
                <w:lang w:val="en-US" w:eastAsia="zh-CN"/>
              </w:rPr>
            </w:pPr>
            <w:r>
              <w:rPr>
                <w:rFonts w:hint="eastAsia"/>
                <w:color w:val="auto"/>
                <w:kern w:val="0"/>
                <w:sz w:val="21"/>
                <w:szCs w:val="21"/>
                <w:lang w:val="en-US" w:eastAsia="zh-CN"/>
              </w:rPr>
              <w:t>5</w:t>
            </w:r>
          </w:p>
        </w:tc>
        <w:tc>
          <w:tcPr>
            <w:tcW w:w="1533" w:type="pct"/>
            <w:shd w:val="clear" w:color="auto" w:fill="auto"/>
            <w:noWrap/>
            <w:vAlign w:val="center"/>
          </w:tcPr>
          <w:p>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宋体"/>
                <w:color w:val="auto"/>
                <w:lang w:eastAsia="zh-CN"/>
              </w:rPr>
            </w:pPr>
            <w:r>
              <w:rPr>
                <w:rFonts w:hint="eastAsia"/>
                <w:color w:val="auto"/>
                <w:lang w:eastAsia="zh-CN"/>
              </w:rPr>
              <w:t>空压机</w:t>
            </w:r>
          </w:p>
        </w:tc>
        <w:tc>
          <w:tcPr>
            <w:tcW w:w="116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2</w:t>
            </w:r>
          </w:p>
        </w:tc>
        <w:tc>
          <w:tcPr>
            <w:tcW w:w="1851" w:type="pct"/>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 w:type="pct"/>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6</w:t>
            </w:r>
          </w:p>
        </w:tc>
        <w:tc>
          <w:tcPr>
            <w:tcW w:w="1533" w:type="pct"/>
            <w:shd w:val="clear" w:color="auto" w:fill="auto"/>
            <w:noWrap/>
            <w:vAlign w:val="center"/>
          </w:tcPr>
          <w:p>
            <w:pPr>
              <w:pStyle w:val="6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lang w:eastAsia="zh-CN"/>
              </w:rPr>
            </w:pPr>
            <w:r>
              <w:rPr>
                <w:rFonts w:hint="eastAsia"/>
                <w:color w:val="auto"/>
                <w:lang w:eastAsia="zh-CN"/>
              </w:rPr>
              <w:t>发电机</w:t>
            </w:r>
          </w:p>
        </w:tc>
        <w:tc>
          <w:tcPr>
            <w:tcW w:w="116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2</w:t>
            </w:r>
          </w:p>
        </w:tc>
        <w:tc>
          <w:tcPr>
            <w:tcW w:w="1851" w:type="pct"/>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100</w:t>
            </w:r>
          </w:p>
        </w:tc>
      </w:tr>
    </w:tbl>
    <w:p>
      <w:pPr>
        <w:pStyle w:val="137"/>
        <w:spacing w:before="120" w:beforeLines="50"/>
        <w:outlineLvl w:val="3"/>
        <w:rPr>
          <w:rFonts w:hint="default" w:ascii="Times New Roman" w:hAnsi="Times New Roman" w:cs="Times New Roman"/>
          <w:color w:val="auto"/>
        </w:rPr>
      </w:pPr>
      <w:r>
        <w:rPr>
          <w:rFonts w:hint="eastAsia"/>
          <w:b/>
          <w:bCs w:val="0"/>
          <w:color w:val="auto"/>
          <w:lang w:val="en-US" w:eastAsia="zh-CN"/>
        </w:rPr>
        <w:t>5.1.3.4</w:t>
      </w:r>
      <w:r>
        <w:rPr>
          <w:rFonts w:hint="eastAsia" w:cs="Times New Roman"/>
          <w:color w:val="auto"/>
          <w:lang w:eastAsia="zh-CN"/>
        </w:rPr>
        <w:t>预测方法及预测模型的选取</w:t>
      </w:r>
    </w:p>
    <w:p>
      <w:pPr>
        <w:rPr>
          <w:color w:val="auto"/>
        </w:rPr>
      </w:pPr>
      <w:bookmarkStart w:id="518" w:name="_Toc405407378"/>
      <w:r>
        <w:rPr>
          <w:color w:val="auto"/>
        </w:rPr>
        <w:t>本次评价选用《环境影响评价技术导则  声环境》（HJ2.4-2021）中推荐的预测模式预测项目噪声影响。</w:t>
      </w:r>
    </w:p>
    <w:p>
      <w:pPr>
        <w:outlineLvl w:val="9"/>
        <w:rPr>
          <w:color w:val="auto"/>
        </w:rPr>
      </w:pPr>
      <w:r>
        <w:rPr>
          <w:rFonts w:hint="eastAsia"/>
          <w:color w:val="auto"/>
        </w:rPr>
        <w:t>1、室外声源在预测点产生的声级计算</w:t>
      </w:r>
    </w:p>
    <w:p>
      <w:pPr>
        <w:outlineLvl w:val="9"/>
        <w:rPr>
          <w:color w:val="auto"/>
        </w:rPr>
      </w:pPr>
      <w:r>
        <w:rPr>
          <w:rFonts w:hint="eastAsia"/>
          <w:color w:val="auto"/>
        </w:rPr>
        <w:t>（1）基本公式</w:t>
      </w:r>
    </w:p>
    <w:p>
      <w:pPr>
        <w:outlineLvl w:val="9"/>
        <w:rPr>
          <w:color w:val="auto"/>
        </w:rPr>
      </w:pPr>
      <w:r>
        <w:rPr>
          <w:rFonts w:hint="eastAsia"/>
          <w:color w:val="auto"/>
        </w:rPr>
        <w:t>预测点的声级计算，可按下式：</w:t>
      </w:r>
    </w:p>
    <w:p>
      <w:pPr>
        <w:ind w:firstLine="0" w:firstLineChars="0"/>
        <w:jc w:val="center"/>
        <w:outlineLvl w:val="9"/>
        <w:rPr>
          <w:color w:val="auto"/>
        </w:rPr>
      </w:pPr>
      <w:r>
        <w:rPr>
          <w:i/>
          <w:color w:val="auto"/>
        </w:rPr>
        <w:t>L</w:t>
      </w:r>
      <w:r>
        <w:rPr>
          <w:i/>
          <w:color w:val="auto"/>
          <w:vertAlign w:val="subscript"/>
        </w:rPr>
        <w:t>p</w:t>
      </w:r>
      <w:r>
        <w:rPr>
          <w:color w:val="auto"/>
        </w:rPr>
        <w:t>(</w:t>
      </w:r>
      <w:r>
        <w:rPr>
          <w:i/>
          <w:color w:val="auto"/>
        </w:rPr>
        <w:t>r</w:t>
      </w:r>
      <w:r>
        <w:rPr>
          <w:color w:val="auto"/>
        </w:rPr>
        <w:t>)</w:t>
      </w:r>
      <w:r>
        <w:rPr>
          <w:rFonts w:hint="eastAsia"/>
          <w:color w:val="auto"/>
        </w:rPr>
        <w:t>＝</w:t>
      </w:r>
      <w:r>
        <w:rPr>
          <w:i/>
          <w:color w:val="auto"/>
        </w:rPr>
        <w:t>L</w:t>
      </w:r>
      <w:r>
        <w:rPr>
          <w:i/>
          <w:color w:val="auto"/>
          <w:vertAlign w:val="subscript"/>
        </w:rPr>
        <w:t>w</w:t>
      </w:r>
      <w:r>
        <w:rPr>
          <w:color w:val="auto"/>
        </w:rPr>
        <w:t>+</w:t>
      </w:r>
      <w:r>
        <w:rPr>
          <w:i/>
          <w:color w:val="auto"/>
        </w:rPr>
        <w:t>D</w:t>
      </w:r>
      <w:r>
        <w:rPr>
          <w:color w:val="auto"/>
          <w:vertAlign w:val="subscript"/>
        </w:rPr>
        <w:t>C</w:t>
      </w:r>
      <w:r>
        <w:rPr>
          <w:rFonts w:hint="eastAsia"/>
          <w:color w:val="auto"/>
        </w:rPr>
        <w:t>－</w:t>
      </w:r>
      <w:r>
        <w:rPr>
          <w:color w:val="auto"/>
        </w:rPr>
        <w:t>(</w:t>
      </w:r>
      <w:r>
        <w:rPr>
          <w:i/>
          <w:color w:val="auto"/>
        </w:rPr>
        <w:t>A</w:t>
      </w:r>
      <w:r>
        <w:rPr>
          <w:color w:val="auto"/>
          <w:vertAlign w:val="subscript"/>
        </w:rPr>
        <w:t>div</w:t>
      </w:r>
      <w:r>
        <w:rPr>
          <w:rFonts w:hint="eastAsia"/>
          <w:color w:val="auto"/>
        </w:rPr>
        <w:t>＋</w:t>
      </w:r>
      <w:r>
        <w:rPr>
          <w:i/>
          <w:color w:val="auto"/>
        </w:rPr>
        <w:t>A</w:t>
      </w:r>
      <w:r>
        <w:rPr>
          <w:color w:val="auto"/>
          <w:vertAlign w:val="subscript"/>
        </w:rPr>
        <w:t>atm</w:t>
      </w:r>
      <w:r>
        <w:rPr>
          <w:rFonts w:hint="eastAsia"/>
          <w:color w:val="auto"/>
        </w:rPr>
        <w:t>＋</w:t>
      </w:r>
      <w:r>
        <w:rPr>
          <w:i/>
          <w:color w:val="auto"/>
        </w:rPr>
        <w:t>A</w:t>
      </w:r>
      <w:r>
        <w:rPr>
          <w:color w:val="auto"/>
          <w:vertAlign w:val="subscript"/>
        </w:rPr>
        <w:t>gr</w:t>
      </w:r>
      <w:r>
        <w:rPr>
          <w:rFonts w:hint="eastAsia"/>
          <w:color w:val="auto"/>
        </w:rPr>
        <w:t>＋</w:t>
      </w:r>
      <w:r>
        <w:rPr>
          <w:i/>
          <w:color w:val="auto"/>
        </w:rPr>
        <w:t>A</w:t>
      </w:r>
      <w:r>
        <w:rPr>
          <w:color w:val="auto"/>
          <w:vertAlign w:val="subscript"/>
        </w:rPr>
        <w:t>bar</w:t>
      </w:r>
      <w:r>
        <w:rPr>
          <w:rFonts w:hint="eastAsia"/>
          <w:color w:val="auto"/>
        </w:rPr>
        <w:t>＋</w:t>
      </w:r>
      <w:r>
        <w:rPr>
          <w:i/>
          <w:color w:val="auto"/>
        </w:rPr>
        <w:t>A</w:t>
      </w:r>
      <w:r>
        <w:rPr>
          <w:color w:val="auto"/>
          <w:vertAlign w:val="subscript"/>
        </w:rPr>
        <w:t>misc</w:t>
      </w:r>
      <w:r>
        <w:rPr>
          <w:color w:val="auto"/>
        </w:rPr>
        <w:t>)</w:t>
      </w:r>
    </w:p>
    <w:p>
      <w:pPr>
        <w:outlineLvl w:val="9"/>
        <w:rPr>
          <w:color w:val="auto"/>
        </w:rPr>
      </w:pPr>
      <w:r>
        <w:rPr>
          <w:rFonts w:hint="eastAsia"/>
          <w:color w:val="auto"/>
        </w:rPr>
        <w:t>式中：</w:t>
      </w:r>
      <w:r>
        <w:rPr>
          <w:i/>
          <w:color w:val="auto"/>
        </w:rPr>
        <w:t>L</w:t>
      </w:r>
      <w:r>
        <w:rPr>
          <w:i/>
          <w:color w:val="auto"/>
          <w:vertAlign w:val="subscript"/>
        </w:rPr>
        <w:t>p</w:t>
      </w:r>
      <w:r>
        <w:rPr>
          <w:color w:val="auto"/>
        </w:rPr>
        <w:t>(</w:t>
      </w:r>
      <w:r>
        <w:rPr>
          <w:i/>
          <w:color w:val="auto"/>
        </w:rPr>
        <w:t>r</w:t>
      </w:r>
      <w:r>
        <w:rPr>
          <w:color w:val="auto"/>
        </w:rPr>
        <w:t>) ——</w:t>
      </w:r>
      <w:r>
        <w:rPr>
          <w:rFonts w:hint="eastAsia"/>
          <w:color w:val="auto"/>
        </w:rPr>
        <w:t>预测点处声压级，</w:t>
      </w:r>
      <w:r>
        <w:rPr>
          <w:color w:val="auto"/>
        </w:rPr>
        <w:t>dB</w:t>
      </w:r>
      <w:r>
        <w:rPr>
          <w:rFonts w:hint="eastAsia"/>
          <w:color w:val="auto"/>
        </w:rPr>
        <w:t>；</w:t>
      </w:r>
    </w:p>
    <w:p>
      <w:pPr>
        <w:ind w:firstLine="1200" w:firstLineChars="500"/>
        <w:outlineLvl w:val="9"/>
        <w:rPr>
          <w:color w:val="auto"/>
        </w:rPr>
      </w:pPr>
      <w:r>
        <w:rPr>
          <w:i/>
          <w:color w:val="auto"/>
        </w:rPr>
        <w:t>L</w:t>
      </w:r>
      <w:r>
        <w:rPr>
          <w:i/>
          <w:color w:val="auto"/>
          <w:vertAlign w:val="subscript"/>
        </w:rPr>
        <w:t>w</w:t>
      </w:r>
      <w:r>
        <w:rPr>
          <w:i/>
          <w:color w:val="auto"/>
        </w:rPr>
        <w:t xml:space="preserve"> </w:t>
      </w:r>
      <w:r>
        <w:rPr>
          <w:color w:val="auto"/>
        </w:rPr>
        <w:t>——</w:t>
      </w:r>
      <w:r>
        <w:rPr>
          <w:rFonts w:hint="eastAsia"/>
          <w:color w:val="auto"/>
        </w:rPr>
        <w:t>由点声源产生的声功率级（</w:t>
      </w:r>
      <w:r>
        <w:rPr>
          <w:color w:val="auto"/>
        </w:rPr>
        <w:t>A</w:t>
      </w:r>
      <w:r>
        <w:rPr>
          <w:rFonts w:hint="eastAsia"/>
          <w:color w:val="auto"/>
        </w:rPr>
        <w:t>计权或倍频带），</w:t>
      </w:r>
      <w:r>
        <w:rPr>
          <w:color w:val="auto"/>
        </w:rPr>
        <w:t>dB</w:t>
      </w:r>
      <w:r>
        <w:rPr>
          <w:rFonts w:hint="eastAsia"/>
          <w:color w:val="auto"/>
        </w:rPr>
        <w:t>；</w:t>
      </w:r>
    </w:p>
    <w:p>
      <w:pPr>
        <w:ind w:firstLine="1200" w:firstLineChars="500"/>
        <w:outlineLvl w:val="9"/>
        <w:rPr>
          <w:color w:val="auto"/>
        </w:rPr>
      </w:pPr>
      <w:r>
        <w:rPr>
          <w:i/>
          <w:color w:val="auto"/>
        </w:rPr>
        <w:t>D</w:t>
      </w:r>
      <w:r>
        <w:rPr>
          <w:color w:val="auto"/>
          <w:vertAlign w:val="subscript"/>
        </w:rPr>
        <w:t xml:space="preserve">C </w:t>
      </w:r>
      <w:r>
        <w:rPr>
          <w:color w:val="auto"/>
        </w:rPr>
        <w:t>——</w:t>
      </w:r>
      <w:r>
        <w:rPr>
          <w:rFonts w:hint="eastAsia"/>
          <w:color w:val="auto"/>
        </w:rPr>
        <w:t>指向性校正，它描述点声源的等效连续声压级与产生声功率级</w:t>
      </w:r>
      <w:r>
        <w:rPr>
          <w:i/>
          <w:color w:val="auto"/>
        </w:rPr>
        <w:t>L</w:t>
      </w:r>
      <w:r>
        <w:rPr>
          <w:i/>
          <w:color w:val="auto"/>
          <w:vertAlign w:val="subscript"/>
        </w:rPr>
        <w:t>w</w:t>
      </w:r>
      <w:r>
        <w:rPr>
          <w:rFonts w:hint="eastAsia"/>
          <w:color w:val="auto"/>
        </w:rPr>
        <w:t>的全向点声源在规定方向的声级的偏差程度，</w:t>
      </w:r>
      <w:r>
        <w:rPr>
          <w:color w:val="auto"/>
        </w:rPr>
        <w:t>dB</w:t>
      </w:r>
      <w:r>
        <w:rPr>
          <w:rFonts w:hint="eastAsia"/>
          <w:color w:val="auto"/>
        </w:rPr>
        <w:t>；</w:t>
      </w:r>
    </w:p>
    <w:p>
      <w:pPr>
        <w:ind w:firstLine="1200" w:firstLineChars="500"/>
        <w:outlineLvl w:val="9"/>
        <w:rPr>
          <w:color w:val="auto"/>
        </w:rPr>
      </w:pPr>
      <w:r>
        <w:rPr>
          <w:i/>
          <w:color w:val="auto"/>
        </w:rPr>
        <w:t>A</w:t>
      </w:r>
      <w:r>
        <w:rPr>
          <w:color w:val="auto"/>
          <w:vertAlign w:val="subscript"/>
        </w:rPr>
        <w:t>div</w:t>
      </w:r>
      <w:r>
        <w:rPr>
          <w:color w:val="auto"/>
        </w:rPr>
        <w:t>——</w:t>
      </w:r>
      <w:r>
        <w:rPr>
          <w:rFonts w:hint="eastAsia"/>
          <w:color w:val="auto"/>
        </w:rPr>
        <w:t>几何发散引起的衰减，</w:t>
      </w:r>
      <w:r>
        <w:rPr>
          <w:color w:val="auto"/>
        </w:rPr>
        <w:t>dB</w:t>
      </w:r>
      <w:r>
        <w:rPr>
          <w:rFonts w:hint="eastAsia"/>
          <w:color w:val="auto"/>
        </w:rPr>
        <w:t>；</w:t>
      </w:r>
    </w:p>
    <w:p>
      <w:pPr>
        <w:ind w:firstLine="1200" w:firstLineChars="500"/>
        <w:outlineLvl w:val="9"/>
        <w:rPr>
          <w:color w:val="auto"/>
        </w:rPr>
      </w:pPr>
      <w:r>
        <w:rPr>
          <w:i/>
          <w:color w:val="auto"/>
        </w:rPr>
        <w:t>A</w:t>
      </w:r>
      <w:r>
        <w:rPr>
          <w:color w:val="auto"/>
          <w:vertAlign w:val="subscript"/>
        </w:rPr>
        <w:t>atm</w:t>
      </w:r>
      <w:r>
        <w:rPr>
          <w:color w:val="auto"/>
        </w:rPr>
        <w:t>——</w:t>
      </w:r>
      <w:r>
        <w:rPr>
          <w:rFonts w:hint="eastAsia"/>
          <w:color w:val="auto"/>
        </w:rPr>
        <w:t>大气吸收引起的衰减，</w:t>
      </w:r>
      <w:r>
        <w:rPr>
          <w:color w:val="auto"/>
        </w:rPr>
        <w:t>dB</w:t>
      </w:r>
      <w:r>
        <w:rPr>
          <w:rFonts w:hint="eastAsia"/>
          <w:color w:val="auto"/>
        </w:rPr>
        <w:t>；</w:t>
      </w:r>
    </w:p>
    <w:p>
      <w:pPr>
        <w:ind w:firstLine="1200" w:firstLineChars="500"/>
        <w:outlineLvl w:val="9"/>
        <w:rPr>
          <w:color w:val="auto"/>
        </w:rPr>
      </w:pPr>
      <w:r>
        <w:rPr>
          <w:i/>
          <w:color w:val="auto"/>
        </w:rPr>
        <w:t>A</w:t>
      </w:r>
      <w:r>
        <w:rPr>
          <w:color w:val="auto"/>
          <w:vertAlign w:val="subscript"/>
        </w:rPr>
        <w:t>gr</w:t>
      </w:r>
      <w:r>
        <w:rPr>
          <w:color w:val="auto"/>
        </w:rPr>
        <w:t>——</w:t>
      </w:r>
      <w:r>
        <w:rPr>
          <w:rFonts w:hint="eastAsia"/>
          <w:color w:val="auto"/>
        </w:rPr>
        <w:t>地面效应引起的衰减，</w:t>
      </w:r>
      <w:r>
        <w:rPr>
          <w:color w:val="auto"/>
        </w:rPr>
        <w:t>dB</w:t>
      </w:r>
      <w:r>
        <w:rPr>
          <w:rFonts w:hint="eastAsia"/>
          <w:color w:val="auto"/>
        </w:rPr>
        <w:t>；</w:t>
      </w:r>
    </w:p>
    <w:p>
      <w:pPr>
        <w:ind w:firstLine="1200" w:firstLineChars="500"/>
        <w:outlineLvl w:val="9"/>
        <w:rPr>
          <w:color w:val="auto"/>
        </w:rPr>
      </w:pPr>
      <w:r>
        <w:rPr>
          <w:i/>
          <w:color w:val="auto"/>
        </w:rPr>
        <w:t>A</w:t>
      </w:r>
      <w:r>
        <w:rPr>
          <w:color w:val="auto"/>
          <w:vertAlign w:val="subscript"/>
        </w:rPr>
        <w:t>bar</w:t>
      </w:r>
      <w:r>
        <w:rPr>
          <w:color w:val="auto"/>
        </w:rPr>
        <w:t xml:space="preserve"> ——</w:t>
      </w:r>
      <w:r>
        <w:rPr>
          <w:rFonts w:hint="eastAsia"/>
          <w:color w:val="auto"/>
        </w:rPr>
        <w:t>障碍物屏蔽引起的衰减，</w:t>
      </w:r>
      <w:r>
        <w:rPr>
          <w:color w:val="auto"/>
        </w:rPr>
        <w:t>dB</w:t>
      </w:r>
      <w:r>
        <w:rPr>
          <w:rFonts w:hint="eastAsia"/>
          <w:color w:val="auto"/>
        </w:rPr>
        <w:t>；</w:t>
      </w:r>
    </w:p>
    <w:p>
      <w:pPr>
        <w:ind w:firstLine="1200" w:firstLineChars="500"/>
        <w:outlineLvl w:val="9"/>
        <w:rPr>
          <w:color w:val="auto"/>
        </w:rPr>
      </w:pPr>
      <w:r>
        <w:rPr>
          <w:i/>
          <w:color w:val="auto"/>
        </w:rPr>
        <w:t>A</w:t>
      </w:r>
      <w:r>
        <w:rPr>
          <w:color w:val="auto"/>
          <w:vertAlign w:val="subscript"/>
        </w:rPr>
        <w:t>misc</w:t>
      </w:r>
      <w:r>
        <w:rPr>
          <w:color w:val="auto"/>
        </w:rPr>
        <w:t xml:space="preserve"> ——</w:t>
      </w:r>
      <w:r>
        <w:rPr>
          <w:rFonts w:hint="eastAsia"/>
          <w:color w:val="auto"/>
        </w:rPr>
        <w:t>其他多方面效应引起的衰减，</w:t>
      </w:r>
      <w:r>
        <w:rPr>
          <w:color w:val="auto"/>
        </w:rPr>
        <w:t>dB</w:t>
      </w:r>
      <w:r>
        <w:rPr>
          <w:rFonts w:hint="eastAsia"/>
          <w:color w:val="auto"/>
        </w:rPr>
        <w:t>。</w:t>
      </w:r>
    </w:p>
    <w:p>
      <w:pPr>
        <w:outlineLvl w:val="9"/>
        <w:rPr>
          <w:color w:val="auto"/>
        </w:rPr>
      </w:pPr>
      <w:r>
        <w:rPr>
          <w:rFonts w:hint="eastAsia"/>
          <w:color w:val="auto"/>
        </w:rPr>
        <w:t>（2）几何发散引起的衰减（</w:t>
      </w:r>
      <w:r>
        <w:rPr>
          <w:i/>
          <w:color w:val="auto"/>
        </w:rPr>
        <w:t>A</w:t>
      </w:r>
      <w:r>
        <w:rPr>
          <w:color w:val="auto"/>
          <w:vertAlign w:val="subscript"/>
        </w:rPr>
        <w:t>div</w:t>
      </w:r>
      <w:r>
        <w:rPr>
          <w:rFonts w:hint="eastAsia"/>
          <w:color w:val="auto"/>
        </w:rPr>
        <w:t>）</w:t>
      </w:r>
    </w:p>
    <w:p>
      <w:pPr>
        <w:outlineLvl w:val="9"/>
        <w:rPr>
          <w:color w:val="auto"/>
        </w:rPr>
      </w:pPr>
      <w:r>
        <w:rPr>
          <w:rFonts w:hint="eastAsia"/>
          <w:color w:val="auto"/>
        </w:rPr>
        <w:t>无指向性点声源几何发散衰减基本公式，可按下式：</w:t>
      </w:r>
    </w:p>
    <w:p>
      <w:pPr>
        <w:ind w:firstLine="0" w:firstLineChars="0"/>
        <w:jc w:val="center"/>
        <w:outlineLvl w:val="9"/>
        <w:rPr>
          <w:color w:val="auto"/>
        </w:rPr>
      </w:pPr>
      <w:r>
        <w:rPr>
          <w:i/>
          <w:color w:val="auto"/>
        </w:rPr>
        <w:t>L</w:t>
      </w:r>
      <w:r>
        <w:rPr>
          <w:i/>
          <w:color w:val="auto"/>
          <w:vertAlign w:val="subscript"/>
        </w:rPr>
        <w:t>p</w:t>
      </w:r>
      <w:r>
        <w:rPr>
          <w:i/>
          <w:color w:val="auto"/>
        </w:rPr>
        <w:t xml:space="preserve"> </w:t>
      </w:r>
      <w:r>
        <w:rPr>
          <w:color w:val="auto"/>
        </w:rPr>
        <w:t>(</w:t>
      </w:r>
      <w:r>
        <w:rPr>
          <w:i/>
          <w:color w:val="auto"/>
        </w:rPr>
        <w:t xml:space="preserve">r </w:t>
      </w:r>
      <w:r>
        <w:rPr>
          <w:color w:val="auto"/>
        </w:rPr>
        <w:t xml:space="preserve">) = </w:t>
      </w:r>
      <w:r>
        <w:rPr>
          <w:i/>
          <w:color w:val="auto"/>
        </w:rPr>
        <w:t>L</w:t>
      </w:r>
      <w:r>
        <w:rPr>
          <w:i/>
          <w:color w:val="auto"/>
          <w:vertAlign w:val="subscript"/>
        </w:rPr>
        <w:t>p</w:t>
      </w:r>
      <w:r>
        <w:rPr>
          <w:i/>
          <w:color w:val="auto"/>
        </w:rPr>
        <w:t xml:space="preserve"> </w:t>
      </w:r>
      <w:r>
        <w:rPr>
          <w:color w:val="auto"/>
        </w:rPr>
        <w:t>(</w:t>
      </w:r>
      <w:r>
        <w:rPr>
          <w:i/>
          <w:color w:val="auto"/>
        </w:rPr>
        <w:t>r</w:t>
      </w:r>
      <w:r>
        <w:rPr>
          <w:color w:val="auto"/>
          <w:vertAlign w:val="subscript"/>
        </w:rPr>
        <w:t>0</w:t>
      </w:r>
      <w:r>
        <w:rPr>
          <w:color w:val="auto"/>
        </w:rPr>
        <w:t xml:space="preserve"> ) - 20lg(</w:t>
      </w:r>
      <w:r>
        <w:rPr>
          <w:i/>
          <w:color w:val="auto"/>
        </w:rPr>
        <w:t>r r</w:t>
      </w:r>
      <w:r>
        <w:rPr>
          <w:color w:val="auto"/>
          <w:vertAlign w:val="subscript"/>
        </w:rPr>
        <w:t>0</w:t>
      </w:r>
      <w:r>
        <w:rPr>
          <w:color w:val="auto"/>
        </w:rPr>
        <w:t xml:space="preserve"> )</w:t>
      </w:r>
    </w:p>
    <w:p>
      <w:pPr>
        <w:outlineLvl w:val="9"/>
        <w:rPr>
          <w:color w:val="auto"/>
        </w:rPr>
      </w:pPr>
      <w:r>
        <w:rPr>
          <w:rFonts w:hint="eastAsia"/>
          <w:color w:val="auto"/>
        </w:rPr>
        <w:t>式中：</w:t>
      </w:r>
      <w:r>
        <w:rPr>
          <w:i/>
          <w:color w:val="auto"/>
        </w:rPr>
        <w:t>L</w:t>
      </w:r>
      <w:r>
        <w:rPr>
          <w:i/>
          <w:color w:val="auto"/>
          <w:vertAlign w:val="subscript"/>
        </w:rPr>
        <w:t>p</w:t>
      </w:r>
      <w:r>
        <w:rPr>
          <w:color w:val="auto"/>
        </w:rPr>
        <w:t>(</w:t>
      </w:r>
      <w:r>
        <w:rPr>
          <w:i/>
          <w:color w:val="auto"/>
        </w:rPr>
        <w:t>r</w:t>
      </w:r>
      <w:r>
        <w:rPr>
          <w:color w:val="auto"/>
        </w:rPr>
        <w:t>) ——</w:t>
      </w:r>
      <w:r>
        <w:rPr>
          <w:rFonts w:hint="eastAsia"/>
          <w:color w:val="auto"/>
        </w:rPr>
        <w:t>预测点处声压级，</w:t>
      </w:r>
      <w:r>
        <w:rPr>
          <w:color w:val="auto"/>
        </w:rPr>
        <w:t>dB</w:t>
      </w:r>
      <w:r>
        <w:rPr>
          <w:rFonts w:hint="eastAsia"/>
          <w:color w:val="auto"/>
        </w:rPr>
        <w:t>；</w:t>
      </w:r>
    </w:p>
    <w:p>
      <w:pPr>
        <w:ind w:firstLine="1200" w:firstLineChars="500"/>
        <w:outlineLvl w:val="9"/>
        <w:rPr>
          <w:color w:val="auto"/>
        </w:rPr>
      </w:pPr>
      <w:r>
        <w:rPr>
          <w:i/>
          <w:color w:val="auto"/>
        </w:rPr>
        <w:t>L</w:t>
      </w:r>
      <w:r>
        <w:rPr>
          <w:i/>
          <w:color w:val="auto"/>
          <w:vertAlign w:val="subscript"/>
        </w:rPr>
        <w:t>p</w:t>
      </w:r>
      <w:r>
        <w:rPr>
          <w:color w:val="auto"/>
        </w:rPr>
        <w:t>(</w:t>
      </w:r>
      <w:r>
        <w:rPr>
          <w:i/>
          <w:color w:val="auto"/>
        </w:rPr>
        <w:t>r</w:t>
      </w:r>
      <w:r>
        <w:rPr>
          <w:color w:val="auto"/>
          <w:vertAlign w:val="subscript"/>
        </w:rPr>
        <w:t>0</w:t>
      </w:r>
      <w:r>
        <w:rPr>
          <w:color w:val="auto"/>
        </w:rPr>
        <w:t>) ——</w:t>
      </w:r>
      <w:r>
        <w:rPr>
          <w:rFonts w:hint="eastAsia"/>
          <w:color w:val="auto"/>
        </w:rPr>
        <w:t>参考位置</w:t>
      </w:r>
      <w:r>
        <w:rPr>
          <w:i/>
          <w:color w:val="auto"/>
        </w:rPr>
        <w:t>r</w:t>
      </w:r>
      <w:r>
        <w:rPr>
          <w:color w:val="auto"/>
          <w:vertAlign w:val="subscript"/>
        </w:rPr>
        <w:t>0</w:t>
      </w:r>
      <w:r>
        <w:rPr>
          <w:rFonts w:hint="eastAsia"/>
          <w:color w:val="auto"/>
        </w:rPr>
        <w:t>处的声压级，</w:t>
      </w:r>
      <w:r>
        <w:rPr>
          <w:color w:val="auto"/>
        </w:rPr>
        <w:t>dB</w:t>
      </w:r>
      <w:r>
        <w:rPr>
          <w:rFonts w:hint="eastAsia"/>
          <w:color w:val="auto"/>
        </w:rPr>
        <w:t>；</w:t>
      </w:r>
    </w:p>
    <w:p>
      <w:pPr>
        <w:ind w:firstLine="1200" w:firstLineChars="500"/>
        <w:outlineLvl w:val="9"/>
        <w:rPr>
          <w:color w:val="auto"/>
        </w:rPr>
      </w:pPr>
      <w:r>
        <w:rPr>
          <w:i/>
          <w:color w:val="auto"/>
        </w:rPr>
        <w:t xml:space="preserve">r </w:t>
      </w:r>
      <w:r>
        <w:rPr>
          <w:color w:val="auto"/>
        </w:rPr>
        <w:t>——</w:t>
      </w:r>
      <w:r>
        <w:rPr>
          <w:rFonts w:hint="eastAsia"/>
          <w:color w:val="auto"/>
        </w:rPr>
        <w:t>预测点距声源的距离；</w:t>
      </w:r>
    </w:p>
    <w:p>
      <w:pPr>
        <w:ind w:firstLine="1200" w:firstLineChars="500"/>
        <w:outlineLvl w:val="9"/>
        <w:rPr>
          <w:color w:val="auto"/>
        </w:rPr>
      </w:pPr>
      <w:r>
        <w:rPr>
          <w:i/>
          <w:color w:val="auto"/>
        </w:rPr>
        <w:t>r</w:t>
      </w:r>
      <w:r>
        <w:rPr>
          <w:color w:val="auto"/>
          <w:vertAlign w:val="subscript"/>
        </w:rPr>
        <w:t>0</w:t>
      </w:r>
      <w:r>
        <w:rPr>
          <w:color w:val="auto"/>
        </w:rPr>
        <w:t>——</w:t>
      </w:r>
      <w:r>
        <w:rPr>
          <w:rFonts w:hint="eastAsia"/>
          <w:color w:val="auto"/>
        </w:rPr>
        <w:t>参考位置距声源的距离。</w:t>
      </w:r>
    </w:p>
    <w:p>
      <w:pPr>
        <w:outlineLvl w:val="9"/>
        <w:rPr>
          <w:color w:val="auto"/>
        </w:rPr>
      </w:pPr>
      <w:r>
        <w:rPr>
          <w:rFonts w:hint="eastAsia"/>
          <w:color w:val="auto"/>
        </w:rPr>
        <w:t>（3）大气吸收引起的衰减（</w:t>
      </w:r>
      <w:r>
        <w:rPr>
          <w:i/>
          <w:color w:val="auto"/>
        </w:rPr>
        <w:t>A</w:t>
      </w:r>
      <w:r>
        <w:rPr>
          <w:color w:val="auto"/>
          <w:vertAlign w:val="subscript"/>
        </w:rPr>
        <w:t>atm</w:t>
      </w:r>
      <w:r>
        <w:rPr>
          <w:rFonts w:hint="eastAsia"/>
          <w:color w:val="auto"/>
        </w:rPr>
        <w:t>）</w:t>
      </w:r>
    </w:p>
    <w:p>
      <w:pPr>
        <w:outlineLvl w:val="9"/>
        <w:rPr>
          <w:color w:val="auto"/>
        </w:rPr>
      </w:pPr>
      <w:r>
        <w:rPr>
          <w:rFonts w:hint="eastAsia"/>
          <w:color w:val="auto"/>
        </w:rPr>
        <w:t>大气吸收引起的衰减，可按下式：</w:t>
      </w:r>
    </w:p>
    <w:p>
      <w:pPr>
        <w:ind w:firstLine="0" w:firstLineChars="0"/>
        <w:jc w:val="center"/>
        <w:outlineLvl w:val="9"/>
        <w:rPr>
          <w:color w:val="auto"/>
        </w:rPr>
      </w:pPr>
      <w:r>
        <w:rPr>
          <w:color w:val="auto"/>
        </w:rPr>
        <w:drawing>
          <wp:inline distT="0" distB="0" distL="114300" distR="114300">
            <wp:extent cx="996950" cy="381000"/>
            <wp:effectExtent l="0" t="0" r="1270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7"/>
                    <a:stretch>
                      <a:fillRect/>
                    </a:stretch>
                  </pic:blipFill>
                  <pic:spPr>
                    <a:xfrm>
                      <a:off x="0" y="0"/>
                      <a:ext cx="996950" cy="381000"/>
                    </a:xfrm>
                    <a:prstGeom prst="rect">
                      <a:avLst/>
                    </a:prstGeom>
                    <a:noFill/>
                    <a:ln>
                      <a:noFill/>
                    </a:ln>
                  </pic:spPr>
                </pic:pic>
              </a:graphicData>
            </a:graphic>
          </wp:inline>
        </w:drawing>
      </w:r>
    </w:p>
    <w:p>
      <w:pPr>
        <w:outlineLvl w:val="9"/>
        <w:rPr>
          <w:color w:val="auto"/>
        </w:rPr>
      </w:pPr>
      <w:r>
        <w:rPr>
          <w:rFonts w:hint="eastAsia"/>
          <w:color w:val="auto"/>
        </w:rPr>
        <w:t>式中：</w:t>
      </w:r>
      <w:r>
        <w:rPr>
          <w:i/>
          <w:color w:val="auto"/>
        </w:rPr>
        <w:t>A</w:t>
      </w:r>
      <w:r>
        <w:rPr>
          <w:color w:val="auto"/>
          <w:vertAlign w:val="subscript"/>
        </w:rPr>
        <w:t>atm</w:t>
      </w:r>
      <w:r>
        <w:rPr>
          <w:color w:val="auto"/>
        </w:rPr>
        <w:t xml:space="preserve"> ——</w:t>
      </w:r>
      <w:r>
        <w:rPr>
          <w:rFonts w:hint="eastAsia"/>
          <w:color w:val="auto"/>
        </w:rPr>
        <w:t>大气吸收引起的衰减，</w:t>
      </w:r>
      <w:r>
        <w:rPr>
          <w:color w:val="auto"/>
        </w:rPr>
        <w:t>dB</w:t>
      </w:r>
      <w:r>
        <w:rPr>
          <w:rFonts w:hint="eastAsia"/>
          <w:color w:val="auto"/>
        </w:rPr>
        <w:t>；</w:t>
      </w:r>
    </w:p>
    <w:p>
      <w:pPr>
        <w:ind w:firstLine="1200" w:firstLineChars="500"/>
        <w:outlineLvl w:val="9"/>
        <w:rPr>
          <w:color w:val="auto"/>
        </w:rPr>
      </w:pPr>
      <w:r>
        <w:rPr>
          <w:i/>
          <w:color w:val="auto"/>
        </w:rPr>
        <w:t>α</w:t>
      </w:r>
      <w:r>
        <w:rPr>
          <w:color w:val="auto"/>
        </w:rPr>
        <w:t>——</w:t>
      </w:r>
      <w:r>
        <w:rPr>
          <w:rFonts w:hint="eastAsia"/>
          <w:color w:val="auto"/>
        </w:rPr>
        <w:t>与温度、湿度和声波频率有关的大气吸收衰减系数，预测计算中一般根据建设项目所处区域常年平均气温和湿度选择相应的大气吸收衰减系数；</w:t>
      </w:r>
    </w:p>
    <w:p>
      <w:pPr>
        <w:ind w:firstLine="1200" w:firstLineChars="500"/>
        <w:outlineLvl w:val="9"/>
        <w:rPr>
          <w:color w:val="auto"/>
        </w:rPr>
      </w:pPr>
      <w:r>
        <w:rPr>
          <w:i/>
          <w:color w:val="auto"/>
        </w:rPr>
        <w:t xml:space="preserve">r </w:t>
      </w:r>
      <w:r>
        <w:rPr>
          <w:color w:val="auto"/>
        </w:rPr>
        <w:t>——</w:t>
      </w:r>
      <w:r>
        <w:rPr>
          <w:rFonts w:hint="eastAsia"/>
          <w:color w:val="auto"/>
        </w:rPr>
        <w:t>预测点距声源的距离；</w:t>
      </w:r>
    </w:p>
    <w:p>
      <w:pPr>
        <w:ind w:firstLine="1200" w:firstLineChars="500"/>
        <w:outlineLvl w:val="9"/>
        <w:rPr>
          <w:color w:val="auto"/>
        </w:rPr>
      </w:pPr>
      <w:r>
        <w:rPr>
          <w:i/>
          <w:color w:val="auto"/>
        </w:rPr>
        <w:t>r</w:t>
      </w:r>
      <w:r>
        <w:rPr>
          <w:color w:val="auto"/>
          <w:vertAlign w:val="subscript"/>
        </w:rPr>
        <w:t>0</w:t>
      </w:r>
      <w:r>
        <w:rPr>
          <w:color w:val="auto"/>
        </w:rPr>
        <w:t>——</w:t>
      </w:r>
      <w:r>
        <w:rPr>
          <w:rFonts w:hint="eastAsia"/>
          <w:color w:val="auto"/>
        </w:rPr>
        <w:t>参考位置距声源的距离。</w:t>
      </w:r>
    </w:p>
    <w:p>
      <w:pPr>
        <w:outlineLvl w:val="9"/>
        <w:rPr>
          <w:color w:val="auto"/>
        </w:rPr>
      </w:pPr>
      <w:r>
        <w:rPr>
          <w:rFonts w:hint="eastAsia"/>
          <w:color w:val="auto"/>
        </w:rPr>
        <w:t>（4）地面效应引起的衰减（</w:t>
      </w:r>
      <w:r>
        <w:rPr>
          <w:i/>
          <w:color w:val="auto"/>
        </w:rPr>
        <w:t>A</w:t>
      </w:r>
      <w:r>
        <w:rPr>
          <w:color w:val="auto"/>
          <w:vertAlign w:val="subscript"/>
        </w:rPr>
        <w:t>gr</w:t>
      </w:r>
      <w:r>
        <w:rPr>
          <w:rFonts w:hint="eastAsia"/>
          <w:color w:val="auto"/>
        </w:rPr>
        <w:t>）</w:t>
      </w:r>
    </w:p>
    <w:p>
      <w:pPr>
        <w:outlineLvl w:val="9"/>
        <w:rPr>
          <w:color w:val="auto"/>
        </w:rPr>
      </w:pPr>
      <w:r>
        <w:rPr>
          <w:rFonts w:hint="eastAsia"/>
          <w:color w:val="auto"/>
        </w:rPr>
        <w:t>声波掠过疏松地面传播时，或大部分为疏松地面的混合地面，在预测点仅计算A声级前提下，地面效应引起的倍频带衰减，可按下式：</w:t>
      </w:r>
    </w:p>
    <w:p>
      <w:pPr>
        <w:ind w:firstLine="0" w:firstLineChars="0"/>
        <w:jc w:val="center"/>
        <w:outlineLvl w:val="9"/>
        <w:rPr>
          <w:color w:val="auto"/>
        </w:rPr>
      </w:pPr>
      <w:r>
        <w:rPr>
          <w:color w:val="auto"/>
        </w:rPr>
        <w:drawing>
          <wp:inline distT="0" distB="0" distL="114300" distR="114300">
            <wp:extent cx="1663065" cy="387985"/>
            <wp:effectExtent l="0" t="0" r="13335" b="1206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48"/>
                    <a:stretch>
                      <a:fillRect/>
                    </a:stretch>
                  </pic:blipFill>
                  <pic:spPr>
                    <a:xfrm>
                      <a:off x="0" y="0"/>
                      <a:ext cx="1663065" cy="387985"/>
                    </a:xfrm>
                    <a:prstGeom prst="rect">
                      <a:avLst/>
                    </a:prstGeom>
                    <a:noFill/>
                    <a:ln>
                      <a:noFill/>
                    </a:ln>
                  </pic:spPr>
                </pic:pic>
              </a:graphicData>
            </a:graphic>
          </wp:inline>
        </w:drawing>
      </w:r>
    </w:p>
    <w:p>
      <w:pPr>
        <w:outlineLvl w:val="9"/>
        <w:rPr>
          <w:color w:val="auto"/>
        </w:rPr>
      </w:pPr>
      <w:r>
        <w:rPr>
          <w:rFonts w:hint="eastAsia"/>
          <w:color w:val="auto"/>
        </w:rPr>
        <w:t>式中：</w:t>
      </w:r>
      <w:r>
        <w:rPr>
          <w:rFonts w:hint="eastAsia"/>
          <w:i/>
          <w:color w:val="auto"/>
        </w:rPr>
        <w:t>A</w:t>
      </w:r>
      <w:r>
        <w:rPr>
          <w:rFonts w:hint="eastAsia"/>
          <w:i/>
          <w:color w:val="auto"/>
          <w:vertAlign w:val="subscript"/>
        </w:rPr>
        <w:t>gr</w:t>
      </w:r>
      <w:r>
        <w:rPr>
          <w:rFonts w:hint="eastAsia"/>
          <w:color w:val="auto"/>
        </w:rPr>
        <w:t xml:space="preserve"> ——地面效应引起的衰减，dB；</w:t>
      </w:r>
    </w:p>
    <w:p>
      <w:pPr>
        <w:ind w:firstLine="1200" w:firstLineChars="500"/>
        <w:outlineLvl w:val="9"/>
        <w:rPr>
          <w:color w:val="auto"/>
        </w:rPr>
      </w:pPr>
      <w:r>
        <w:rPr>
          <w:rFonts w:hint="eastAsia"/>
          <w:i/>
          <w:color w:val="auto"/>
        </w:rPr>
        <w:t xml:space="preserve">r </w:t>
      </w:r>
      <w:r>
        <w:rPr>
          <w:rFonts w:hint="eastAsia"/>
          <w:color w:val="auto"/>
        </w:rPr>
        <w:t>——预测点距声源的距离，m；</w:t>
      </w:r>
    </w:p>
    <w:p>
      <w:pPr>
        <w:ind w:firstLine="1200" w:firstLineChars="500"/>
        <w:outlineLvl w:val="9"/>
        <w:rPr>
          <w:color w:val="auto"/>
        </w:rPr>
      </w:pPr>
      <w:r>
        <w:rPr>
          <w:i/>
          <w:color w:val="auto"/>
        </w:rPr>
        <w:t>h</w:t>
      </w:r>
      <w:r>
        <w:rPr>
          <w:i/>
          <w:color w:val="auto"/>
          <w:vertAlign w:val="subscript"/>
        </w:rPr>
        <w:t>m</w:t>
      </w:r>
      <w:r>
        <w:rPr>
          <w:color w:val="auto"/>
        </w:rPr>
        <w:t>——</w:t>
      </w:r>
      <w:r>
        <w:rPr>
          <w:rFonts w:hint="eastAsia"/>
          <w:color w:val="auto"/>
        </w:rPr>
        <w:t>传播路径的平均离地高度，</w:t>
      </w:r>
      <w:r>
        <w:rPr>
          <w:color w:val="auto"/>
        </w:rPr>
        <w:t>m</w:t>
      </w:r>
      <w:r>
        <w:rPr>
          <w:rFonts w:hint="eastAsia"/>
          <w:color w:val="auto"/>
        </w:rPr>
        <w:t>；</w:t>
      </w:r>
      <w:r>
        <w:rPr>
          <w:i/>
          <w:color w:val="auto"/>
        </w:rPr>
        <w:t>h</w:t>
      </w:r>
      <w:r>
        <w:rPr>
          <w:i/>
          <w:color w:val="auto"/>
          <w:vertAlign w:val="subscript"/>
        </w:rPr>
        <w:t>m</w:t>
      </w:r>
      <w:r>
        <w:rPr>
          <w:color w:val="auto"/>
        </w:rPr>
        <w:t>=</w:t>
      </w:r>
      <w:r>
        <w:rPr>
          <w:i/>
          <w:color w:val="auto"/>
        </w:rPr>
        <w:t>F/r</w:t>
      </w:r>
      <w:r>
        <w:rPr>
          <w:rFonts w:hint="eastAsia"/>
          <w:color w:val="auto"/>
        </w:rPr>
        <w:t>；</w:t>
      </w:r>
      <w:r>
        <w:rPr>
          <w:i/>
          <w:color w:val="auto"/>
        </w:rPr>
        <w:t>F</w:t>
      </w:r>
      <w:r>
        <w:rPr>
          <w:rFonts w:hint="eastAsia"/>
          <w:color w:val="auto"/>
        </w:rPr>
        <w:t>：面积，</w:t>
      </w:r>
      <w:r>
        <w:rPr>
          <w:color w:val="auto"/>
        </w:rPr>
        <w:t>m</w:t>
      </w:r>
      <w:r>
        <w:rPr>
          <w:color w:val="auto"/>
          <w:vertAlign w:val="superscript"/>
        </w:rPr>
        <w:t>2</w:t>
      </w:r>
      <w:r>
        <w:rPr>
          <w:rFonts w:hint="eastAsia"/>
          <w:color w:val="auto"/>
        </w:rPr>
        <w:t>；若</w:t>
      </w:r>
      <w:r>
        <w:rPr>
          <w:rFonts w:hint="eastAsia"/>
          <w:i/>
          <w:color w:val="auto"/>
        </w:rPr>
        <w:t>A</w:t>
      </w:r>
      <w:r>
        <w:rPr>
          <w:rFonts w:hint="eastAsia"/>
          <w:i/>
          <w:color w:val="auto"/>
          <w:vertAlign w:val="subscript"/>
        </w:rPr>
        <w:t>gr</w:t>
      </w:r>
      <w:r>
        <w:rPr>
          <w:rFonts w:hint="eastAsia"/>
          <w:color w:val="auto"/>
        </w:rPr>
        <w:t>计算出负值，则</w:t>
      </w:r>
      <w:r>
        <w:rPr>
          <w:rFonts w:hint="eastAsia"/>
          <w:i/>
          <w:color w:val="auto"/>
        </w:rPr>
        <w:t>A</w:t>
      </w:r>
      <w:r>
        <w:rPr>
          <w:rFonts w:hint="eastAsia"/>
          <w:i/>
          <w:color w:val="auto"/>
          <w:vertAlign w:val="subscript"/>
        </w:rPr>
        <w:t>gr</w:t>
      </w:r>
      <w:r>
        <w:rPr>
          <w:rFonts w:hint="eastAsia"/>
          <w:color w:val="auto"/>
        </w:rPr>
        <w:t>可用“0”代替。</w:t>
      </w:r>
    </w:p>
    <w:p>
      <w:pPr>
        <w:outlineLvl w:val="9"/>
        <w:rPr>
          <w:color w:val="auto"/>
        </w:rPr>
      </w:pPr>
      <w:r>
        <w:rPr>
          <w:rFonts w:hint="eastAsia"/>
          <w:color w:val="auto"/>
        </w:rPr>
        <w:t>（5）障碍物屏蔽引起的衰减（</w:t>
      </w:r>
      <w:r>
        <w:rPr>
          <w:i/>
          <w:color w:val="auto"/>
        </w:rPr>
        <w:t>A</w:t>
      </w:r>
      <w:r>
        <w:rPr>
          <w:color w:val="auto"/>
          <w:vertAlign w:val="subscript"/>
        </w:rPr>
        <w:t>bar</w:t>
      </w:r>
      <w:r>
        <w:rPr>
          <w:rFonts w:hint="eastAsia"/>
          <w:color w:val="auto"/>
        </w:rPr>
        <w:t>）</w:t>
      </w:r>
    </w:p>
    <w:p>
      <w:pPr>
        <w:outlineLvl w:val="9"/>
        <w:rPr>
          <w:color w:val="auto"/>
        </w:rPr>
      </w:pPr>
      <w:r>
        <w:rPr>
          <w:rFonts w:hint="eastAsia"/>
          <w:color w:val="auto"/>
        </w:rPr>
        <w:t>位于声源和预测点之间的实体障碍物，如围墙、建筑物、土坡或地堑等起声屏障作用，从而引起声能量的较大衰减。在环境影响评价中，可将各种形式的屏障简化为具有一定高度的薄屏障。</w:t>
      </w:r>
    </w:p>
    <w:p>
      <w:pPr>
        <w:outlineLvl w:val="9"/>
        <w:rPr>
          <w:color w:val="auto"/>
        </w:rPr>
      </w:pPr>
      <w:r>
        <w:rPr>
          <w:rFonts w:hint="eastAsia"/>
          <w:color w:val="auto"/>
        </w:rPr>
        <w:t>在噪声预测中，声屏障插入损失的计算方法需要根据实际情况作简化处理。</w:t>
      </w:r>
    </w:p>
    <w:p>
      <w:pPr>
        <w:outlineLvl w:val="9"/>
        <w:rPr>
          <w:color w:val="auto"/>
        </w:rPr>
      </w:pPr>
      <w:r>
        <w:rPr>
          <w:rFonts w:hint="eastAsia"/>
          <w:color w:val="auto"/>
        </w:rPr>
        <w:t>（6）其他方面效应引起的衰减（</w:t>
      </w:r>
      <w:r>
        <w:rPr>
          <w:i/>
          <w:color w:val="auto"/>
        </w:rPr>
        <w:t>A</w:t>
      </w:r>
      <w:r>
        <w:rPr>
          <w:color w:val="auto"/>
          <w:vertAlign w:val="subscript"/>
        </w:rPr>
        <w:t>misc</w:t>
      </w:r>
      <w:r>
        <w:rPr>
          <w:rFonts w:hint="eastAsia"/>
          <w:color w:val="auto"/>
        </w:rPr>
        <w:t>）</w:t>
      </w:r>
    </w:p>
    <w:p>
      <w:pPr>
        <w:outlineLvl w:val="9"/>
        <w:rPr>
          <w:color w:val="auto"/>
        </w:rPr>
      </w:pPr>
      <w:r>
        <w:rPr>
          <w:rFonts w:hint="eastAsia"/>
          <w:color w:val="auto"/>
        </w:rPr>
        <w:t>其他衰减包括通过工业场所的衰减；通过建筑群的衰减等。一般情况下，不考虑自然条件（如风、温度梯度、雾）变化引起的附加修正。</w:t>
      </w:r>
    </w:p>
    <w:p>
      <w:pPr>
        <w:outlineLvl w:val="9"/>
        <w:rPr>
          <w:color w:val="auto"/>
        </w:rPr>
      </w:pPr>
      <w:r>
        <w:rPr>
          <w:rFonts w:hint="eastAsia"/>
          <w:color w:val="auto"/>
          <w:lang w:val="en-US" w:eastAsia="zh-CN"/>
        </w:rPr>
        <w:t>2</w:t>
      </w:r>
      <w:r>
        <w:rPr>
          <w:rFonts w:hint="eastAsia"/>
          <w:color w:val="auto"/>
        </w:rPr>
        <w:t>、噪声预测值计算</w:t>
      </w:r>
    </w:p>
    <w:p>
      <w:pPr>
        <w:outlineLvl w:val="9"/>
        <w:rPr>
          <w:color w:val="auto"/>
        </w:rPr>
      </w:pPr>
      <w:r>
        <w:rPr>
          <w:rFonts w:hint="eastAsia"/>
          <w:color w:val="auto"/>
        </w:rPr>
        <w:t>预测点的贡献值和背景值按能量叠加方法计算得到的声级即为噪声预测值（</w:t>
      </w:r>
      <w:r>
        <w:rPr>
          <w:rFonts w:hint="eastAsia"/>
          <w:i/>
          <w:color w:val="auto"/>
        </w:rPr>
        <w:t>L</w:t>
      </w:r>
      <w:r>
        <w:rPr>
          <w:rFonts w:hint="eastAsia"/>
          <w:i/>
          <w:color w:val="auto"/>
          <w:vertAlign w:val="subscript"/>
        </w:rPr>
        <w:t>eq</w:t>
      </w:r>
      <w:r>
        <w:rPr>
          <w:rFonts w:hint="eastAsia"/>
          <w:color w:val="auto"/>
        </w:rPr>
        <w:t>），可按下式计算：</w:t>
      </w:r>
    </w:p>
    <w:p>
      <w:pPr>
        <w:ind w:firstLine="0" w:firstLineChars="0"/>
        <w:jc w:val="center"/>
        <w:outlineLvl w:val="9"/>
        <w:rPr>
          <w:color w:val="auto"/>
        </w:rPr>
      </w:pPr>
      <w:r>
        <w:rPr>
          <w:color w:val="auto"/>
        </w:rPr>
        <w:drawing>
          <wp:inline distT="0" distB="0" distL="114300" distR="114300">
            <wp:extent cx="1727200" cy="316230"/>
            <wp:effectExtent l="0" t="0" r="6350" b="762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49"/>
                    <a:stretch>
                      <a:fillRect/>
                    </a:stretch>
                  </pic:blipFill>
                  <pic:spPr>
                    <a:xfrm>
                      <a:off x="0" y="0"/>
                      <a:ext cx="1727200" cy="316230"/>
                    </a:xfrm>
                    <a:prstGeom prst="rect">
                      <a:avLst/>
                    </a:prstGeom>
                    <a:noFill/>
                    <a:ln>
                      <a:noFill/>
                    </a:ln>
                  </pic:spPr>
                </pic:pic>
              </a:graphicData>
            </a:graphic>
          </wp:inline>
        </w:drawing>
      </w:r>
    </w:p>
    <w:p>
      <w:pPr>
        <w:outlineLvl w:val="9"/>
        <w:rPr>
          <w:color w:val="auto"/>
        </w:rPr>
      </w:pPr>
      <w:r>
        <w:rPr>
          <w:rFonts w:hint="eastAsia"/>
          <w:color w:val="auto"/>
        </w:rPr>
        <w:t>式中：</w:t>
      </w:r>
      <w:r>
        <w:rPr>
          <w:rFonts w:hint="eastAsia"/>
          <w:i/>
          <w:color w:val="auto"/>
        </w:rPr>
        <w:t>L</w:t>
      </w:r>
      <w:r>
        <w:rPr>
          <w:rFonts w:hint="eastAsia"/>
          <w:i/>
          <w:color w:val="auto"/>
          <w:vertAlign w:val="subscript"/>
        </w:rPr>
        <w:t>eq</w:t>
      </w:r>
      <w:r>
        <w:rPr>
          <w:rFonts w:eastAsia="Times New Roman"/>
          <w:color w:val="auto"/>
          <w:spacing w:val="-2"/>
        </w:rPr>
        <w:t>——</w:t>
      </w:r>
      <w:r>
        <w:rPr>
          <w:rFonts w:hint="eastAsia"/>
          <w:color w:val="auto"/>
          <w:spacing w:val="-2"/>
        </w:rPr>
        <w:t>预测点的噪声预测值，</w:t>
      </w:r>
      <w:r>
        <w:rPr>
          <w:rFonts w:eastAsia="Times New Roman"/>
          <w:color w:val="auto"/>
          <w:spacing w:val="-2"/>
        </w:rPr>
        <w:t>dB</w:t>
      </w:r>
      <w:r>
        <w:rPr>
          <w:rFonts w:hint="eastAsia"/>
          <w:color w:val="auto"/>
          <w:spacing w:val="-2"/>
        </w:rPr>
        <w:t>；</w:t>
      </w:r>
    </w:p>
    <w:p>
      <w:pPr>
        <w:ind w:firstLine="1200" w:firstLineChars="500"/>
        <w:outlineLvl w:val="9"/>
        <w:rPr>
          <w:color w:val="auto"/>
        </w:rPr>
      </w:pPr>
      <w:r>
        <w:rPr>
          <w:rFonts w:hint="eastAsia"/>
          <w:i/>
          <w:color w:val="auto"/>
        </w:rPr>
        <w:t>L</w:t>
      </w:r>
      <w:r>
        <w:rPr>
          <w:rFonts w:hint="eastAsia"/>
          <w:i/>
          <w:color w:val="auto"/>
          <w:vertAlign w:val="subscript"/>
        </w:rPr>
        <w:t>eqg</w:t>
      </w:r>
      <w:r>
        <w:rPr>
          <w:rFonts w:hint="eastAsia"/>
          <w:color w:val="auto"/>
        </w:rPr>
        <w:t>——建设项目声源在预测点产生的噪声贡献值，dB；</w:t>
      </w:r>
    </w:p>
    <w:p>
      <w:pPr>
        <w:ind w:firstLine="1200" w:firstLineChars="500"/>
        <w:outlineLvl w:val="9"/>
        <w:rPr>
          <w:color w:val="auto"/>
        </w:rPr>
      </w:pPr>
      <w:r>
        <w:rPr>
          <w:rFonts w:hint="eastAsia"/>
          <w:i/>
          <w:color w:val="auto"/>
        </w:rPr>
        <w:t>L</w:t>
      </w:r>
      <w:r>
        <w:rPr>
          <w:rFonts w:hint="eastAsia"/>
          <w:i/>
          <w:color w:val="auto"/>
          <w:vertAlign w:val="subscript"/>
        </w:rPr>
        <w:t>eqb</w:t>
      </w:r>
      <w:r>
        <w:rPr>
          <w:rFonts w:hint="eastAsia"/>
          <w:color w:val="auto"/>
        </w:rPr>
        <w:t>——预测点的背景噪声值，dB。</w:t>
      </w:r>
    </w:p>
    <w:p>
      <w:pPr>
        <w:pStyle w:val="137"/>
        <w:outlineLvl w:val="3"/>
        <w:rPr>
          <w:rFonts w:hint="default" w:ascii="Times New Roman" w:hAnsi="Times New Roman" w:cs="Times New Roman"/>
          <w:color w:val="auto"/>
        </w:rPr>
      </w:pPr>
      <w:r>
        <w:rPr>
          <w:rFonts w:hint="eastAsia"/>
          <w:b/>
          <w:bCs w:val="0"/>
          <w:color w:val="auto"/>
          <w:lang w:val="en-US" w:eastAsia="zh-CN"/>
        </w:rPr>
        <w:t>5.1.3.5</w:t>
      </w:r>
      <w:r>
        <w:rPr>
          <w:rFonts w:hint="eastAsia" w:cs="Times New Roman"/>
          <w:color w:val="auto"/>
          <w:lang w:eastAsia="zh-CN"/>
        </w:rPr>
        <w:t>噪声预测情景</w:t>
      </w:r>
    </w:p>
    <w:p>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施工场地所在地声环境质量根据《兴隆三块石断面区域环境综合整治工程环境质量现状检测报告》（辽鹏环测字PY2209488-001号）中对施工场界最近的居民区处的声环境质量监测结果进行说明</w:t>
      </w:r>
      <w:r>
        <w:rPr>
          <w:rFonts w:hint="eastAsia" w:ascii="Times New Roman" w:hAnsi="Times New Roman" w:eastAsia="宋体" w:cs="Times New Roman"/>
          <w:color w:val="auto"/>
          <w:lang w:val="en-US" w:eastAsia="zh-CN"/>
        </w:rPr>
        <w:t>。</w:t>
      </w:r>
    </w:p>
    <w:p>
      <w:pPr>
        <w:pStyle w:val="1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jc w:val="center"/>
        <w:textAlignment w:val="auto"/>
        <w:rPr>
          <w:rStyle w:val="46"/>
          <w:rFonts w:hint="default" w:ascii="Times New Roman" w:hAnsi="Times New Roman" w:eastAsia="宋体" w:cs="Times New Roman"/>
          <w:b/>
          <w:bCs/>
          <w:i w:val="0"/>
          <w:iCs/>
          <w:color w:val="auto"/>
          <w:sz w:val="21"/>
          <w:szCs w:val="21"/>
          <w:lang w:val="en-US" w:eastAsia="zh-CN"/>
        </w:rPr>
      </w:pPr>
      <w:r>
        <w:rPr>
          <w:rStyle w:val="46"/>
          <w:rFonts w:hint="eastAsia"/>
          <w:color w:val="auto"/>
          <w:szCs w:val="21"/>
          <w:lang w:eastAsia="zh-CN"/>
        </w:rPr>
        <w:t>表</w:t>
      </w:r>
      <w:r>
        <w:rPr>
          <w:rStyle w:val="46"/>
          <w:rFonts w:hint="eastAsia"/>
          <w:color w:val="auto"/>
          <w:szCs w:val="21"/>
          <w:lang w:val="en-US" w:eastAsia="zh-CN"/>
        </w:rPr>
        <w:t xml:space="preserve">5.1-3  </w:t>
      </w:r>
      <w:r>
        <w:rPr>
          <w:rStyle w:val="46"/>
          <w:rFonts w:hint="default" w:ascii="Times New Roman" w:hAnsi="Times New Roman" w:eastAsia="宋体" w:cs="Times New Roman"/>
          <w:b/>
          <w:bCs/>
          <w:i w:val="0"/>
          <w:iCs/>
          <w:color w:val="auto"/>
          <w:sz w:val="21"/>
          <w:szCs w:val="21"/>
          <w:lang w:val="en-US" w:eastAsia="zh-CN"/>
        </w:rPr>
        <w:t>项目区域声环境质量现状监测结果（单位：dB（A））</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2"/>
        <w:gridCol w:w="2129"/>
        <w:gridCol w:w="2136"/>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6" w:type="pct"/>
            <w:vMerge w:val="restar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cs="宋体"/>
                <w:b/>
                <w:bCs/>
                <w:color w:val="auto"/>
                <w:kern w:val="0"/>
                <w:sz w:val="21"/>
                <w:szCs w:val="21"/>
                <w:lang w:eastAsia="zh-CN" w:bidi="ar"/>
              </w:rPr>
            </w:pPr>
            <w:r>
              <w:rPr>
                <w:rFonts w:hint="eastAsia" w:ascii="宋体" w:hAnsi="宋体" w:cs="宋体"/>
                <w:b/>
                <w:bCs/>
                <w:color w:val="auto"/>
                <w:kern w:val="0"/>
                <w:sz w:val="21"/>
                <w:szCs w:val="21"/>
                <w:lang w:eastAsia="zh-CN" w:bidi="ar"/>
              </w:rPr>
              <w:t>监测点位</w:t>
            </w:r>
          </w:p>
        </w:tc>
        <w:tc>
          <w:tcPr>
            <w:tcW w:w="2446"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监测结果</w:t>
            </w:r>
          </w:p>
        </w:tc>
        <w:tc>
          <w:tcPr>
            <w:tcW w:w="1187" w:type="pct"/>
            <w:vMerge w:val="restart"/>
            <w:noWrap w:val="0"/>
            <w:vAlign w:val="center"/>
          </w:tcPr>
          <w:p>
            <w:pPr>
              <w:pStyle w:val="65"/>
              <w:keepNext w:val="0"/>
              <w:keepLines w:val="0"/>
              <w:suppressLineNumbers w:val="0"/>
              <w:spacing w:before="0" w:beforeAutospacing="0" w:after="0" w:afterAutospacing="0"/>
              <w:ind w:left="0" w:right="0"/>
              <w:rPr>
                <w:rFonts w:hint="eastAsia" w:ascii="Times New Roman" w:hAnsi="Times New Roman" w:cs="Times New Roman"/>
                <w:b/>
                <w:bCs/>
                <w:color w:val="auto"/>
                <w:lang w:eastAsia="zh-CN"/>
              </w:rPr>
            </w:pPr>
            <w:r>
              <w:rPr>
                <w:rFonts w:hint="eastAsia" w:ascii="Times New Roman" w:hAnsi="Times New Roman" w:cs="Times New Roman"/>
                <w:b/>
                <w:bCs/>
                <w:color w:val="auto"/>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6" w:type="pct"/>
            <w:vMerge w:val="continue"/>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1"/>
                <w:szCs w:val="21"/>
                <w:lang w:eastAsia="zh-CN" w:bidi="ar"/>
              </w:rPr>
            </w:pPr>
          </w:p>
        </w:tc>
        <w:tc>
          <w:tcPr>
            <w:tcW w:w="122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eastAsiaTheme="minorEastAsia"/>
                <w:b/>
                <w:bCs w:val="0"/>
                <w:color w:val="auto"/>
                <w:sz w:val="21"/>
                <w:szCs w:val="21"/>
                <w:highlight w:val="none"/>
                <w:lang w:val="en-US" w:eastAsia="zh-CN"/>
              </w:rPr>
            </w:pPr>
            <w:r>
              <w:rPr>
                <w:rFonts w:hint="eastAsia" w:cs="Times New Roman" w:eastAsiaTheme="minorEastAsia"/>
                <w:b/>
                <w:bCs w:val="0"/>
                <w:color w:val="auto"/>
                <w:sz w:val="21"/>
                <w:szCs w:val="21"/>
                <w:highlight w:val="none"/>
                <w:lang w:val="en-US" w:eastAsia="zh-CN"/>
              </w:rPr>
              <w:t>昼间</w:t>
            </w:r>
          </w:p>
        </w:tc>
        <w:tc>
          <w:tcPr>
            <w:tcW w:w="122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夜间</w:t>
            </w:r>
          </w:p>
        </w:tc>
        <w:tc>
          <w:tcPr>
            <w:tcW w:w="1187" w:type="pct"/>
            <w:vMerge w:val="continue"/>
            <w:noWrap w:val="0"/>
            <w:vAlign w:val="center"/>
          </w:tcPr>
          <w:p>
            <w:pPr>
              <w:pStyle w:val="65"/>
              <w:keepNext w:val="0"/>
              <w:keepLines w:val="0"/>
              <w:suppressLineNumbers w:val="0"/>
              <w:spacing w:before="0" w:beforeAutospacing="0" w:after="0" w:afterAutospacing="0"/>
              <w:ind w:left="0" w:right="0"/>
              <w:rPr>
                <w:rFonts w:hint="eastAsia" w:ascii="Times New Roman" w:hAnsi="Times New Roman"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6"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color w:val="auto"/>
                <w:szCs w:val="20"/>
                <w:lang w:val="en-US" w:eastAsia="zh-CN"/>
              </w:rPr>
            </w:pPr>
            <w:r>
              <w:rPr>
                <w:rFonts w:hint="eastAsia" w:ascii="宋体" w:hAnsi="宋体" w:cs="宋体"/>
                <w:color w:val="auto"/>
                <w:kern w:val="0"/>
                <w:sz w:val="21"/>
                <w:szCs w:val="21"/>
                <w:lang w:eastAsia="zh-CN" w:bidi="ar"/>
              </w:rPr>
              <w:t>杨树底下村</w:t>
            </w:r>
          </w:p>
        </w:tc>
        <w:tc>
          <w:tcPr>
            <w:tcW w:w="122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szCs w:val="20"/>
                <w:lang w:val="en-US" w:eastAsia="zh-CN"/>
              </w:rPr>
            </w:pPr>
            <w:r>
              <w:rPr>
                <w:rFonts w:hint="eastAsia" w:cs="Times New Roman" w:eastAsiaTheme="minorEastAsia"/>
                <w:bCs/>
                <w:color w:val="auto"/>
                <w:sz w:val="21"/>
                <w:szCs w:val="21"/>
                <w:highlight w:val="none"/>
                <w:lang w:val="en-US" w:eastAsia="zh-CN"/>
              </w:rPr>
              <w:t>50.2</w:t>
            </w:r>
          </w:p>
        </w:tc>
        <w:tc>
          <w:tcPr>
            <w:tcW w:w="122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szCs w:val="20"/>
                <w:lang w:val="en-US" w:eastAsia="zh-CN"/>
              </w:rPr>
            </w:pPr>
            <w:r>
              <w:rPr>
                <w:rFonts w:hint="eastAsia" w:cs="Times New Roman"/>
                <w:color w:val="auto"/>
                <w:sz w:val="21"/>
                <w:szCs w:val="21"/>
                <w:highlight w:val="none"/>
                <w:lang w:val="en-US" w:eastAsia="zh-CN"/>
              </w:rPr>
              <w:t>40.3</w:t>
            </w:r>
          </w:p>
        </w:tc>
        <w:tc>
          <w:tcPr>
            <w:tcW w:w="1187" w:type="pct"/>
            <w:noWrap w:val="0"/>
            <w:vAlign w:val="center"/>
          </w:tcPr>
          <w:p>
            <w:pPr>
              <w:pStyle w:val="65"/>
              <w:keepNext w:val="0"/>
              <w:keepLines w:val="0"/>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6"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Cs w:val="20"/>
              </w:rPr>
            </w:pPr>
            <w:r>
              <w:rPr>
                <w:rFonts w:hint="eastAsia" w:ascii="宋体" w:hAnsi="宋体" w:cs="宋体"/>
                <w:color w:val="auto"/>
                <w:kern w:val="0"/>
                <w:sz w:val="21"/>
                <w:szCs w:val="21"/>
                <w:lang w:bidi="ar"/>
              </w:rPr>
              <w:t>三块石村</w:t>
            </w:r>
          </w:p>
        </w:tc>
        <w:tc>
          <w:tcPr>
            <w:tcW w:w="122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Cs w:val="20"/>
                <w:lang w:val="en-US" w:eastAsia="zh-CN"/>
              </w:rPr>
            </w:pPr>
            <w:r>
              <w:rPr>
                <w:rFonts w:hint="eastAsia" w:cs="Times New Roman"/>
                <w:color w:val="auto"/>
                <w:kern w:val="0"/>
                <w:sz w:val="21"/>
                <w:szCs w:val="21"/>
                <w:highlight w:val="none"/>
                <w:lang w:val="en-US" w:eastAsia="zh-CN" w:bidi="ar"/>
              </w:rPr>
              <w:t>49.8</w:t>
            </w:r>
          </w:p>
        </w:tc>
        <w:tc>
          <w:tcPr>
            <w:tcW w:w="122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Cs w:val="20"/>
                <w:lang w:val="en-US" w:eastAsia="zh-CN"/>
              </w:rPr>
            </w:pPr>
            <w:r>
              <w:rPr>
                <w:rFonts w:hint="default" w:ascii="Times New Roman" w:hAnsi="Times New Roman" w:cs="Times New Roman" w:eastAsiaTheme="minorEastAsia"/>
                <w:bCs/>
                <w:color w:val="auto"/>
                <w:sz w:val="21"/>
                <w:szCs w:val="21"/>
                <w:highlight w:val="none"/>
                <w:lang w:val="en-US" w:eastAsia="zh-CN"/>
              </w:rPr>
              <w:t>39.8</w:t>
            </w:r>
          </w:p>
        </w:tc>
        <w:tc>
          <w:tcPr>
            <w:tcW w:w="1187"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6"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1"/>
                <w:szCs w:val="21"/>
                <w:lang w:eastAsia="zh-CN" w:bidi="ar"/>
              </w:rPr>
            </w:pPr>
            <w:r>
              <w:rPr>
                <w:rFonts w:hint="eastAsia" w:ascii="宋体" w:hAnsi="宋体" w:cs="宋体"/>
                <w:color w:val="auto"/>
                <w:kern w:val="0"/>
                <w:sz w:val="21"/>
                <w:szCs w:val="21"/>
                <w:lang w:eastAsia="zh-CN" w:bidi="ar"/>
              </w:rPr>
              <w:t>标准值</w:t>
            </w:r>
          </w:p>
        </w:tc>
        <w:tc>
          <w:tcPr>
            <w:tcW w:w="122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60</w:t>
            </w:r>
          </w:p>
        </w:tc>
        <w:tc>
          <w:tcPr>
            <w:tcW w:w="122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50</w:t>
            </w:r>
          </w:p>
        </w:tc>
        <w:tc>
          <w:tcPr>
            <w:tcW w:w="1187"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r>
    </w:tbl>
    <w:p>
      <w:pPr>
        <w:pStyle w:val="137"/>
        <w:keepNext w:val="0"/>
        <w:keepLines w:val="0"/>
        <w:pageBreakBefore w:val="0"/>
        <w:widowControl/>
        <w:kinsoku/>
        <w:wordWrap/>
        <w:overflowPunct/>
        <w:topLinePunct w:val="0"/>
        <w:autoSpaceDE/>
        <w:autoSpaceDN/>
        <w:bidi w:val="0"/>
        <w:adjustRightInd w:val="0"/>
        <w:snapToGrid w:val="0"/>
        <w:spacing w:before="157" w:beforeLines="50"/>
        <w:textAlignment w:val="auto"/>
        <w:outlineLvl w:val="3"/>
        <w:rPr>
          <w:rFonts w:hint="default" w:ascii="Times New Roman" w:hAnsi="Times New Roman" w:cs="Times New Roman"/>
          <w:color w:val="auto"/>
        </w:rPr>
      </w:pPr>
      <w:r>
        <w:rPr>
          <w:rFonts w:hint="eastAsia"/>
          <w:b/>
          <w:bCs w:val="0"/>
          <w:color w:val="auto"/>
          <w:lang w:val="en-US" w:eastAsia="zh-CN"/>
        </w:rPr>
        <w:t>5.1.3.5</w:t>
      </w:r>
      <w:r>
        <w:rPr>
          <w:rFonts w:hint="default" w:ascii="Times New Roman" w:hAnsi="Times New Roman" w:cs="Times New Roman"/>
          <w:color w:val="auto"/>
        </w:rPr>
        <w:t>声环境影响预测结果分析</w:t>
      </w:r>
    </w:p>
    <w:bookmarkEnd w:id="518"/>
    <w:p>
      <w:pPr>
        <w:rPr>
          <w:color w:val="auto"/>
        </w:rPr>
      </w:pPr>
      <w:r>
        <w:rPr>
          <w:color w:val="auto"/>
        </w:rPr>
        <w:t>根据噪声预测</w:t>
      </w:r>
      <w:r>
        <w:rPr>
          <w:rFonts w:hint="eastAsia"/>
          <w:color w:val="auto"/>
        </w:rPr>
        <w:t>方法</w:t>
      </w:r>
      <w:r>
        <w:rPr>
          <w:color w:val="auto"/>
        </w:rPr>
        <w:t>及源强参数，结合噪声源到各预测点距离，预测计算</w:t>
      </w:r>
      <w:r>
        <w:rPr>
          <w:rFonts w:hint="eastAsia"/>
          <w:color w:val="auto"/>
        </w:rPr>
        <w:t>：</w:t>
      </w:r>
    </w:p>
    <w:p>
      <w:pPr>
        <w:rPr>
          <w:rFonts w:hint="default" w:ascii="Times New Roman" w:hAnsi="Times New Roman" w:cs="Times New Roman"/>
          <w:color w:val="auto"/>
        </w:rPr>
      </w:pPr>
      <w:r>
        <w:rPr>
          <w:color w:val="auto"/>
        </w:rPr>
        <w:t>项目对</w:t>
      </w:r>
      <w:r>
        <w:rPr>
          <w:rFonts w:hint="eastAsia"/>
          <w:color w:val="auto"/>
        </w:rPr>
        <w:t>区域声环境及周围200m范围内的声环境保护目标</w:t>
      </w:r>
      <w:r>
        <w:rPr>
          <w:color w:val="auto"/>
        </w:rPr>
        <w:t>的贡献值</w:t>
      </w:r>
      <w:r>
        <w:rPr>
          <w:rFonts w:hint="eastAsia"/>
          <w:color w:val="auto"/>
        </w:rPr>
        <w:t>和预测值</w:t>
      </w:r>
      <w:r>
        <w:rPr>
          <w:rFonts w:hint="eastAsia"/>
          <w:color w:val="auto"/>
          <w:lang w:eastAsia="zh-CN"/>
        </w:rPr>
        <w:t>；</w:t>
      </w:r>
      <w:r>
        <w:rPr>
          <w:rFonts w:hint="eastAsia"/>
          <w:color w:val="auto"/>
        </w:rPr>
        <w:t>项目</w:t>
      </w:r>
      <w:r>
        <w:rPr>
          <w:rFonts w:hint="eastAsia"/>
          <w:color w:val="auto"/>
          <w:lang w:eastAsia="zh-CN"/>
        </w:rPr>
        <w:t>场界</w:t>
      </w:r>
      <w:r>
        <w:rPr>
          <w:rFonts w:hint="eastAsia"/>
          <w:color w:val="auto"/>
        </w:rPr>
        <w:t>噪声贡献值</w:t>
      </w:r>
      <w:r>
        <w:rPr>
          <w:rFonts w:hint="eastAsia"/>
          <w:color w:val="auto"/>
          <w:lang w:eastAsia="zh-CN"/>
        </w:rPr>
        <w:t>；</w:t>
      </w:r>
      <w:r>
        <w:rPr>
          <w:color w:val="auto"/>
        </w:rPr>
        <w:t>项目生产运行阶段声级等值线</w:t>
      </w:r>
      <w:r>
        <w:rPr>
          <w:rFonts w:hint="eastAsia"/>
          <w:color w:val="auto"/>
        </w:rPr>
        <w:t>（贡献值）分布如下图所示。</w:t>
      </w:r>
    </w:p>
    <w:p>
      <w:pPr>
        <w:widowControl/>
        <w:adjustRightInd/>
        <w:snapToGrid/>
        <w:spacing w:line="240" w:lineRule="auto"/>
        <w:ind w:firstLine="0" w:firstLineChars="0"/>
        <w:jc w:val="center"/>
        <w:rPr>
          <w:rFonts w:hint="default" w:ascii="Times New Roman" w:hAnsi="Times New Roman" w:cs="Times New Roman"/>
          <w:color w:val="auto"/>
          <w:kern w:val="0"/>
        </w:rPr>
      </w:pPr>
      <w:r>
        <w:rPr>
          <w:rFonts w:hint="default" w:ascii="Times New Roman" w:hAnsi="Times New Roman" w:cs="Times New Roman"/>
          <w:color w:val="auto"/>
        </w:rPr>
        <mc:AlternateContent>
          <mc:Choice Requires="wpg">
            <w:drawing>
              <wp:anchor distT="0" distB="0" distL="114300" distR="114300" simplePos="0" relativeHeight="251676672" behindDoc="0" locked="0" layoutInCell="1" allowOverlap="1">
                <wp:simplePos x="0" y="0"/>
                <wp:positionH relativeFrom="column">
                  <wp:posOffset>-635</wp:posOffset>
                </wp:positionH>
                <wp:positionV relativeFrom="paragraph">
                  <wp:posOffset>4445</wp:posOffset>
                </wp:positionV>
                <wp:extent cx="622300" cy="635000"/>
                <wp:effectExtent l="0" t="0" r="5715" b="0"/>
                <wp:wrapNone/>
                <wp:docPr id="36" name="组合 36"/>
                <wp:cNvGraphicFramePr/>
                <a:graphic xmlns:a="http://schemas.openxmlformats.org/drawingml/2006/main">
                  <a:graphicData uri="http://schemas.microsoft.com/office/word/2010/wordprocessingGroup">
                    <wpg:wgp>
                      <wpg:cNvGrpSpPr/>
                      <wpg:grpSpPr>
                        <a:xfrm>
                          <a:off x="0" y="0"/>
                          <a:ext cx="622300" cy="635000"/>
                          <a:chOff x="-731861" y="-4460633"/>
                          <a:chExt cx="623266" cy="635349"/>
                        </a:xfrm>
                        <a:effectLst/>
                      </wpg:grpSpPr>
                      <wps:wsp>
                        <wps:cNvPr id="37" name="直接箭头连接符 37"/>
                        <wps:cNvCnPr/>
                        <wps:spPr>
                          <a:xfrm flipV="1">
                            <a:off x="-468483" y="-4460633"/>
                            <a:ext cx="0" cy="540385"/>
                          </a:xfrm>
                          <a:prstGeom prst="straightConnector1">
                            <a:avLst/>
                          </a:prstGeom>
                          <a:noFill/>
                          <a:ln w="19050" cap="flat" cmpd="sng" algn="ctr">
                            <a:solidFill>
                              <a:srgbClr val="FF0000"/>
                            </a:solidFill>
                            <a:prstDash val="solid"/>
                            <a:miter lim="800000"/>
                            <a:tailEnd type="arrow"/>
                          </a:ln>
                          <a:effectLst/>
                        </wps:spPr>
                        <wps:bodyPr/>
                      </wps:wsp>
                      <wps:wsp>
                        <wps:cNvPr id="38" name="直接连接符 38"/>
                        <wps:cNvCnPr/>
                        <wps:spPr>
                          <a:xfrm>
                            <a:off x="-649284" y="-4114803"/>
                            <a:ext cx="540689" cy="0"/>
                          </a:xfrm>
                          <a:prstGeom prst="line">
                            <a:avLst/>
                          </a:prstGeom>
                          <a:noFill/>
                          <a:ln w="19050" cap="flat" cmpd="sng" algn="ctr">
                            <a:solidFill>
                              <a:srgbClr val="FF0000"/>
                            </a:solidFill>
                            <a:prstDash val="solid"/>
                            <a:miter lim="800000"/>
                          </a:ln>
                          <a:effectLst/>
                        </wps:spPr>
                        <wps:bodyPr/>
                      </wps:wsp>
                      <wps:wsp>
                        <wps:cNvPr id="507" name="文本框 507"/>
                        <wps:cNvSpPr txBox="1"/>
                        <wps:spPr>
                          <a:xfrm>
                            <a:off x="-731861" y="-4327661"/>
                            <a:ext cx="623266" cy="502377"/>
                          </a:xfrm>
                          <a:prstGeom prst="rect">
                            <a:avLst/>
                          </a:prstGeom>
                          <a:noFill/>
                          <a:ln w="6350">
                            <a:noFill/>
                          </a:ln>
                          <a:effectLst/>
                        </wps:spPr>
                        <wps:txbx>
                          <w:txbxContent>
                            <w:p>
                              <w:pPr>
                                <w:ind w:firstLine="422"/>
                                <w:rPr>
                                  <w:b/>
                                  <w:color w:val="FF0000"/>
                                  <w:sz w:val="21"/>
                                </w:rPr>
                              </w:pPr>
                              <w:r>
                                <w:rPr>
                                  <w:rFonts w:hint="eastAsia"/>
                                  <w:b/>
                                  <w:color w:val="FF0000"/>
                                  <w:sz w:val="21"/>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05pt;margin-top:0.35pt;height:50pt;width:49pt;z-index:251676672;mso-width-relative:page;mso-height-relative:page;" coordorigin="-731861,-4460633" coordsize="623266,635349" o:gfxdata="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jbrqlNUAAAAFAQAADwAAAAAAAAABACAA&#10;AAAiAAAAZHJzL2Rvd25yZXYueG1sUEsBAhQAFAAAAAgAh07iQOWvAvvYAwAA5QkAAA4AAAAAAAAA&#10;AQAgAAAAJAEAAGRycy9lMm9Eb2MueG1sUEsFBgAAAAAGAAYAWQEAAG4HAAAAAA==&#10;">
                <o:lock v:ext="edit" aspectratio="f"/>
                <v:shape id="_x0000_s1026" o:spid="_x0000_s1026" o:spt="32" type="#_x0000_t32" style="position:absolute;left:-468483;top:-4460633;flip:y;height:540385;width:0;" filled="f" stroked="t" coordsize="21600,21600" o:gfxdata="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4ajvQAA&#10;ANsAAAAPAAAAAAAAAAEAIAAAACIAAABkcnMvZG93bnJldi54bWxQSwECFAAUAAAACACHTuJAMy8F&#10;njsAAAA5AAAAEAAAAAAAAAABACAAAAAMAQAAZHJzL3NoYXBleG1sLnhtbFBLBQYAAAAABgAGAFsB&#10;AAC2AwAAAAA=&#10;">
                  <v:fill on="f" focussize="0,0"/>
                  <v:stroke weight="1.5pt" color="#FF0000" miterlimit="8" joinstyle="miter" endarrow="open"/>
                  <v:imagedata o:title=""/>
                  <o:lock v:ext="edit" aspectratio="f"/>
                </v:shape>
                <v:line id="_x0000_s1026" o:spid="_x0000_s1026" o:spt="20" style="position:absolute;left:-649284;top:-4114803;height:0;width:540689;" filled="f" stroked="t" coordsize="21600,21600" o:gfxdata="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EtvZbUAAADbAAAADwAA&#10;AAAAAAABACAAAAAiAAAAZHJzL2Rvd25yZXYueG1sUEsBAhQAFAAAAAgAh07iQDMvBZ47AAAAOQAA&#10;ABAAAAAAAAAAAQAgAAAABAEAAGRycy9zaGFwZXhtbC54bWxQSwUGAAAAAAYABgBbAQAArgMAAAAA&#10;">
                  <v:fill on="f" focussize="0,0"/>
                  <v:stroke weight="1.5pt" color="#FF0000" miterlimit="8" joinstyle="miter"/>
                  <v:imagedata o:title=""/>
                  <o:lock v:ext="edit" aspectratio="f"/>
                </v:line>
                <v:shape id="_x0000_s1026" o:spid="_x0000_s1026" o:spt="202" type="#_x0000_t202" style="position:absolute;left:-731861;top:-4327661;height:502377;width:623266;" filled="f" stroked="f" coordsize="21600,21600" o:gfxdata="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rDnj&#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firstLine="422"/>
                          <w:rPr>
                            <w:b/>
                            <w:color w:val="FF0000"/>
                            <w:sz w:val="21"/>
                          </w:rPr>
                        </w:pPr>
                        <w:r>
                          <w:rPr>
                            <w:rFonts w:hint="eastAsia"/>
                            <w:b/>
                            <w:color w:val="FF0000"/>
                            <w:sz w:val="21"/>
                          </w:rPr>
                          <w:t>北</w:t>
                        </w:r>
                      </w:p>
                    </w:txbxContent>
                  </v:textbox>
                </v:shape>
              </v:group>
            </w:pict>
          </mc:Fallback>
        </mc:AlternateContent>
      </w:r>
      <w:r>
        <w:rPr>
          <w:color w:val="auto"/>
        </w:rPr>
        <w:drawing>
          <wp:inline distT="0" distB="0" distL="114300" distR="114300">
            <wp:extent cx="5352415" cy="3528060"/>
            <wp:effectExtent l="0" t="0" r="635" b="1524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50"/>
                    <a:stretch>
                      <a:fillRect/>
                    </a:stretch>
                  </pic:blipFill>
                  <pic:spPr>
                    <a:xfrm>
                      <a:off x="0" y="0"/>
                      <a:ext cx="5352415" cy="3528060"/>
                    </a:xfrm>
                    <a:prstGeom prst="rect">
                      <a:avLst/>
                    </a:prstGeom>
                    <a:noFill/>
                    <a:ln>
                      <a:noFill/>
                    </a:ln>
                  </pic:spPr>
                </pic:pic>
              </a:graphicData>
            </a:graphic>
          </wp:inline>
        </w:drawing>
      </w:r>
    </w:p>
    <w:p>
      <w:pPr>
        <w:pStyle w:val="144"/>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before="164" w:beforeLines="50" w:line="360" w:lineRule="auto"/>
        <w:jc w:val="center"/>
        <w:textAlignment w:val="auto"/>
        <w:rPr>
          <w:rFonts w:hint="default" w:cs="Times New Roman"/>
          <w:b/>
          <w:color w:val="auto"/>
          <w:sz w:val="21"/>
          <w:szCs w:val="24"/>
          <w:lang w:val="en-US" w:eastAsia="zh-CN"/>
        </w:rPr>
      </w:pPr>
      <w:r>
        <w:rPr>
          <w:rFonts w:hint="eastAsia" w:cs="Times New Roman"/>
          <w:b/>
          <w:color w:val="auto"/>
          <w:sz w:val="21"/>
          <w:szCs w:val="24"/>
          <w:lang w:val="en-US" w:eastAsia="zh-CN"/>
        </w:rPr>
        <w:t xml:space="preserve">图5.1-1  </w:t>
      </w:r>
      <w:r>
        <w:rPr>
          <w:rFonts w:hint="default" w:cs="Times New Roman"/>
          <w:b/>
          <w:color w:val="auto"/>
          <w:sz w:val="21"/>
          <w:szCs w:val="24"/>
          <w:lang w:val="en-US" w:eastAsia="zh-CN"/>
        </w:rPr>
        <w:t>项目</w:t>
      </w:r>
      <w:r>
        <w:rPr>
          <w:rFonts w:hint="eastAsia" w:cs="Times New Roman"/>
          <w:b/>
          <w:color w:val="auto"/>
          <w:sz w:val="21"/>
          <w:szCs w:val="24"/>
          <w:lang w:val="en-US" w:eastAsia="zh-CN"/>
        </w:rPr>
        <w:t>施工</w:t>
      </w:r>
      <w:r>
        <w:rPr>
          <w:rFonts w:hint="default" w:cs="Times New Roman"/>
          <w:b/>
          <w:color w:val="auto"/>
          <w:sz w:val="21"/>
          <w:szCs w:val="24"/>
          <w:lang w:val="en-US" w:eastAsia="zh-CN"/>
        </w:rPr>
        <w:t>阶段噪声贡献值分布图</w:t>
      </w:r>
    </w:p>
    <w:p>
      <w:pPr>
        <w:rPr>
          <w:rFonts w:hint="default" w:ascii="Times New Roman" w:hAnsi="Times New Roman" w:cs="Times New Roman"/>
          <w:color w:val="auto"/>
        </w:rPr>
      </w:pPr>
      <w:r>
        <w:rPr>
          <w:rFonts w:hint="default" w:ascii="Times New Roman" w:hAnsi="Times New Roman" w:cs="Times New Roman"/>
          <w:color w:val="auto"/>
        </w:rPr>
        <w:t>项目噪声影响预测结果见下表。</w:t>
      </w:r>
    </w:p>
    <w:p>
      <w:pPr>
        <w:pStyle w:val="14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Style w:val="46"/>
          <w:rFonts w:hint="default" w:ascii="Times New Roman" w:hAnsi="Times New Roman" w:eastAsia="宋体" w:cs="Times New Roman"/>
          <w:b/>
          <w:bCs/>
          <w:i w:val="0"/>
          <w:iCs/>
          <w:color w:val="auto"/>
          <w:sz w:val="21"/>
          <w:szCs w:val="21"/>
          <w:lang w:val="en-US" w:eastAsia="zh-CN"/>
        </w:rPr>
      </w:pPr>
      <w:r>
        <w:rPr>
          <w:rStyle w:val="46"/>
          <w:rFonts w:hint="eastAsia"/>
          <w:color w:val="auto"/>
          <w:szCs w:val="21"/>
          <w:lang w:eastAsia="zh-CN"/>
        </w:rPr>
        <w:t>表</w:t>
      </w:r>
      <w:r>
        <w:rPr>
          <w:rStyle w:val="46"/>
          <w:rFonts w:hint="eastAsia"/>
          <w:color w:val="auto"/>
          <w:szCs w:val="21"/>
          <w:lang w:val="en-US" w:eastAsia="zh-CN"/>
        </w:rPr>
        <w:t xml:space="preserve">5.1-4  </w:t>
      </w:r>
      <w:r>
        <w:rPr>
          <w:rStyle w:val="46"/>
          <w:rFonts w:hint="default" w:ascii="Times New Roman" w:hAnsi="Times New Roman" w:eastAsia="宋体" w:cs="Times New Roman"/>
          <w:b/>
          <w:bCs/>
          <w:i w:val="0"/>
          <w:iCs/>
          <w:color w:val="auto"/>
          <w:sz w:val="21"/>
          <w:szCs w:val="21"/>
          <w:lang w:val="en-US" w:eastAsia="zh-CN"/>
        </w:rPr>
        <w:t>项目</w:t>
      </w:r>
      <w:r>
        <w:rPr>
          <w:rStyle w:val="46"/>
          <w:rFonts w:hint="eastAsia" w:ascii="Times New Roman" w:hAnsi="Times New Roman" w:eastAsia="宋体" w:cs="Times New Roman"/>
          <w:b/>
          <w:bCs/>
          <w:i w:val="0"/>
          <w:iCs/>
          <w:color w:val="auto"/>
          <w:sz w:val="21"/>
          <w:szCs w:val="21"/>
          <w:lang w:val="en-US" w:eastAsia="zh-CN"/>
        </w:rPr>
        <w:t>声环境保护目标噪声预测结果与表达分析表</w:t>
      </w:r>
    </w:p>
    <w:tbl>
      <w:tblPr>
        <w:tblStyle w:val="39"/>
        <w:tblW w:w="51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25"/>
        <w:gridCol w:w="1052"/>
        <w:gridCol w:w="1"/>
        <w:gridCol w:w="1051"/>
        <w:gridCol w:w="2"/>
        <w:gridCol w:w="1050"/>
        <w:gridCol w:w="3"/>
        <w:gridCol w:w="1049"/>
        <w:gridCol w:w="4"/>
        <w:gridCol w:w="1058"/>
        <w:gridCol w:w="1042"/>
        <w:gridCol w:w="6"/>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55" w:type="pct"/>
            <w:vMerge w:val="restart"/>
            <w:noWrap w:val="0"/>
            <w:vAlign w:val="center"/>
          </w:tcPr>
          <w:p>
            <w:pPr>
              <w:pStyle w:val="65"/>
              <w:keepNext w:val="0"/>
              <w:keepLines w:val="0"/>
              <w:suppressLineNumbers w:val="0"/>
              <w:spacing w:before="0" w:beforeAutospacing="0" w:after="0" w:afterAutospacing="0"/>
              <w:ind w:left="0" w:right="0"/>
              <w:rPr>
                <w:rFonts w:hint="eastAsia" w:ascii="Times New Roman" w:hAnsi="Times New Roman" w:eastAsia="宋体" w:cs="Times New Roman"/>
                <w:b/>
                <w:color w:val="auto"/>
                <w:lang w:eastAsia="zh-CN"/>
              </w:rPr>
            </w:pPr>
            <w:r>
              <w:rPr>
                <w:rFonts w:hint="eastAsia" w:cs="Times New Roman"/>
                <w:b/>
                <w:color w:val="auto"/>
                <w:lang w:eastAsia="zh-CN"/>
              </w:rPr>
              <w:t>序号</w:t>
            </w:r>
          </w:p>
        </w:tc>
        <w:tc>
          <w:tcPr>
            <w:tcW w:w="518" w:type="pct"/>
            <w:vMerge w:val="restart"/>
            <w:noWrap w:val="0"/>
            <w:vAlign w:val="center"/>
          </w:tcPr>
          <w:p>
            <w:pPr>
              <w:pStyle w:val="65"/>
              <w:keepNext w:val="0"/>
              <w:keepLines w:val="0"/>
              <w:suppressLineNumbers w:val="0"/>
              <w:spacing w:before="0" w:beforeAutospacing="0" w:after="0" w:afterAutospacing="0"/>
              <w:ind w:left="0" w:right="0"/>
              <w:rPr>
                <w:rFonts w:hint="eastAsia" w:ascii="Times New Roman" w:hAnsi="Times New Roman" w:eastAsia="宋体" w:cs="Times New Roman"/>
                <w:b/>
                <w:color w:val="auto"/>
                <w:lang w:eastAsia="zh-CN"/>
              </w:rPr>
            </w:pPr>
            <w:r>
              <w:rPr>
                <w:rFonts w:hint="eastAsia" w:cs="Times New Roman"/>
                <w:b/>
                <w:color w:val="auto"/>
                <w:lang w:eastAsia="zh-CN"/>
              </w:rPr>
              <w:t>声环境保护目标名称</w:t>
            </w:r>
          </w:p>
        </w:tc>
        <w:tc>
          <w:tcPr>
            <w:tcW w:w="590" w:type="pct"/>
            <w:gridSpan w:val="2"/>
            <w:noWrap w:val="0"/>
            <w:vAlign w:val="center"/>
          </w:tcPr>
          <w:p>
            <w:pPr>
              <w:pStyle w:val="65"/>
              <w:keepNext w:val="0"/>
              <w:keepLines w:val="0"/>
              <w:suppressLineNumbers w:val="0"/>
              <w:spacing w:before="0" w:beforeAutospacing="0" w:after="0" w:afterAutospacing="0"/>
              <w:ind w:left="0" w:right="0"/>
              <w:rPr>
                <w:rFonts w:hint="eastAsia" w:ascii="Times New Roman" w:hAnsi="Times New Roman" w:cs="Times New Roman"/>
                <w:b/>
                <w:color w:val="auto"/>
                <w:lang w:eastAsia="zh-CN"/>
              </w:rPr>
            </w:pPr>
            <w:r>
              <w:rPr>
                <w:rFonts w:hint="eastAsia" w:cs="Times New Roman"/>
                <w:b/>
                <w:color w:val="auto"/>
                <w:lang w:eastAsia="zh-CN"/>
              </w:rPr>
              <w:t>噪声背景值</w:t>
            </w:r>
            <w:r>
              <w:rPr>
                <w:rFonts w:hint="eastAsia" w:cs="Times New Roman"/>
                <w:b/>
                <w:color w:val="auto"/>
                <w:lang w:val="en-US" w:eastAsia="zh-CN"/>
              </w:rPr>
              <w:t>/</w:t>
            </w:r>
            <w:r>
              <w:rPr>
                <w:rFonts w:hint="default" w:ascii="Times New Roman" w:hAnsi="Times New Roman" w:cs="Times New Roman"/>
                <w:smallCaps w:val="0"/>
                <w:color w:val="auto"/>
                <w:kern w:val="0"/>
                <w:sz w:val="21"/>
                <w:szCs w:val="21"/>
                <w:lang w:val="en-US" w:eastAsia="zh-CN" w:bidi="ar-SA"/>
              </w:rPr>
              <w:t>dB（A）</w:t>
            </w:r>
          </w:p>
        </w:tc>
        <w:tc>
          <w:tcPr>
            <w:tcW w:w="590" w:type="pct"/>
            <w:gridSpan w:val="2"/>
            <w:noWrap w:val="0"/>
            <w:vAlign w:val="center"/>
          </w:tcPr>
          <w:p>
            <w:pPr>
              <w:pStyle w:val="65"/>
              <w:keepNext w:val="0"/>
              <w:keepLines w:val="0"/>
              <w:suppressLineNumbers w:val="0"/>
              <w:spacing w:before="0" w:beforeAutospacing="0" w:after="0" w:afterAutospacing="0"/>
              <w:ind w:left="0" w:right="0"/>
              <w:rPr>
                <w:rFonts w:hint="eastAsia" w:ascii="Times New Roman" w:hAnsi="Times New Roman" w:eastAsia="宋体" w:cs="Times New Roman"/>
                <w:b/>
                <w:color w:val="auto"/>
                <w:lang w:eastAsia="zh-CN"/>
              </w:rPr>
            </w:pPr>
            <w:r>
              <w:rPr>
                <w:rFonts w:hint="eastAsia" w:cs="Times New Roman"/>
                <w:b/>
                <w:color w:val="auto"/>
                <w:lang w:eastAsia="zh-CN"/>
              </w:rPr>
              <w:t>噪声现状值</w:t>
            </w:r>
            <w:r>
              <w:rPr>
                <w:rFonts w:hint="eastAsia" w:cs="Times New Roman"/>
                <w:b/>
                <w:color w:val="auto"/>
                <w:lang w:val="en-US" w:eastAsia="zh-CN"/>
              </w:rPr>
              <w:t>/</w:t>
            </w:r>
            <w:r>
              <w:rPr>
                <w:rFonts w:hint="default" w:ascii="Times New Roman" w:hAnsi="Times New Roman" w:cs="Times New Roman"/>
                <w:smallCaps w:val="0"/>
                <w:color w:val="auto"/>
                <w:kern w:val="0"/>
                <w:sz w:val="21"/>
                <w:szCs w:val="21"/>
                <w:lang w:val="en-US" w:eastAsia="zh-CN" w:bidi="ar-SA"/>
              </w:rPr>
              <w:t>dB（A）</w:t>
            </w:r>
          </w:p>
        </w:tc>
        <w:tc>
          <w:tcPr>
            <w:tcW w:w="590" w:type="pct"/>
            <w:gridSpan w:val="2"/>
            <w:noWrap w:val="0"/>
            <w:vAlign w:val="center"/>
          </w:tcPr>
          <w:p>
            <w:pPr>
              <w:pStyle w:val="65"/>
              <w:keepNext w:val="0"/>
              <w:keepLines w:val="0"/>
              <w:suppressLineNumbers w:val="0"/>
              <w:spacing w:before="0" w:beforeAutospacing="0" w:after="0" w:afterAutospacing="0"/>
              <w:ind w:left="0" w:right="0"/>
              <w:rPr>
                <w:rFonts w:hint="eastAsia" w:ascii="Times New Roman" w:hAnsi="Times New Roman" w:eastAsia="宋体" w:cs="Times New Roman"/>
                <w:b/>
                <w:color w:val="auto"/>
                <w:lang w:eastAsia="zh-CN"/>
              </w:rPr>
            </w:pPr>
            <w:r>
              <w:rPr>
                <w:rFonts w:hint="eastAsia" w:cs="Times New Roman"/>
                <w:b/>
                <w:color w:val="auto"/>
                <w:lang w:eastAsia="zh-CN"/>
              </w:rPr>
              <w:t>噪声标准</w:t>
            </w:r>
            <w:r>
              <w:rPr>
                <w:rFonts w:hint="eastAsia" w:cs="Times New Roman"/>
                <w:b/>
                <w:color w:val="auto"/>
                <w:lang w:val="en-US" w:eastAsia="zh-CN"/>
              </w:rPr>
              <w:t>/</w:t>
            </w:r>
            <w:r>
              <w:rPr>
                <w:rFonts w:hint="default" w:ascii="Times New Roman" w:hAnsi="Times New Roman" w:cs="Times New Roman"/>
                <w:smallCaps w:val="0"/>
                <w:color w:val="auto"/>
                <w:kern w:val="0"/>
                <w:sz w:val="21"/>
                <w:szCs w:val="21"/>
                <w:lang w:val="en-US" w:eastAsia="zh-CN" w:bidi="ar-SA"/>
              </w:rPr>
              <w:t>dB（A）</w:t>
            </w:r>
          </w:p>
        </w:tc>
        <w:tc>
          <w:tcPr>
            <w:tcW w:w="590" w:type="pct"/>
            <w:gridSpan w:val="2"/>
            <w:noWrap w:val="0"/>
            <w:vAlign w:val="center"/>
          </w:tcPr>
          <w:p>
            <w:pPr>
              <w:pStyle w:val="65"/>
              <w:keepNext w:val="0"/>
              <w:keepLines w:val="0"/>
              <w:suppressLineNumbers w:val="0"/>
              <w:spacing w:before="0" w:beforeAutospacing="0" w:after="0" w:afterAutospacing="0"/>
              <w:ind w:left="0" w:right="0"/>
              <w:rPr>
                <w:rFonts w:hint="eastAsia" w:cs="Times New Roman"/>
                <w:b/>
                <w:color w:val="auto"/>
                <w:lang w:eastAsia="zh-CN"/>
              </w:rPr>
            </w:pPr>
            <w:r>
              <w:rPr>
                <w:rFonts w:hint="eastAsia" w:cs="Times New Roman"/>
                <w:b/>
                <w:color w:val="auto"/>
                <w:lang w:eastAsia="zh-CN"/>
              </w:rPr>
              <w:t>噪声贡献值</w:t>
            </w:r>
            <w:r>
              <w:rPr>
                <w:rFonts w:hint="eastAsia" w:cs="Times New Roman"/>
                <w:b/>
                <w:color w:val="auto"/>
                <w:lang w:val="en-US" w:eastAsia="zh-CN"/>
              </w:rPr>
              <w:t>/</w:t>
            </w:r>
            <w:r>
              <w:rPr>
                <w:rFonts w:hint="default" w:ascii="Times New Roman" w:hAnsi="Times New Roman" w:cs="Times New Roman"/>
                <w:smallCaps w:val="0"/>
                <w:color w:val="auto"/>
                <w:kern w:val="0"/>
                <w:sz w:val="21"/>
                <w:szCs w:val="21"/>
                <w:lang w:val="en-US" w:eastAsia="zh-CN" w:bidi="ar-SA"/>
              </w:rPr>
              <w:t>dB（A）</w:t>
            </w:r>
          </w:p>
        </w:tc>
        <w:tc>
          <w:tcPr>
            <w:tcW w:w="593" w:type="pct"/>
            <w:noWrap w:val="0"/>
            <w:vAlign w:val="center"/>
          </w:tcPr>
          <w:p>
            <w:pPr>
              <w:pStyle w:val="65"/>
              <w:keepNext w:val="0"/>
              <w:keepLines w:val="0"/>
              <w:suppressLineNumbers w:val="0"/>
              <w:spacing w:before="0" w:beforeAutospacing="0" w:after="0" w:afterAutospacing="0"/>
              <w:ind w:left="0" w:right="0"/>
              <w:rPr>
                <w:rFonts w:hint="eastAsia" w:cs="Times New Roman"/>
                <w:b/>
                <w:color w:val="auto"/>
                <w:lang w:eastAsia="zh-CN"/>
              </w:rPr>
            </w:pPr>
            <w:r>
              <w:rPr>
                <w:rFonts w:hint="eastAsia" w:cs="Times New Roman"/>
                <w:b/>
                <w:color w:val="auto"/>
                <w:lang w:eastAsia="zh-CN"/>
              </w:rPr>
              <w:t>噪声预测值</w:t>
            </w:r>
            <w:r>
              <w:rPr>
                <w:rFonts w:hint="eastAsia" w:cs="Times New Roman"/>
                <w:b/>
                <w:color w:val="auto"/>
                <w:lang w:val="en-US" w:eastAsia="zh-CN"/>
              </w:rPr>
              <w:t>/</w:t>
            </w:r>
            <w:r>
              <w:rPr>
                <w:rFonts w:hint="default" w:ascii="Times New Roman" w:hAnsi="Times New Roman" w:cs="Times New Roman"/>
                <w:smallCaps w:val="0"/>
                <w:color w:val="auto"/>
                <w:kern w:val="0"/>
                <w:sz w:val="21"/>
                <w:szCs w:val="21"/>
                <w:lang w:val="en-US" w:eastAsia="zh-CN" w:bidi="ar-SA"/>
              </w:rPr>
              <w:t>dB（A）</w:t>
            </w:r>
          </w:p>
        </w:tc>
        <w:tc>
          <w:tcPr>
            <w:tcW w:w="587" w:type="pct"/>
            <w:gridSpan w:val="2"/>
            <w:noWrap w:val="0"/>
            <w:vAlign w:val="center"/>
          </w:tcPr>
          <w:p>
            <w:pPr>
              <w:pStyle w:val="65"/>
              <w:keepNext w:val="0"/>
              <w:keepLines w:val="0"/>
              <w:suppressLineNumbers w:val="0"/>
              <w:spacing w:before="0" w:beforeAutospacing="0" w:after="0" w:afterAutospacing="0"/>
              <w:ind w:left="0" w:right="0"/>
              <w:rPr>
                <w:rFonts w:hint="eastAsia" w:ascii="Times New Roman" w:hAnsi="Times New Roman" w:eastAsia="宋体" w:cs="Times New Roman"/>
                <w:b/>
                <w:color w:val="auto"/>
                <w:lang w:eastAsia="zh-CN"/>
              </w:rPr>
            </w:pPr>
            <w:r>
              <w:rPr>
                <w:rFonts w:hint="eastAsia" w:ascii="Times New Roman" w:hAnsi="Times New Roman" w:eastAsia="宋体" w:cs="Times New Roman"/>
                <w:b/>
                <w:color w:val="auto"/>
                <w:lang w:eastAsia="zh-CN"/>
              </w:rPr>
              <w:t>较现状增量</w:t>
            </w:r>
            <w:r>
              <w:rPr>
                <w:rFonts w:hint="eastAsia" w:cs="Times New Roman"/>
                <w:b/>
                <w:color w:val="auto"/>
                <w:lang w:val="en-US" w:eastAsia="zh-CN"/>
              </w:rPr>
              <w:t>/</w:t>
            </w:r>
            <w:r>
              <w:rPr>
                <w:rFonts w:hint="default" w:ascii="Times New Roman" w:hAnsi="Times New Roman" w:cs="Times New Roman"/>
                <w:smallCaps w:val="0"/>
                <w:color w:val="auto"/>
                <w:kern w:val="0"/>
                <w:sz w:val="21"/>
                <w:szCs w:val="21"/>
                <w:lang w:val="en-US" w:eastAsia="zh-CN" w:bidi="ar-SA"/>
              </w:rPr>
              <w:t>dB（A）</w:t>
            </w:r>
          </w:p>
        </w:tc>
        <w:tc>
          <w:tcPr>
            <w:tcW w:w="683" w:type="pct"/>
            <w:noWrap w:val="0"/>
            <w:vAlign w:val="center"/>
          </w:tcPr>
          <w:p>
            <w:pPr>
              <w:pStyle w:val="65"/>
              <w:keepNext w:val="0"/>
              <w:keepLines w:val="0"/>
              <w:suppressLineNumbers w:val="0"/>
              <w:spacing w:before="0" w:beforeAutospacing="0" w:after="0" w:afterAutospacing="0"/>
              <w:ind w:left="0" w:right="0"/>
              <w:rPr>
                <w:rFonts w:hint="eastAsia" w:ascii="Times New Roman" w:hAnsi="Times New Roman" w:eastAsia="宋体" w:cs="Times New Roman"/>
                <w:b/>
                <w:color w:val="auto"/>
                <w:lang w:eastAsia="zh-CN"/>
              </w:rPr>
            </w:pPr>
            <w:r>
              <w:rPr>
                <w:rFonts w:hint="eastAsia" w:ascii="Times New Roman" w:hAnsi="Times New Roman" w:eastAsia="宋体" w:cs="Times New Roman"/>
                <w:b/>
                <w:color w:val="auto"/>
                <w:lang w:eastAsia="zh-CN"/>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55" w:type="pct"/>
            <w:vMerge w:val="continue"/>
            <w:noWrap w:val="0"/>
            <w:vAlign w:val="center"/>
          </w:tcPr>
          <w:p>
            <w:pPr>
              <w:pStyle w:val="65"/>
              <w:keepNext w:val="0"/>
              <w:keepLines w:val="0"/>
              <w:suppressLineNumbers w:val="0"/>
              <w:spacing w:before="0" w:beforeAutospacing="0" w:after="0" w:afterAutospacing="0"/>
              <w:ind w:left="0" w:right="0"/>
              <w:rPr>
                <w:rFonts w:hint="default"/>
                <w:color w:val="auto"/>
              </w:rPr>
            </w:pPr>
          </w:p>
        </w:tc>
        <w:tc>
          <w:tcPr>
            <w:tcW w:w="518" w:type="pct"/>
            <w:vMerge w:val="continue"/>
            <w:noWrap w:val="0"/>
            <w:vAlign w:val="center"/>
          </w:tcPr>
          <w:p>
            <w:pPr>
              <w:pStyle w:val="65"/>
              <w:keepNext w:val="0"/>
              <w:keepLines w:val="0"/>
              <w:suppressLineNumbers w:val="0"/>
              <w:spacing w:before="0" w:beforeAutospacing="0" w:after="0" w:afterAutospacing="0"/>
              <w:ind w:left="0" w:right="0"/>
              <w:rPr>
                <w:rFonts w:hint="default"/>
                <w:color w:val="auto"/>
              </w:rPr>
            </w:pPr>
          </w:p>
        </w:tc>
        <w:tc>
          <w:tcPr>
            <w:tcW w:w="589" w:type="pct"/>
            <w:noWrap w:val="0"/>
            <w:vAlign w:val="center"/>
          </w:tcPr>
          <w:p>
            <w:pPr>
              <w:pStyle w:val="65"/>
              <w:keepNext w:val="0"/>
              <w:keepLines w:val="0"/>
              <w:suppressLineNumbers w:val="0"/>
              <w:spacing w:before="0" w:beforeAutospacing="0" w:after="0" w:afterAutospacing="0"/>
              <w:ind w:left="0" w:right="0"/>
              <w:rPr>
                <w:rFonts w:hint="eastAsia" w:cs="Times New Roman"/>
                <w:b/>
                <w:color w:val="auto"/>
                <w:lang w:eastAsia="zh-CN"/>
              </w:rPr>
            </w:pPr>
            <w:r>
              <w:rPr>
                <w:rFonts w:hint="eastAsia" w:cs="Times New Roman"/>
                <w:b/>
                <w:color w:val="auto"/>
                <w:lang w:eastAsia="zh-CN"/>
              </w:rPr>
              <w:t>昼间</w:t>
            </w:r>
          </w:p>
        </w:tc>
        <w:tc>
          <w:tcPr>
            <w:tcW w:w="589" w:type="pct"/>
            <w:gridSpan w:val="2"/>
            <w:noWrap w:val="0"/>
            <w:vAlign w:val="center"/>
          </w:tcPr>
          <w:p>
            <w:pPr>
              <w:pStyle w:val="65"/>
              <w:keepNext w:val="0"/>
              <w:keepLines w:val="0"/>
              <w:suppressLineNumbers w:val="0"/>
              <w:spacing w:before="0" w:beforeAutospacing="0" w:after="0" w:afterAutospacing="0"/>
              <w:ind w:left="0" w:right="0" w:firstLine="0" w:firstLineChars="0"/>
              <w:rPr>
                <w:rFonts w:hint="eastAsia" w:cs="Times New Roman"/>
                <w:b/>
                <w:color w:val="auto"/>
                <w:lang w:eastAsia="zh-CN"/>
              </w:rPr>
            </w:pPr>
            <w:r>
              <w:rPr>
                <w:rFonts w:hint="eastAsia" w:cs="Times New Roman"/>
                <w:b/>
                <w:color w:val="auto"/>
                <w:lang w:eastAsia="zh-CN"/>
              </w:rPr>
              <w:t>昼间</w:t>
            </w:r>
          </w:p>
        </w:tc>
        <w:tc>
          <w:tcPr>
            <w:tcW w:w="589" w:type="pct"/>
            <w:gridSpan w:val="2"/>
            <w:noWrap w:val="0"/>
            <w:vAlign w:val="center"/>
          </w:tcPr>
          <w:p>
            <w:pPr>
              <w:pStyle w:val="65"/>
              <w:keepNext w:val="0"/>
              <w:keepLines w:val="0"/>
              <w:suppressLineNumbers w:val="0"/>
              <w:spacing w:before="0" w:beforeAutospacing="0" w:after="0" w:afterAutospacing="0"/>
              <w:ind w:left="0" w:right="0" w:firstLine="0" w:firstLineChars="0"/>
              <w:rPr>
                <w:rFonts w:hint="eastAsia" w:cs="Times New Roman"/>
                <w:b/>
                <w:color w:val="auto"/>
                <w:lang w:eastAsia="zh-CN"/>
              </w:rPr>
            </w:pPr>
            <w:r>
              <w:rPr>
                <w:rFonts w:hint="eastAsia" w:cs="Times New Roman"/>
                <w:b/>
                <w:color w:val="auto"/>
                <w:lang w:eastAsia="zh-CN"/>
              </w:rPr>
              <w:t>昼间</w:t>
            </w:r>
          </w:p>
          <w:p>
            <w:pPr>
              <w:pStyle w:val="65"/>
              <w:keepNext w:val="0"/>
              <w:keepLines w:val="0"/>
              <w:suppressLineNumbers w:val="0"/>
              <w:spacing w:before="0" w:beforeAutospacing="0" w:after="0" w:afterAutospacing="0"/>
              <w:ind w:left="0" w:right="0" w:firstLine="0" w:firstLineChars="0"/>
              <w:rPr>
                <w:rFonts w:hint="eastAsia" w:cs="Times New Roman"/>
                <w:b/>
                <w:color w:val="auto"/>
                <w:lang w:eastAsia="zh-CN"/>
              </w:rPr>
            </w:pPr>
            <w:r>
              <w:rPr>
                <w:rFonts w:hint="eastAsia" w:cs="Times New Roman"/>
                <w:b/>
                <w:color w:val="auto"/>
                <w:lang w:eastAsia="zh-CN"/>
              </w:rPr>
              <w:t>夜间</w:t>
            </w:r>
          </w:p>
        </w:tc>
        <w:tc>
          <w:tcPr>
            <w:tcW w:w="589" w:type="pct"/>
            <w:gridSpan w:val="2"/>
            <w:noWrap w:val="0"/>
            <w:vAlign w:val="center"/>
          </w:tcPr>
          <w:p>
            <w:pPr>
              <w:pStyle w:val="65"/>
              <w:keepNext w:val="0"/>
              <w:keepLines w:val="0"/>
              <w:suppressLineNumbers w:val="0"/>
              <w:spacing w:before="0" w:beforeAutospacing="0" w:after="0" w:afterAutospacing="0"/>
              <w:ind w:left="0" w:right="0" w:firstLine="0" w:firstLineChars="0"/>
              <w:rPr>
                <w:rFonts w:hint="eastAsia" w:cs="Times New Roman"/>
                <w:b/>
                <w:color w:val="auto"/>
                <w:lang w:eastAsia="zh-CN"/>
              </w:rPr>
            </w:pPr>
            <w:r>
              <w:rPr>
                <w:rFonts w:hint="eastAsia" w:cs="Times New Roman"/>
                <w:b/>
                <w:color w:val="auto"/>
                <w:lang w:eastAsia="zh-CN"/>
              </w:rPr>
              <w:t>昼间</w:t>
            </w:r>
          </w:p>
        </w:tc>
        <w:tc>
          <w:tcPr>
            <w:tcW w:w="595" w:type="pct"/>
            <w:gridSpan w:val="2"/>
            <w:noWrap w:val="0"/>
            <w:vAlign w:val="center"/>
          </w:tcPr>
          <w:p>
            <w:pPr>
              <w:pStyle w:val="65"/>
              <w:keepNext w:val="0"/>
              <w:keepLines w:val="0"/>
              <w:suppressLineNumbers w:val="0"/>
              <w:spacing w:before="0" w:beforeAutospacing="0" w:after="0" w:afterAutospacing="0"/>
              <w:ind w:left="0" w:right="0" w:firstLine="0" w:firstLineChars="0"/>
              <w:rPr>
                <w:rFonts w:hint="eastAsia" w:cs="Times New Roman"/>
                <w:b/>
                <w:color w:val="auto"/>
                <w:lang w:eastAsia="zh-CN"/>
              </w:rPr>
            </w:pPr>
            <w:r>
              <w:rPr>
                <w:rFonts w:hint="eastAsia" w:cs="Times New Roman"/>
                <w:b/>
                <w:color w:val="auto"/>
                <w:lang w:eastAsia="zh-CN"/>
              </w:rPr>
              <w:t>昼间</w:t>
            </w:r>
          </w:p>
        </w:tc>
        <w:tc>
          <w:tcPr>
            <w:tcW w:w="584" w:type="pct"/>
            <w:noWrap w:val="0"/>
            <w:vAlign w:val="center"/>
          </w:tcPr>
          <w:p>
            <w:pPr>
              <w:pStyle w:val="65"/>
              <w:keepNext w:val="0"/>
              <w:keepLines w:val="0"/>
              <w:suppressLineNumbers w:val="0"/>
              <w:spacing w:before="0" w:beforeAutospacing="0" w:after="0" w:afterAutospacing="0"/>
              <w:ind w:left="0" w:right="0" w:firstLine="0" w:firstLineChars="0"/>
              <w:rPr>
                <w:rFonts w:hint="eastAsia" w:cs="Times New Roman"/>
                <w:b/>
                <w:color w:val="auto"/>
                <w:lang w:eastAsia="zh-CN"/>
              </w:rPr>
            </w:pPr>
            <w:r>
              <w:rPr>
                <w:rFonts w:hint="eastAsia" w:cs="Times New Roman"/>
                <w:b/>
                <w:color w:val="auto"/>
                <w:lang w:eastAsia="zh-CN"/>
              </w:rPr>
              <w:t>昼间</w:t>
            </w:r>
          </w:p>
        </w:tc>
        <w:tc>
          <w:tcPr>
            <w:tcW w:w="687" w:type="pct"/>
            <w:gridSpan w:val="2"/>
            <w:noWrap w:val="0"/>
            <w:vAlign w:val="center"/>
          </w:tcPr>
          <w:p>
            <w:pPr>
              <w:pStyle w:val="65"/>
              <w:keepNext w:val="0"/>
              <w:keepLines w:val="0"/>
              <w:suppressLineNumbers w:val="0"/>
              <w:spacing w:before="0" w:beforeAutospacing="0" w:after="0" w:afterAutospacing="0"/>
              <w:ind w:left="0" w:right="0" w:firstLine="0" w:firstLineChars="0"/>
              <w:rPr>
                <w:rFonts w:hint="eastAsia" w:cs="Times New Roman"/>
                <w:b/>
                <w:color w:val="auto"/>
                <w:lang w:eastAsia="zh-CN"/>
              </w:rPr>
            </w:pPr>
            <w:r>
              <w:rPr>
                <w:rFonts w:hint="eastAsia" w:cs="Times New Roman"/>
                <w:b/>
                <w:color w:val="auto"/>
                <w:lang w:eastAsia="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55"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1</w:t>
            </w:r>
          </w:p>
        </w:tc>
        <w:tc>
          <w:tcPr>
            <w:tcW w:w="518"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南场界</w:t>
            </w:r>
          </w:p>
        </w:tc>
        <w:tc>
          <w:tcPr>
            <w:tcW w:w="589"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w:t>
            </w:r>
          </w:p>
        </w:tc>
        <w:tc>
          <w:tcPr>
            <w:tcW w:w="589" w:type="pct"/>
            <w:gridSpan w:val="2"/>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w:t>
            </w:r>
          </w:p>
        </w:tc>
        <w:tc>
          <w:tcPr>
            <w:tcW w:w="589" w:type="pct"/>
            <w:gridSpan w:val="2"/>
            <w:vMerge w:val="restar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70</w:t>
            </w:r>
          </w:p>
        </w:tc>
        <w:tc>
          <w:tcPr>
            <w:tcW w:w="58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61.88</w:t>
            </w:r>
          </w:p>
        </w:tc>
        <w:tc>
          <w:tcPr>
            <w:tcW w:w="595"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w:t>
            </w:r>
          </w:p>
        </w:tc>
        <w:tc>
          <w:tcPr>
            <w:tcW w:w="584"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mallCaps w:val="0"/>
                <w:color w:val="auto"/>
                <w:kern w:val="0"/>
                <w:sz w:val="21"/>
                <w:szCs w:val="21"/>
                <w:lang w:val="en-US" w:eastAsia="zh-CN" w:bidi="ar-SA"/>
              </w:rPr>
            </w:pPr>
            <w:r>
              <w:rPr>
                <w:rFonts w:hint="default" w:ascii="Times New Roman" w:hAnsi="Times New Roman" w:eastAsia="宋体" w:cs="Times New Roman"/>
                <w:smallCaps w:val="0"/>
                <w:color w:val="auto"/>
                <w:kern w:val="0"/>
                <w:sz w:val="21"/>
                <w:szCs w:val="21"/>
                <w:lang w:val="en-US" w:eastAsia="zh-CN" w:bidi="ar-SA"/>
              </w:rPr>
              <w:t>/</w:t>
            </w:r>
          </w:p>
        </w:tc>
        <w:tc>
          <w:tcPr>
            <w:tcW w:w="687" w:type="pct"/>
            <w:gridSpan w:val="2"/>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55"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2</w:t>
            </w:r>
          </w:p>
        </w:tc>
        <w:tc>
          <w:tcPr>
            <w:tcW w:w="518"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西场界</w:t>
            </w:r>
          </w:p>
        </w:tc>
        <w:tc>
          <w:tcPr>
            <w:tcW w:w="589"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w:t>
            </w:r>
          </w:p>
        </w:tc>
        <w:tc>
          <w:tcPr>
            <w:tcW w:w="589" w:type="pct"/>
            <w:gridSpan w:val="2"/>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w:t>
            </w:r>
          </w:p>
        </w:tc>
        <w:tc>
          <w:tcPr>
            <w:tcW w:w="589" w:type="pct"/>
            <w:gridSpan w:val="2"/>
            <w:vMerge w:val="continue"/>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p>
        </w:tc>
        <w:tc>
          <w:tcPr>
            <w:tcW w:w="58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37.92</w:t>
            </w:r>
          </w:p>
        </w:tc>
        <w:tc>
          <w:tcPr>
            <w:tcW w:w="595"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w:t>
            </w:r>
          </w:p>
        </w:tc>
        <w:tc>
          <w:tcPr>
            <w:tcW w:w="584"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mallCaps w:val="0"/>
                <w:color w:val="auto"/>
                <w:kern w:val="0"/>
                <w:sz w:val="21"/>
                <w:szCs w:val="21"/>
                <w:lang w:val="en-US" w:eastAsia="zh-CN" w:bidi="ar-SA"/>
              </w:rPr>
            </w:pPr>
            <w:r>
              <w:rPr>
                <w:rFonts w:hint="default" w:ascii="Times New Roman" w:hAnsi="Times New Roman" w:eastAsia="宋体" w:cs="Times New Roman"/>
                <w:smallCaps w:val="0"/>
                <w:color w:val="auto"/>
                <w:kern w:val="0"/>
                <w:sz w:val="21"/>
                <w:szCs w:val="21"/>
                <w:lang w:val="en-US" w:eastAsia="zh-CN" w:bidi="ar-SA"/>
              </w:rPr>
              <w:t>/</w:t>
            </w:r>
          </w:p>
        </w:tc>
        <w:tc>
          <w:tcPr>
            <w:tcW w:w="687" w:type="pct"/>
            <w:gridSpan w:val="2"/>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55"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3</w:t>
            </w:r>
          </w:p>
        </w:tc>
        <w:tc>
          <w:tcPr>
            <w:tcW w:w="518"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东场界</w:t>
            </w:r>
          </w:p>
        </w:tc>
        <w:tc>
          <w:tcPr>
            <w:tcW w:w="589"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w:t>
            </w:r>
          </w:p>
        </w:tc>
        <w:tc>
          <w:tcPr>
            <w:tcW w:w="589" w:type="pct"/>
            <w:gridSpan w:val="2"/>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w:t>
            </w:r>
          </w:p>
        </w:tc>
        <w:tc>
          <w:tcPr>
            <w:tcW w:w="589" w:type="pct"/>
            <w:gridSpan w:val="2"/>
            <w:vMerge w:val="continue"/>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p>
        </w:tc>
        <w:tc>
          <w:tcPr>
            <w:tcW w:w="58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35.12</w:t>
            </w:r>
          </w:p>
        </w:tc>
        <w:tc>
          <w:tcPr>
            <w:tcW w:w="595"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w:t>
            </w:r>
          </w:p>
        </w:tc>
        <w:tc>
          <w:tcPr>
            <w:tcW w:w="584"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mallCaps w:val="0"/>
                <w:color w:val="auto"/>
                <w:kern w:val="0"/>
                <w:sz w:val="21"/>
                <w:szCs w:val="21"/>
                <w:lang w:val="en-US" w:eastAsia="zh-CN" w:bidi="ar-SA"/>
              </w:rPr>
            </w:pPr>
            <w:r>
              <w:rPr>
                <w:rFonts w:hint="default" w:ascii="Times New Roman" w:hAnsi="Times New Roman" w:eastAsia="宋体" w:cs="Times New Roman"/>
                <w:smallCaps w:val="0"/>
                <w:color w:val="auto"/>
                <w:kern w:val="0"/>
                <w:sz w:val="21"/>
                <w:szCs w:val="21"/>
                <w:lang w:val="en-US" w:eastAsia="zh-CN" w:bidi="ar-SA"/>
              </w:rPr>
              <w:t>/</w:t>
            </w:r>
          </w:p>
        </w:tc>
        <w:tc>
          <w:tcPr>
            <w:tcW w:w="687" w:type="pct"/>
            <w:gridSpan w:val="2"/>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55"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4</w:t>
            </w:r>
          </w:p>
        </w:tc>
        <w:tc>
          <w:tcPr>
            <w:tcW w:w="518"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北场界</w:t>
            </w:r>
          </w:p>
        </w:tc>
        <w:tc>
          <w:tcPr>
            <w:tcW w:w="589"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w:t>
            </w:r>
          </w:p>
        </w:tc>
        <w:tc>
          <w:tcPr>
            <w:tcW w:w="589" w:type="pct"/>
            <w:gridSpan w:val="2"/>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w:t>
            </w:r>
          </w:p>
        </w:tc>
        <w:tc>
          <w:tcPr>
            <w:tcW w:w="589" w:type="pct"/>
            <w:gridSpan w:val="2"/>
            <w:vMerge w:val="continue"/>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p>
        </w:tc>
        <w:tc>
          <w:tcPr>
            <w:tcW w:w="58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56.97</w:t>
            </w:r>
          </w:p>
        </w:tc>
        <w:tc>
          <w:tcPr>
            <w:tcW w:w="595"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w:t>
            </w:r>
          </w:p>
        </w:tc>
        <w:tc>
          <w:tcPr>
            <w:tcW w:w="584"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mallCaps w:val="0"/>
                <w:color w:val="auto"/>
                <w:kern w:val="0"/>
                <w:sz w:val="21"/>
                <w:szCs w:val="21"/>
                <w:lang w:val="en-US" w:eastAsia="zh-CN" w:bidi="ar-SA"/>
              </w:rPr>
            </w:pPr>
            <w:r>
              <w:rPr>
                <w:rFonts w:hint="default" w:ascii="Times New Roman" w:hAnsi="Times New Roman" w:eastAsia="宋体" w:cs="Times New Roman"/>
                <w:smallCaps w:val="0"/>
                <w:color w:val="auto"/>
                <w:kern w:val="0"/>
                <w:sz w:val="21"/>
                <w:szCs w:val="21"/>
                <w:lang w:val="en-US" w:eastAsia="zh-CN" w:bidi="ar-SA"/>
              </w:rPr>
              <w:t>/</w:t>
            </w:r>
          </w:p>
        </w:tc>
        <w:tc>
          <w:tcPr>
            <w:tcW w:w="687" w:type="pct"/>
            <w:gridSpan w:val="2"/>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55" w:type="pc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cs="Times New Roman"/>
                <w:smallCaps w:val="0"/>
                <w:color w:val="auto"/>
                <w:kern w:val="0"/>
                <w:sz w:val="21"/>
                <w:szCs w:val="21"/>
                <w:lang w:val="en-US" w:eastAsia="zh-CN" w:bidi="ar-SA"/>
              </w:rPr>
            </w:pPr>
            <w:r>
              <w:rPr>
                <w:rFonts w:hint="eastAsia" w:cs="Times New Roman"/>
                <w:smallCaps w:val="0"/>
                <w:color w:val="auto"/>
                <w:kern w:val="0"/>
                <w:sz w:val="21"/>
                <w:szCs w:val="21"/>
                <w:lang w:val="en-US" w:eastAsia="zh-CN" w:bidi="ar-SA"/>
              </w:rPr>
              <w:t>5</w:t>
            </w:r>
          </w:p>
        </w:tc>
        <w:tc>
          <w:tcPr>
            <w:tcW w:w="518"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cs="Times New Roman"/>
                <w:smallCaps w:val="0"/>
                <w:color w:val="auto"/>
                <w:kern w:val="0"/>
                <w:sz w:val="21"/>
                <w:szCs w:val="21"/>
                <w:lang w:val="en-US" w:eastAsia="zh-CN" w:bidi="ar-SA"/>
              </w:rPr>
            </w:pPr>
            <w:r>
              <w:rPr>
                <w:rFonts w:hint="eastAsia" w:cs="Times New Roman"/>
                <w:smallCaps w:val="0"/>
                <w:color w:val="auto"/>
                <w:kern w:val="0"/>
                <w:sz w:val="21"/>
                <w:szCs w:val="21"/>
                <w:lang w:val="en-US" w:eastAsia="zh-CN" w:bidi="ar-SA"/>
              </w:rPr>
              <w:t>三块石村</w:t>
            </w:r>
            <w:r>
              <w:rPr>
                <w:rFonts w:hint="eastAsia" w:ascii="Times New Roman" w:hAnsi="Times New Roman" w:cs="Times New Roman"/>
                <w:smallCaps w:val="0"/>
                <w:color w:val="auto"/>
                <w:kern w:val="0"/>
                <w:sz w:val="21"/>
                <w:szCs w:val="21"/>
                <w:lang w:val="en-US" w:eastAsia="zh-CN" w:bidi="ar-SA"/>
              </w:rPr>
              <w:t>最近居民1</w:t>
            </w:r>
          </w:p>
        </w:tc>
        <w:tc>
          <w:tcPr>
            <w:tcW w:w="589"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cs="Times New Roman"/>
                <w:smallCaps w:val="0"/>
                <w:color w:val="auto"/>
                <w:kern w:val="0"/>
                <w:sz w:val="21"/>
                <w:szCs w:val="21"/>
                <w:highlight w:val="yellow"/>
                <w:lang w:val="en-US" w:eastAsia="zh-CN" w:bidi="ar-SA"/>
              </w:rPr>
            </w:pPr>
            <w:r>
              <w:rPr>
                <w:rFonts w:hint="eastAsia" w:ascii="Times New Roman" w:hAnsi="Times New Roman" w:eastAsia="宋体" w:cs="Times New Roman"/>
                <w:smallCaps w:val="0"/>
                <w:color w:val="auto"/>
                <w:kern w:val="0"/>
                <w:sz w:val="21"/>
                <w:szCs w:val="21"/>
                <w:lang w:val="en-US" w:eastAsia="zh-CN" w:bidi="ar-SA"/>
              </w:rPr>
              <w:t>49.8</w:t>
            </w:r>
          </w:p>
        </w:tc>
        <w:tc>
          <w:tcPr>
            <w:tcW w:w="589" w:type="pct"/>
            <w:gridSpan w:val="2"/>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49.8</w:t>
            </w:r>
          </w:p>
        </w:tc>
        <w:tc>
          <w:tcPr>
            <w:tcW w:w="589" w:type="pct"/>
            <w:gridSpan w:val="2"/>
            <w:vMerge w:val="restart"/>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60</w:t>
            </w:r>
          </w:p>
        </w:tc>
        <w:tc>
          <w:tcPr>
            <w:tcW w:w="58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kern w:val="0"/>
                <w:sz w:val="21"/>
                <w:szCs w:val="21"/>
                <w:lang w:val="en-US" w:eastAsia="zh-CN" w:bidi="ar-SA"/>
              </w:rPr>
            </w:pPr>
            <w:r>
              <w:rPr>
                <w:rFonts w:hint="eastAsia" w:cs="Times New Roman"/>
                <w:color w:val="auto"/>
                <w:kern w:val="0"/>
                <w:sz w:val="21"/>
                <w:szCs w:val="21"/>
                <w:lang w:val="en-US" w:eastAsia="zh-CN" w:bidi="ar"/>
              </w:rPr>
              <w:t>/</w:t>
            </w:r>
          </w:p>
        </w:tc>
        <w:tc>
          <w:tcPr>
            <w:tcW w:w="595"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51.70</w:t>
            </w:r>
          </w:p>
        </w:tc>
        <w:tc>
          <w:tcPr>
            <w:tcW w:w="584"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1.9</w:t>
            </w:r>
          </w:p>
        </w:tc>
        <w:tc>
          <w:tcPr>
            <w:tcW w:w="687" w:type="pct"/>
            <w:gridSpan w:val="2"/>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55" w:type="pct"/>
            <w:noWrap w:val="0"/>
            <w:vAlign w:val="center"/>
          </w:tcPr>
          <w:p>
            <w:pPr>
              <w:pStyle w:val="65"/>
              <w:keepNext w:val="0"/>
              <w:keepLines w:val="0"/>
              <w:suppressLineNumbers w:val="0"/>
              <w:spacing w:before="0" w:beforeAutospacing="0" w:after="0" w:afterAutospacing="0"/>
              <w:ind w:left="0" w:right="0"/>
              <w:rPr>
                <w:rFonts w:hint="default" w:cs="Times New Roman"/>
                <w:smallCaps w:val="0"/>
                <w:color w:val="auto"/>
                <w:kern w:val="0"/>
                <w:sz w:val="21"/>
                <w:szCs w:val="21"/>
                <w:lang w:val="en-US" w:eastAsia="zh-CN" w:bidi="ar-SA"/>
              </w:rPr>
            </w:pPr>
            <w:r>
              <w:rPr>
                <w:rFonts w:hint="eastAsia" w:cs="Times New Roman"/>
                <w:smallCaps w:val="0"/>
                <w:color w:val="auto"/>
                <w:kern w:val="0"/>
                <w:sz w:val="21"/>
                <w:szCs w:val="21"/>
                <w:lang w:val="en-US" w:eastAsia="zh-CN" w:bidi="ar-SA"/>
              </w:rPr>
              <w:t>6</w:t>
            </w:r>
          </w:p>
        </w:tc>
        <w:tc>
          <w:tcPr>
            <w:tcW w:w="518" w:type="pct"/>
            <w:noWrap w:val="0"/>
            <w:vAlign w:val="center"/>
          </w:tcPr>
          <w:p>
            <w:pPr>
              <w:pStyle w:val="65"/>
              <w:keepNext w:val="0"/>
              <w:keepLines w:val="0"/>
              <w:suppressLineNumbers w:val="0"/>
              <w:spacing w:before="0" w:beforeAutospacing="0" w:after="0" w:afterAutospacing="0"/>
              <w:ind w:left="0" w:right="0" w:firstLine="0" w:firstLineChars="0"/>
              <w:rPr>
                <w:rFonts w:hint="default" w:cs="Times New Roman"/>
                <w:smallCaps w:val="0"/>
                <w:color w:val="auto"/>
                <w:kern w:val="0"/>
                <w:sz w:val="21"/>
                <w:szCs w:val="21"/>
                <w:lang w:val="en-US" w:eastAsia="zh-CN" w:bidi="ar-SA"/>
              </w:rPr>
            </w:pPr>
            <w:r>
              <w:rPr>
                <w:rFonts w:hint="eastAsia" w:cs="Times New Roman"/>
                <w:smallCaps w:val="0"/>
                <w:color w:val="auto"/>
                <w:kern w:val="0"/>
                <w:sz w:val="21"/>
                <w:szCs w:val="21"/>
                <w:lang w:val="en-US" w:eastAsia="zh-CN" w:bidi="ar-SA"/>
              </w:rPr>
              <w:t>杨树底下</w:t>
            </w:r>
            <w:r>
              <w:rPr>
                <w:rFonts w:hint="eastAsia" w:ascii="Times New Roman" w:hAnsi="Times New Roman" w:cs="Times New Roman"/>
                <w:smallCaps w:val="0"/>
                <w:color w:val="auto"/>
                <w:kern w:val="0"/>
                <w:sz w:val="21"/>
                <w:szCs w:val="21"/>
                <w:lang w:val="en-US" w:eastAsia="zh-CN" w:bidi="ar-SA"/>
              </w:rPr>
              <w:t>最近居民2</w:t>
            </w:r>
          </w:p>
        </w:tc>
        <w:tc>
          <w:tcPr>
            <w:tcW w:w="589"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50.2</w:t>
            </w:r>
          </w:p>
        </w:tc>
        <w:tc>
          <w:tcPr>
            <w:tcW w:w="589" w:type="pct"/>
            <w:gridSpan w:val="2"/>
            <w:noWrap w:val="0"/>
            <w:vAlign w:val="center"/>
          </w:tcPr>
          <w:p>
            <w:pPr>
              <w:pStyle w:val="65"/>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50.2</w:t>
            </w:r>
          </w:p>
        </w:tc>
        <w:tc>
          <w:tcPr>
            <w:tcW w:w="589" w:type="pct"/>
            <w:gridSpan w:val="2"/>
            <w:vMerge w:val="continue"/>
            <w:noWrap w:val="0"/>
            <w:vAlign w:val="center"/>
          </w:tcPr>
          <w:p>
            <w:pPr>
              <w:pStyle w:val="65"/>
              <w:keepNext w:val="0"/>
              <w:keepLines w:val="0"/>
              <w:suppressLineNumbers w:val="0"/>
              <w:spacing w:before="0" w:beforeAutospacing="0" w:after="0" w:afterAutospacing="0"/>
              <w:ind w:left="0" w:right="0"/>
              <w:rPr>
                <w:rFonts w:hint="default" w:ascii="Times New Roman" w:hAnsi="Times New Roman" w:eastAsia="宋体" w:cs="Times New Roman"/>
                <w:smallCaps w:val="0"/>
                <w:color w:val="auto"/>
                <w:kern w:val="0"/>
                <w:sz w:val="21"/>
                <w:szCs w:val="21"/>
                <w:lang w:val="en-US" w:eastAsia="zh-CN" w:bidi="ar-SA"/>
              </w:rPr>
            </w:pPr>
          </w:p>
        </w:tc>
        <w:tc>
          <w:tcPr>
            <w:tcW w:w="589"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kern w:val="0"/>
                <w:sz w:val="21"/>
                <w:szCs w:val="21"/>
                <w:lang w:val="en-US" w:eastAsia="zh-CN" w:bidi="ar-SA"/>
              </w:rPr>
            </w:pPr>
            <w:r>
              <w:rPr>
                <w:rFonts w:hint="eastAsia" w:cs="Times New Roman"/>
                <w:color w:val="auto"/>
                <w:kern w:val="0"/>
                <w:sz w:val="21"/>
                <w:szCs w:val="21"/>
                <w:lang w:val="en-US" w:eastAsia="zh-CN" w:bidi="ar"/>
              </w:rPr>
              <w:t>/</w:t>
            </w:r>
          </w:p>
        </w:tc>
        <w:tc>
          <w:tcPr>
            <w:tcW w:w="595" w:type="pct"/>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50.24</w:t>
            </w:r>
          </w:p>
        </w:tc>
        <w:tc>
          <w:tcPr>
            <w:tcW w:w="584" w:type="pct"/>
            <w:noWrap w:val="0"/>
            <w:vAlign w:val="center"/>
          </w:tcPr>
          <w:p>
            <w:pPr>
              <w:pStyle w:val="6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0.04</w:t>
            </w:r>
          </w:p>
        </w:tc>
        <w:tc>
          <w:tcPr>
            <w:tcW w:w="687" w:type="pct"/>
            <w:gridSpan w:val="2"/>
            <w:noWrap w:val="0"/>
            <w:vAlign w:val="center"/>
          </w:tcPr>
          <w:p>
            <w:pPr>
              <w:pStyle w:val="65"/>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smallCaps w:val="0"/>
                <w:color w:val="auto"/>
                <w:kern w:val="0"/>
                <w:sz w:val="21"/>
                <w:szCs w:val="21"/>
                <w:lang w:val="en-US" w:eastAsia="zh-CN" w:bidi="ar-SA"/>
              </w:rPr>
            </w:pPr>
            <w:r>
              <w:rPr>
                <w:rFonts w:hint="eastAsia" w:ascii="Times New Roman" w:hAnsi="Times New Roman" w:eastAsia="宋体" w:cs="Times New Roman"/>
                <w:smallCaps w:val="0"/>
                <w:color w:val="auto"/>
                <w:kern w:val="0"/>
                <w:sz w:val="21"/>
                <w:szCs w:val="21"/>
                <w:lang w:val="en-US" w:eastAsia="zh-CN" w:bidi="ar-SA"/>
              </w:rPr>
              <w:t>达标</w:t>
            </w:r>
          </w:p>
        </w:tc>
      </w:tr>
    </w:tbl>
    <w:p>
      <w:pPr>
        <w:pStyle w:val="137"/>
        <w:keepNext w:val="0"/>
        <w:keepLines w:val="0"/>
        <w:pageBreakBefore w:val="0"/>
        <w:widowControl/>
        <w:kinsoku/>
        <w:wordWrap/>
        <w:overflowPunct/>
        <w:topLinePunct w:val="0"/>
        <w:autoSpaceDE/>
        <w:autoSpaceDN/>
        <w:bidi w:val="0"/>
        <w:adjustRightInd w:val="0"/>
        <w:snapToGrid w:val="0"/>
        <w:spacing w:before="157" w:beforeLines="50"/>
        <w:textAlignment w:val="auto"/>
        <w:outlineLvl w:val="3"/>
        <w:rPr>
          <w:rFonts w:hint="default" w:ascii="Times New Roman" w:hAnsi="Times New Roman" w:cs="Times New Roman"/>
          <w:color w:val="auto"/>
        </w:rPr>
      </w:pPr>
      <w:r>
        <w:rPr>
          <w:rFonts w:hint="eastAsia"/>
          <w:b/>
          <w:bCs w:val="0"/>
          <w:color w:val="auto"/>
          <w:lang w:val="en-US" w:eastAsia="zh-CN"/>
        </w:rPr>
        <w:t>5.1.3.6</w:t>
      </w:r>
      <w:r>
        <w:rPr>
          <w:rFonts w:hint="default" w:ascii="Times New Roman" w:hAnsi="Times New Roman" w:cs="Times New Roman"/>
          <w:color w:val="auto"/>
        </w:rPr>
        <w:t>预测结果分析</w:t>
      </w:r>
    </w:p>
    <w:p>
      <w:pPr>
        <w:rPr>
          <w:rFonts w:hint="eastAsia" w:cs="Times New Roman"/>
          <w:color w:val="auto"/>
          <w:lang w:eastAsia="zh-CN"/>
        </w:rPr>
      </w:pPr>
      <w:r>
        <w:rPr>
          <w:rFonts w:hint="default" w:ascii="Times New Roman" w:hAnsi="Times New Roman" w:cs="Times New Roman"/>
          <w:color w:val="auto"/>
        </w:rPr>
        <w:t>由上述预测结果可知</w:t>
      </w:r>
      <w:r>
        <w:rPr>
          <w:rFonts w:hint="eastAsia" w:cs="Times New Roman"/>
          <w:color w:val="auto"/>
          <w:lang w:eastAsia="zh-CN"/>
        </w:rPr>
        <w:t>：</w:t>
      </w:r>
    </w:p>
    <w:p>
      <w:pPr>
        <w:rPr>
          <w:rFonts w:hint="default" w:cs="Times New Roman"/>
          <w:color w:val="auto"/>
          <w:lang w:val="en-US" w:eastAsia="zh-CN"/>
        </w:rPr>
      </w:pPr>
      <w:r>
        <w:rPr>
          <w:rFonts w:hint="eastAsia" w:cs="Times New Roman"/>
          <w:color w:val="auto"/>
          <w:lang w:val="en-US" w:eastAsia="zh-CN"/>
        </w:rPr>
        <w:t>1、项目场界200m范围内存有居民13户，项目施工期噪声对距场界最近的居民的叠加值为</w:t>
      </w:r>
      <w:r>
        <w:rPr>
          <w:rFonts w:hint="eastAsia" w:cs="Times New Roman"/>
          <w:color w:val="auto"/>
          <w:sz w:val="24"/>
          <w:szCs w:val="24"/>
          <w:lang w:val="en-US" w:eastAsia="zh-CN"/>
        </w:rPr>
        <w:t>昼间：51.70</w:t>
      </w:r>
      <w:r>
        <w:rPr>
          <w:rFonts w:hint="default" w:ascii="Times New Roman" w:hAnsi="Times New Roman" w:cs="Times New Roman"/>
          <w:color w:val="auto"/>
          <w:sz w:val="24"/>
          <w:szCs w:val="24"/>
          <w:lang w:val="en-US" w:eastAsia="zh-CN"/>
        </w:rPr>
        <w:t>dB（A）</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50.24</w:t>
      </w:r>
      <w:r>
        <w:rPr>
          <w:rFonts w:hint="default" w:ascii="Times New Roman" w:hAnsi="Times New Roman" w:cs="Times New Roman"/>
          <w:color w:val="auto"/>
          <w:sz w:val="24"/>
          <w:szCs w:val="24"/>
          <w:lang w:val="en-US" w:eastAsia="zh-CN"/>
        </w:rPr>
        <w:t>dB（A）</w:t>
      </w:r>
      <w:r>
        <w:rPr>
          <w:rFonts w:hint="eastAsia" w:ascii="Times New Roman" w:hAnsi="Times New Roman" w:cs="Times New Roman"/>
          <w:color w:val="auto"/>
          <w:sz w:val="24"/>
          <w:szCs w:val="24"/>
          <w:lang w:val="en-US" w:eastAsia="zh-CN"/>
        </w:rPr>
        <w:t>，均满足《声环境质量标准》（GB3096-2008）中的二类区标准</w:t>
      </w:r>
      <w:r>
        <w:rPr>
          <w:rFonts w:hint="eastAsia" w:cs="Times New Roman"/>
          <w:color w:val="auto"/>
          <w:sz w:val="24"/>
          <w:szCs w:val="24"/>
          <w:lang w:val="en-US" w:eastAsia="zh-CN"/>
        </w:rPr>
        <w:t>。</w:t>
      </w:r>
    </w:p>
    <w:p>
      <w:pPr>
        <w:rPr>
          <w:rFonts w:hint="eastAsia"/>
          <w:color w:val="auto"/>
        </w:rPr>
      </w:pPr>
      <w:r>
        <w:rPr>
          <w:rFonts w:hint="eastAsia" w:cs="Times New Roman"/>
          <w:color w:val="auto"/>
          <w:lang w:val="en-US" w:eastAsia="zh-CN"/>
        </w:rPr>
        <w:t>2、项目施工场界</w:t>
      </w:r>
      <w:r>
        <w:rPr>
          <w:color w:val="auto"/>
        </w:rPr>
        <w:t>的噪声昼间贡献值为</w:t>
      </w:r>
      <w:r>
        <w:rPr>
          <w:rFonts w:hint="eastAsia"/>
          <w:color w:val="auto"/>
          <w:lang w:val="en-US" w:eastAsia="zh-CN"/>
        </w:rPr>
        <w:t>35.12</w:t>
      </w:r>
      <w:r>
        <w:rPr>
          <w:color w:val="auto"/>
        </w:rPr>
        <w:t>dB（A）~</w:t>
      </w:r>
      <w:r>
        <w:rPr>
          <w:rFonts w:hint="eastAsia"/>
          <w:color w:val="auto"/>
          <w:lang w:val="en-US" w:eastAsia="zh-CN"/>
        </w:rPr>
        <w:t>61.88</w:t>
      </w:r>
      <w:r>
        <w:rPr>
          <w:color w:val="auto"/>
        </w:rPr>
        <w:t>dB（A）</w:t>
      </w:r>
      <w:r>
        <w:rPr>
          <w:rFonts w:hint="eastAsia"/>
          <w:color w:val="auto"/>
        </w:rPr>
        <w:t>，</w:t>
      </w:r>
      <w:r>
        <w:rPr>
          <w:color w:val="auto"/>
        </w:rPr>
        <w:t>满足</w:t>
      </w:r>
      <w:r>
        <w:rPr>
          <w:rFonts w:hint="eastAsia"/>
          <w:color w:val="auto"/>
        </w:rPr>
        <w:t>《建筑施工场界环境噪声排放标准》（GB12523-2011）表1中噪声限值，各</w:t>
      </w:r>
      <w:r>
        <w:rPr>
          <w:rFonts w:hint="eastAsia"/>
          <w:color w:val="auto"/>
          <w:lang w:eastAsia="zh-CN"/>
        </w:rPr>
        <w:t>场界</w:t>
      </w:r>
      <w:r>
        <w:rPr>
          <w:rFonts w:hint="eastAsia"/>
          <w:color w:val="auto"/>
        </w:rPr>
        <w:t>噪声均为达标排放。</w:t>
      </w:r>
    </w:p>
    <w:p>
      <w:pPr>
        <w:rPr>
          <w:rFonts w:hint="default" w:ascii="Times New Roman" w:hAnsi="Times New Roman" w:cs="Times New Roman"/>
          <w:color w:val="auto"/>
        </w:rPr>
      </w:pPr>
      <w:r>
        <w:rPr>
          <w:rFonts w:hint="default" w:ascii="Times New Roman" w:hAnsi="Times New Roman" w:cs="Times New Roman"/>
          <w:color w:val="auto"/>
        </w:rPr>
        <w:t>综上所述，项目的运行产生的声环境影响可接受。</w:t>
      </w:r>
    </w:p>
    <w:p>
      <w:pPr>
        <w:ind w:left="0" w:leftChars="0" w:firstLine="0" w:firstLineChars="0"/>
        <w:rPr>
          <w:rFonts w:hint="default" w:ascii="Times New Roman" w:hAnsi="Times New Roman" w:eastAsia="宋体" w:cs="Times New Roman"/>
          <w:color w:val="auto"/>
          <w:lang w:val="en-US" w:eastAsia="zh-CN"/>
        </w:rPr>
      </w:pPr>
      <w:r>
        <w:rPr>
          <w:rFonts w:hint="eastAsia"/>
          <w:b/>
          <w:bCs w:val="0"/>
          <w:color w:val="auto"/>
          <w:lang w:val="en-US" w:eastAsia="zh-CN"/>
        </w:rPr>
        <w:t>5.1.3.7</w:t>
      </w:r>
      <w:r>
        <w:rPr>
          <w:rFonts w:hint="eastAsia" w:ascii="Times New Roman" w:hAnsi="Times New Roman" w:eastAsia="宋体" w:cs="Times New Roman"/>
          <w:b/>
          <w:bCs/>
          <w:color w:val="auto"/>
          <w:lang w:val="en-US" w:eastAsia="zh-CN"/>
        </w:rPr>
        <w:t>噪声防治对策</w:t>
      </w:r>
    </w:p>
    <w:p>
      <w:pPr>
        <w:ind w:firstLine="540"/>
        <w:rPr>
          <w:color w:val="auto"/>
          <w:kern w:val="2"/>
        </w:rPr>
      </w:pPr>
      <w:r>
        <w:rPr>
          <w:color w:val="auto"/>
          <w:kern w:val="2"/>
        </w:rPr>
        <w:t>为进一步降低施工场界噪声值，</w:t>
      </w:r>
      <w:r>
        <w:rPr>
          <w:rFonts w:hint="eastAsia"/>
          <w:color w:val="auto"/>
          <w:kern w:val="2"/>
        </w:rPr>
        <w:t>施工单位</w:t>
      </w:r>
      <w:r>
        <w:rPr>
          <w:color w:val="auto"/>
          <w:kern w:val="2"/>
        </w:rPr>
        <w:t>采取以下措施：</w:t>
      </w:r>
    </w:p>
    <w:p>
      <w:pPr>
        <w:ind w:firstLine="540"/>
        <w:rPr>
          <w:snapToGrid w:val="0"/>
          <w:color w:val="auto"/>
        </w:rPr>
      </w:pPr>
      <w:r>
        <w:rPr>
          <w:snapToGrid w:val="0"/>
          <w:color w:val="auto"/>
        </w:rPr>
        <w:t>①施工单位应选用低噪声设备和先进的工艺，保持设备处于良好的运转状态，使用液压打桩机。对于开挖和运输土石方的机械设备（如挖土机、推土机等），可以通过安装消声器和隔离发动机震动的方法来降低噪声，其他产噪设备可以采取部分封闭或者完全封闭的方法，尽量减少震动地面的振幅，闲置设备及时关闭。对于动力机械设备进行经常检修，以减少由于部件松动等原因引起的噪声。</w:t>
      </w:r>
    </w:p>
    <w:p>
      <w:pPr>
        <w:ind w:firstLine="540"/>
        <w:rPr>
          <w:snapToGrid w:val="0"/>
          <w:color w:val="auto"/>
        </w:rPr>
      </w:pPr>
      <w:r>
        <w:rPr>
          <w:snapToGrid w:val="0"/>
          <w:color w:val="auto"/>
        </w:rPr>
        <w:t>②禁止夜间（22：00-次日6：00）施工。</w:t>
      </w:r>
    </w:p>
    <w:p>
      <w:pPr>
        <w:ind w:firstLine="540"/>
        <w:rPr>
          <w:snapToGrid w:val="0"/>
          <w:color w:val="auto"/>
        </w:rPr>
      </w:pPr>
      <w:r>
        <w:rPr>
          <w:snapToGrid w:val="0"/>
          <w:color w:val="auto"/>
        </w:rPr>
        <w:t>③对本项目的施工进行合理布局，尽量使高噪声的机械设备设置在场区环境敏感点远距离一侧，并进行一定的隔离和防护消声处理，可以在靠近敏感点方向建立临时性隔声屏障，隔声屏障可以设在面向环境敏感点的施工场地边界上，如果产生噪声的动力机械设备相对固定，要求机械设备尽量入室操，或在机械设备附近设隔声屏障。</w:t>
      </w:r>
    </w:p>
    <w:p>
      <w:pPr>
        <w:ind w:firstLine="540"/>
        <w:rPr>
          <w:snapToGrid w:val="0"/>
          <w:color w:val="auto"/>
        </w:rPr>
      </w:pPr>
      <w:r>
        <w:rPr>
          <w:snapToGrid w:val="0"/>
          <w:color w:val="auto"/>
        </w:rPr>
        <w:t>④合理安排施工进度，避免在同一时间集中使用大量的动力机械设备。</w:t>
      </w:r>
    </w:p>
    <w:p>
      <w:pPr>
        <w:ind w:firstLine="540"/>
        <w:rPr>
          <w:snapToGrid w:val="0"/>
          <w:color w:val="auto"/>
        </w:rPr>
      </w:pPr>
      <w:r>
        <w:rPr>
          <w:snapToGrid w:val="0"/>
          <w:color w:val="auto"/>
        </w:rPr>
        <w:t>⑤对于运输材料、土石方等物料的车辆，施工单位应保持运输车辆技术性能良好、部件紧固、无刹车尖叫声等，运输时尽量避开敏感时段，加强管理，运输车辆应减速、禁鸣以降低对周围声环境的影响。</w:t>
      </w:r>
    </w:p>
    <w:p>
      <w:pPr>
        <w:ind w:firstLine="540"/>
        <w:rPr>
          <w:snapToGrid w:val="0"/>
          <w:color w:val="auto"/>
        </w:rPr>
      </w:pPr>
      <w:r>
        <w:rPr>
          <w:snapToGrid w:val="0"/>
          <w:color w:val="auto"/>
        </w:rPr>
        <w:t>⑥加强施工期环境监理，施工单位设专人负责施工机械的保养和维护，保养和维护要有切实可行的规章制度，要定期对现场工作人员进行培训，每个工人都要严格按照规范使用各类机械，避免因故障产生突发噪声。</w:t>
      </w:r>
    </w:p>
    <w:p>
      <w:pPr>
        <w:ind w:firstLine="540"/>
        <w:rPr>
          <w:snapToGrid w:val="0"/>
          <w:color w:val="auto"/>
        </w:rPr>
      </w:pPr>
      <w:r>
        <w:rPr>
          <w:snapToGrid w:val="0"/>
          <w:color w:val="auto"/>
        </w:rPr>
        <w:t>⑦针对与施工场地距离较近的居民点，优先采用调整施工时段、避开居民休息时段进行施工，同时，优化噪声设备工作位置，尽可能远离居民区。</w:t>
      </w:r>
    </w:p>
    <w:p>
      <w:pPr>
        <w:ind w:firstLine="540"/>
        <w:rPr>
          <w:color w:val="auto"/>
          <w:kern w:val="2"/>
        </w:rPr>
      </w:pPr>
      <w:r>
        <w:rPr>
          <w:color w:val="auto"/>
          <w:kern w:val="2"/>
        </w:rPr>
        <w:t>通过采取以上措施后，施工场界噪声排放可满足《建筑施工场界环境噪声排放标准》（GB12523-2011）的要求，施工噪声对区域环境质量影响轻微。</w:t>
      </w:r>
    </w:p>
    <w:p>
      <w:pPr>
        <w:pStyle w:val="6"/>
        <w:rPr>
          <w:color w:val="auto"/>
        </w:rPr>
      </w:pPr>
      <w:bookmarkStart w:id="519" w:name="_Toc326754980"/>
      <w:bookmarkStart w:id="520" w:name="_Toc12375"/>
      <w:bookmarkStart w:id="521" w:name="_Toc324770229"/>
      <w:bookmarkStart w:id="522" w:name="_Toc11959"/>
      <w:bookmarkStart w:id="523" w:name="_Toc332632575"/>
      <w:bookmarkStart w:id="524" w:name="_Toc470785881"/>
      <w:bookmarkStart w:id="525" w:name="_Toc324769767"/>
      <w:r>
        <w:rPr>
          <w:color w:val="auto"/>
        </w:rPr>
        <w:t>5.1.4 建设阶段固体废物环境影响分析</w:t>
      </w:r>
      <w:bookmarkEnd w:id="513"/>
      <w:bookmarkEnd w:id="514"/>
      <w:bookmarkEnd w:id="515"/>
      <w:bookmarkEnd w:id="516"/>
      <w:bookmarkEnd w:id="517"/>
      <w:bookmarkEnd w:id="519"/>
      <w:bookmarkEnd w:id="520"/>
      <w:bookmarkEnd w:id="521"/>
      <w:bookmarkEnd w:id="522"/>
      <w:bookmarkEnd w:id="523"/>
      <w:bookmarkEnd w:id="524"/>
      <w:bookmarkEnd w:id="525"/>
    </w:p>
    <w:p>
      <w:pPr>
        <w:ind w:firstLine="480"/>
        <w:rPr>
          <w:rFonts w:hint="eastAsia"/>
          <w:color w:val="auto"/>
        </w:rPr>
      </w:pPr>
      <w:r>
        <w:rPr>
          <w:rFonts w:hint="eastAsia"/>
          <w:color w:val="auto"/>
        </w:rPr>
        <w:t>项目建设阶段产生的固体废物包括河道及两侧清理的垃圾和渣土、河道内生态护岸及</w:t>
      </w:r>
      <w:r>
        <w:rPr>
          <w:rFonts w:hint="eastAsia"/>
          <w:color w:val="auto"/>
          <w:lang w:eastAsia="zh-CN"/>
        </w:rPr>
        <w:t>生态步道</w:t>
      </w:r>
      <w:r>
        <w:rPr>
          <w:rFonts w:hint="eastAsia"/>
          <w:color w:val="auto"/>
        </w:rPr>
        <w:t>开挖的土石方、施工废水沉淀池底泥、生活垃圾。</w:t>
      </w:r>
    </w:p>
    <w:p>
      <w:pPr>
        <w:ind w:firstLine="480"/>
        <w:rPr>
          <w:rFonts w:hint="eastAsia"/>
          <w:color w:val="auto"/>
        </w:rPr>
      </w:pPr>
      <w:r>
        <w:rPr>
          <w:rFonts w:hint="eastAsia"/>
          <w:color w:val="auto"/>
        </w:rPr>
        <w:t>①生活垃圾</w:t>
      </w:r>
    </w:p>
    <w:p>
      <w:pPr>
        <w:ind w:firstLine="480"/>
        <w:rPr>
          <w:rFonts w:hint="eastAsia"/>
          <w:color w:val="auto"/>
          <w:highlight w:val="none"/>
        </w:rPr>
      </w:pPr>
      <w:r>
        <w:rPr>
          <w:rFonts w:hint="eastAsia"/>
          <w:color w:val="auto"/>
        </w:rPr>
        <w:t>项目施工期生活垃圾生活垃圾分类收集，随同河道清理的生活垃圾一同运至</w:t>
      </w:r>
      <w:r>
        <w:rPr>
          <w:rFonts w:hint="eastAsia"/>
          <w:color w:val="auto"/>
          <w:highlight w:val="none"/>
        </w:rPr>
        <w:t>生活垃圾填埋场填埋处置。</w:t>
      </w:r>
    </w:p>
    <w:p>
      <w:pPr>
        <w:ind w:firstLine="480"/>
        <w:rPr>
          <w:rFonts w:hint="eastAsia" w:eastAsia="宋体"/>
          <w:color w:val="auto"/>
          <w:highlight w:val="none"/>
          <w:lang w:eastAsia="zh-CN"/>
        </w:rPr>
      </w:pPr>
      <w:r>
        <w:rPr>
          <w:rFonts w:hint="eastAsia"/>
          <w:color w:val="auto"/>
          <w:highlight w:val="none"/>
        </w:rPr>
        <w:t>②</w:t>
      </w:r>
      <w:r>
        <w:rPr>
          <w:rFonts w:hint="eastAsia"/>
          <w:color w:val="auto"/>
          <w:highlight w:val="none"/>
          <w:lang w:eastAsia="zh-CN"/>
        </w:rPr>
        <w:t>工程土石方</w:t>
      </w:r>
    </w:p>
    <w:p>
      <w:pPr>
        <w:ind w:firstLine="480"/>
        <w:rPr>
          <w:rFonts w:hint="eastAsia"/>
          <w:color w:val="auto"/>
          <w:highlight w:val="none"/>
        </w:rPr>
      </w:pPr>
      <w:r>
        <w:rPr>
          <w:rFonts w:hint="eastAsia"/>
          <w:color w:val="auto"/>
          <w:highlight w:val="none"/>
        </w:rPr>
        <w:t>河道清理产生的河道淤泥用于河滩地低洼地区回填，河流冲积物用于附近村镇乡路垫道</w:t>
      </w:r>
      <w:r>
        <w:rPr>
          <w:rFonts w:hint="eastAsia"/>
          <w:color w:val="auto"/>
          <w:highlight w:val="none"/>
          <w:lang w:eastAsia="zh-CN"/>
        </w:rPr>
        <w:t>，岸坡垃圾集中收集</w:t>
      </w:r>
      <w:r>
        <w:rPr>
          <w:rFonts w:hint="eastAsia"/>
          <w:color w:val="auto"/>
        </w:rPr>
        <w:t>运至</w:t>
      </w:r>
      <w:r>
        <w:rPr>
          <w:rFonts w:hint="eastAsia"/>
          <w:color w:val="auto"/>
          <w:highlight w:val="none"/>
        </w:rPr>
        <w:t>生活垃圾填埋场填埋处置；生态护岸工程不产生弃方；生态步道工程不产生弃方，项目不产生弃土，因此不设弃土场。</w:t>
      </w:r>
    </w:p>
    <w:p>
      <w:pPr>
        <w:ind w:firstLine="480"/>
        <w:rPr>
          <w:rFonts w:hint="eastAsia"/>
          <w:color w:val="auto"/>
          <w:highlight w:val="none"/>
        </w:rPr>
      </w:pPr>
      <w:r>
        <w:rPr>
          <w:rFonts w:hint="eastAsia"/>
          <w:color w:val="auto"/>
          <w:highlight w:val="none"/>
        </w:rPr>
        <w:t>③临时沉淀池底泥</w:t>
      </w:r>
    </w:p>
    <w:p>
      <w:pPr>
        <w:ind w:firstLine="540"/>
        <w:rPr>
          <w:rFonts w:hint="eastAsia" w:eastAsia="宋体"/>
          <w:color w:val="auto"/>
          <w:szCs w:val="24"/>
          <w:lang w:eastAsia="zh-CN"/>
        </w:rPr>
      </w:pPr>
      <w:r>
        <w:rPr>
          <w:rFonts w:hint="eastAsia"/>
          <w:color w:val="auto"/>
        </w:rPr>
        <w:t>项目于河道管理线外设置临时沉淀池，底泥</w:t>
      </w:r>
      <w:r>
        <w:rPr>
          <w:rFonts w:hint="eastAsia"/>
          <w:color w:val="auto"/>
          <w:szCs w:val="24"/>
        </w:rPr>
        <w:t>定期清运至</w:t>
      </w:r>
      <w:r>
        <w:rPr>
          <w:rFonts w:hint="eastAsia"/>
          <w:color w:val="auto"/>
          <w:szCs w:val="24"/>
          <w:lang w:eastAsia="zh-CN"/>
        </w:rPr>
        <w:t>土方回填区。</w:t>
      </w:r>
    </w:p>
    <w:p>
      <w:pPr>
        <w:ind w:firstLine="480"/>
        <w:rPr>
          <w:color w:val="auto"/>
        </w:rPr>
      </w:pPr>
      <w:r>
        <w:rPr>
          <w:rFonts w:hint="eastAsia"/>
          <w:color w:val="auto"/>
        </w:rPr>
        <w:t>综上，施工期固体废物均可综合利用或妥善处置。根据现场调查情况，施工场地及周边无土石方、建筑垃圾、生活垃圾等固体废物堆存，施工期固体废物未对区域环境质量造成不利影响。</w:t>
      </w:r>
    </w:p>
    <w:p>
      <w:pPr>
        <w:pStyle w:val="6"/>
        <w:bidi w:val="0"/>
        <w:rPr>
          <w:color w:val="auto"/>
          <w:highlight w:val="none"/>
        </w:rPr>
      </w:pPr>
      <w:bookmarkStart w:id="526" w:name="_Toc2331"/>
      <w:bookmarkStart w:id="527" w:name="_Toc11772"/>
      <w:bookmarkStart w:id="528" w:name="_Toc470785882"/>
      <w:bookmarkStart w:id="529" w:name="_Toc426554655"/>
      <w:r>
        <w:rPr>
          <w:color w:val="auto"/>
          <w:highlight w:val="none"/>
        </w:rPr>
        <w:t>5.1.5 建设阶段生态环境影响评价</w:t>
      </w:r>
      <w:bookmarkEnd w:id="526"/>
      <w:bookmarkEnd w:id="527"/>
      <w:bookmarkEnd w:id="528"/>
      <w:bookmarkEnd w:id="529"/>
    </w:p>
    <w:p>
      <w:pPr>
        <w:pStyle w:val="7"/>
        <w:bidi w:val="0"/>
        <w:rPr>
          <w:color w:val="auto"/>
          <w:highlight w:val="none"/>
        </w:rPr>
      </w:pPr>
      <w:bookmarkStart w:id="530" w:name="_Toc14244715"/>
      <w:r>
        <w:rPr>
          <w:color w:val="auto"/>
          <w:highlight w:val="none"/>
        </w:rPr>
        <w:t>5.1.</w:t>
      </w:r>
      <w:r>
        <w:rPr>
          <w:rFonts w:hint="eastAsia"/>
          <w:color w:val="auto"/>
          <w:highlight w:val="none"/>
          <w:lang w:val="en-US" w:eastAsia="zh-CN"/>
        </w:rPr>
        <w:t>5</w:t>
      </w:r>
      <w:r>
        <w:rPr>
          <w:color w:val="auto"/>
          <w:highlight w:val="none"/>
        </w:rPr>
        <w:t>.1主要工程占地类型</w:t>
      </w:r>
      <w:bookmarkEnd w:id="530"/>
    </w:p>
    <w:p>
      <w:pPr>
        <w:bidi w:val="0"/>
        <w:rPr>
          <w:color w:val="auto"/>
        </w:rPr>
      </w:pPr>
      <w:r>
        <w:rPr>
          <w:color w:val="auto"/>
        </w:rPr>
        <w:t>本项目</w:t>
      </w:r>
      <w:r>
        <w:rPr>
          <w:rFonts w:hint="eastAsia"/>
          <w:color w:val="auto"/>
          <w:lang w:eastAsia="zh-CN"/>
        </w:rPr>
        <w:t>河道疏浚工程、</w:t>
      </w:r>
      <w:r>
        <w:rPr>
          <w:rFonts w:hint="eastAsia"/>
          <w:color w:val="auto"/>
        </w:rPr>
        <w:t>河岸岸堤建设、河岸缓冲带生态建设</w:t>
      </w:r>
      <w:r>
        <w:rPr>
          <w:color w:val="auto"/>
        </w:rPr>
        <w:t>工程</w:t>
      </w:r>
      <w:r>
        <w:rPr>
          <w:rFonts w:hint="eastAsia"/>
          <w:color w:val="auto"/>
          <w:lang w:eastAsia="zh-CN"/>
        </w:rPr>
        <w:t>建设</w:t>
      </w:r>
      <w:r>
        <w:rPr>
          <w:rFonts w:hint="eastAsia"/>
          <w:color w:val="auto"/>
        </w:rPr>
        <w:t>区域</w:t>
      </w:r>
      <w:r>
        <w:rPr>
          <w:color w:val="auto"/>
        </w:rPr>
        <w:t>在河道管理线内进行，不涉及新增永久占地。因此本项目主要为临时占地。</w:t>
      </w:r>
    </w:p>
    <w:p>
      <w:pPr>
        <w:bidi w:val="0"/>
        <w:rPr>
          <w:color w:val="auto"/>
        </w:rPr>
      </w:pPr>
      <w:r>
        <w:rPr>
          <w:color w:val="auto"/>
        </w:rPr>
        <w:t>本工程临时占地主要为：施工作业区、施工便道等，临时占地类型均为</w:t>
      </w:r>
      <w:r>
        <w:rPr>
          <w:rFonts w:hint="eastAsia"/>
          <w:color w:val="auto"/>
          <w:lang w:eastAsia="zh-CN"/>
        </w:rPr>
        <w:t>河</w:t>
      </w:r>
      <w:r>
        <w:rPr>
          <w:color w:val="auto"/>
        </w:rPr>
        <w:t>滩地。</w:t>
      </w:r>
    </w:p>
    <w:p>
      <w:pPr>
        <w:pStyle w:val="7"/>
        <w:bidi w:val="0"/>
        <w:rPr>
          <w:color w:val="auto"/>
        </w:rPr>
      </w:pPr>
      <w:r>
        <w:rPr>
          <w:color w:val="auto"/>
        </w:rPr>
        <w:t>5.1.</w:t>
      </w:r>
      <w:r>
        <w:rPr>
          <w:rFonts w:hint="eastAsia"/>
          <w:color w:val="auto"/>
          <w:lang w:val="en-US" w:eastAsia="zh-CN"/>
        </w:rPr>
        <w:t>5</w:t>
      </w:r>
      <w:r>
        <w:rPr>
          <w:color w:val="auto"/>
        </w:rPr>
        <w:t>.2临时占地影响分析</w:t>
      </w:r>
    </w:p>
    <w:p>
      <w:pPr>
        <w:bidi w:val="0"/>
        <w:rPr>
          <w:color w:val="auto"/>
        </w:rPr>
      </w:pPr>
      <w:r>
        <w:rPr>
          <w:color w:val="auto"/>
        </w:rPr>
        <w:t>（1）施工临时占地</w:t>
      </w:r>
    </w:p>
    <w:p>
      <w:pPr>
        <w:bidi w:val="0"/>
        <w:rPr>
          <w:color w:val="auto"/>
        </w:rPr>
      </w:pPr>
      <w:r>
        <w:rPr>
          <w:color w:val="auto"/>
        </w:rPr>
        <w:t>施工期间工程占地会改变原有土地使用功能，由于作业区内地表层的清理、开挖、碾压、践踏等，导致原地表覆盖层的消失，裸露土地面积增加，开挖造成的土体扰动使土壤的结构、组成及理化特性等发生变化，进而影响土壤的原有使用用途及植被的生长发育等，对原有土地利用形式产生一定影响。</w:t>
      </w:r>
    </w:p>
    <w:p>
      <w:pPr>
        <w:bidi w:val="0"/>
        <w:rPr>
          <w:color w:val="auto"/>
        </w:rPr>
      </w:pPr>
      <w:r>
        <w:rPr>
          <w:color w:val="auto"/>
        </w:rPr>
        <w:t>（2）施工便道占地</w:t>
      </w:r>
    </w:p>
    <w:p>
      <w:pPr>
        <w:bidi w:val="0"/>
        <w:rPr>
          <w:color w:val="auto"/>
        </w:rPr>
      </w:pPr>
      <w:r>
        <w:rPr>
          <w:color w:val="auto"/>
        </w:rPr>
        <w:t>施工期利用现有公路和乡间土路，施工便道属于临时性工程占地，施工结束后</w:t>
      </w:r>
      <w:r>
        <w:rPr>
          <w:rFonts w:hint="eastAsia"/>
          <w:color w:val="auto"/>
        </w:rPr>
        <w:t>，</w:t>
      </w:r>
      <w:r>
        <w:rPr>
          <w:rFonts w:hint="eastAsia"/>
          <w:color w:val="auto"/>
          <w:lang w:eastAsia="zh-CN"/>
        </w:rPr>
        <w:t>将</w:t>
      </w:r>
      <w:r>
        <w:rPr>
          <w:color w:val="auto"/>
        </w:rPr>
        <w:t>恢复原有用地使用性质。</w:t>
      </w:r>
    </w:p>
    <w:p>
      <w:pPr>
        <w:bidi w:val="0"/>
        <w:rPr>
          <w:color w:val="auto"/>
        </w:rPr>
      </w:pPr>
      <w:r>
        <w:rPr>
          <w:color w:val="auto"/>
          <w:highlight w:val="none"/>
        </w:rPr>
        <w:t>施工便道多按具体施工工段设置，施工便道以依托现有道路为主，施工便道宽</w:t>
      </w:r>
      <w:r>
        <w:rPr>
          <w:rFonts w:hint="eastAsia"/>
          <w:color w:val="auto"/>
          <w:highlight w:val="none"/>
          <w:lang w:val="en-US" w:eastAsia="zh-CN"/>
        </w:rPr>
        <w:t>4</w:t>
      </w:r>
      <w:r>
        <w:rPr>
          <w:color w:val="auto"/>
          <w:highlight w:val="none"/>
        </w:rPr>
        <w:t>m。施</w:t>
      </w:r>
      <w:r>
        <w:rPr>
          <w:color w:val="auto"/>
        </w:rPr>
        <w:t>工结束后，施工便道占地恢复原地貌及原土地利用性质、使用功能。</w:t>
      </w:r>
    </w:p>
    <w:p>
      <w:pPr>
        <w:bidi w:val="0"/>
        <w:rPr>
          <w:color w:val="auto"/>
        </w:rPr>
      </w:pPr>
      <w:r>
        <w:rPr>
          <w:color w:val="auto"/>
        </w:rPr>
        <w:t>为减轻施工时对临时占地区域的生态影响，建设单位采取</w:t>
      </w:r>
      <w:r>
        <w:rPr>
          <w:rFonts w:hint="eastAsia"/>
          <w:color w:val="auto"/>
        </w:rPr>
        <w:t>了</w:t>
      </w:r>
      <w:r>
        <w:rPr>
          <w:color w:val="auto"/>
        </w:rPr>
        <w:t>如下措施：</w:t>
      </w:r>
    </w:p>
    <w:p>
      <w:pPr>
        <w:bidi w:val="0"/>
        <w:rPr>
          <w:color w:val="auto"/>
        </w:rPr>
      </w:pPr>
      <w:r>
        <w:rPr>
          <w:rFonts w:hint="eastAsia"/>
          <w:color w:val="auto"/>
        </w:rPr>
        <w:t>①</w:t>
      </w:r>
      <w:r>
        <w:rPr>
          <w:color w:val="auto"/>
        </w:rPr>
        <w:t>施工时</w:t>
      </w:r>
      <w:r>
        <w:rPr>
          <w:rFonts w:hint="eastAsia"/>
          <w:color w:val="auto"/>
        </w:rPr>
        <w:t>集中</w:t>
      </w:r>
      <w:r>
        <w:rPr>
          <w:color w:val="auto"/>
        </w:rPr>
        <w:t>布置施工场所，减少对道路和植被的压覆；</w:t>
      </w:r>
    </w:p>
    <w:p>
      <w:pPr>
        <w:bidi w:val="0"/>
        <w:rPr>
          <w:color w:val="auto"/>
        </w:rPr>
      </w:pPr>
      <w:r>
        <w:rPr>
          <w:rFonts w:hint="eastAsia"/>
          <w:color w:val="auto"/>
        </w:rPr>
        <w:t>②</w:t>
      </w:r>
      <w:r>
        <w:rPr>
          <w:color w:val="auto"/>
        </w:rPr>
        <w:t>工程挖方回填，临时弃土严禁倾倒在河道内；</w:t>
      </w:r>
    </w:p>
    <w:p>
      <w:pPr>
        <w:bidi w:val="0"/>
        <w:rPr>
          <w:color w:val="auto"/>
        </w:rPr>
      </w:pPr>
      <w:r>
        <w:rPr>
          <w:rFonts w:hint="eastAsia"/>
          <w:color w:val="auto"/>
        </w:rPr>
        <w:t>③</w:t>
      </w:r>
      <w:r>
        <w:rPr>
          <w:color w:val="auto"/>
        </w:rPr>
        <w:t>施工结束后，立即恢复临时占地的原地貌，进行覆土，恢复原有植被。</w:t>
      </w:r>
    </w:p>
    <w:p>
      <w:pPr>
        <w:pStyle w:val="7"/>
        <w:bidi w:val="0"/>
        <w:rPr>
          <w:color w:val="auto"/>
        </w:rPr>
      </w:pPr>
      <w:bookmarkStart w:id="531" w:name="_Toc426817916"/>
      <w:bookmarkStart w:id="532" w:name="_Toc422131638"/>
      <w:r>
        <w:rPr>
          <w:color w:val="auto"/>
        </w:rPr>
        <w:t>5.1.</w:t>
      </w:r>
      <w:r>
        <w:rPr>
          <w:rFonts w:hint="eastAsia"/>
          <w:color w:val="auto"/>
          <w:lang w:val="en-US" w:eastAsia="zh-CN"/>
        </w:rPr>
        <w:t>5</w:t>
      </w:r>
      <w:r>
        <w:rPr>
          <w:color w:val="auto"/>
        </w:rPr>
        <w:t>.3对植物影响分析</w:t>
      </w:r>
      <w:bookmarkEnd w:id="531"/>
      <w:bookmarkEnd w:id="532"/>
    </w:p>
    <w:p>
      <w:pPr>
        <w:ind w:firstLine="540"/>
        <w:rPr>
          <w:kern w:val="2"/>
        </w:rPr>
      </w:pPr>
      <w:r>
        <w:rPr>
          <w:color w:val="auto"/>
          <w:kern w:val="2"/>
        </w:rPr>
        <w:t>本项目临时占地区域主要为</w:t>
      </w:r>
      <w:r>
        <w:rPr>
          <w:kern w:val="2"/>
        </w:rPr>
        <w:t>河滩地，植被稀疏，主要为杂草灌丛植被和少量农作物，项目临时占地对当地植被破坏程度轻微。</w:t>
      </w:r>
      <w:r>
        <w:rPr>
          <w:kern w:val="2"/>
          <w:szCs w:val="22"/>
        </w:rPr>
        <w:t>施工后期，随着迹地复绿工程的实施，施工阶段对植物造成的不利影响将逐步恢复。本工程施工对地表植被影响较小。</w:t>
      </w:r>
    </w:p>
    <w:p>
      <w:pPr>
        <w:pStyle w:val="7"/>
        <w:bidi w:val="0"/>
      </w:pPr>
      <w:r>
        <w:t>5.1.</w:t>
      </w:r>
      <w:r>
        <w:rPr>
          <w:rFonts w:hint="eastAsia"/>
          <w:lang w:val="en-US" w:eastAsia="zh-CN"/>
        </w:rPr>
        <w:t>5</w:t>
      </w:r>
      <w:r>
        <w:t>.4对陆生动物的影响</w:t>
      </w:r>
    </w:p>
    <w:p>
      <w:pPr>
        <w:ind w:firstLine="540"/>
      </w:pPr>
      <w:r>
        <w:t>工程沿线无大型陆生野生动物存在，因此不存在对沿线大型陆生野生动物生存产生影响的问题；工程沿线主要分布有蛇、鼠、黄鼠狼、猫头鹰、喜鹊等，均属于本地区广布物种，对环境的适应性相对较强。</w:t>
      </w:r>
    </w:p>
    <w:p>
      <w:pPr>
        <w:ind w:firstLine="540"/>
      </w:pPr>
      <w:r>
        <w:rPr>
          <w:rFonts w:hint="eastAsia" w:hAnsi="宋体"/>
          <w:szCs w:val="24"/>
        </w:rPr>
        <w:t>施工期间施工人员的活动和机械噪声、区域内自然植被的破坏等对施工区及周围一定范围内野生动物的活动和栖息产生一定影响，引起陆生动物局部的迁移。项目取水工程所在地主要为居住区及耕地为主，工程施工区域为城镇生态系统，受人为活动影响，野生动物较少，无野生保护动物，且随着施工期的结束，此影响已基本消除。</w:t>
      </w:r>
    </w:p>
    <w:p>
      <w:pPr>
        <w:pStyle w:val="7"/>
        <w:bidi w:val="0"/>
        <w:rPr>
          <w:color w:val="auto"/>
        </w:rPr>
      </w:pPr>
      <w:r>
        <w:rPr>
          <w:color w:val="auto"/>
        </w:rPr>
        <w:t>5.1.</w:t>
      </w:r>
      <w:r>
        <w:rPr>
          <w:rFonts w:hint="eastAsia"/>
          <w:color w:val="auto"/>
          <w:lang w:val="en-US" w:eastAsia="zh-CN"/>
        </w:rPr>
        <w:t>5</w:t>
      </w:r>
      <w:r>
        <w:rPr>
          <w:color w:val="auto"/>
        </w:rPr>
        <w:t>.5水生生物影响</w:t>
      </w:r>
    </w:p>
    <w:p>
      <w:pPr>
        <w:numPr>
          <w:ilvl w:val="0"/>
          <w:numId w:val="11"/>
        </w:numPr>
        <w:bidi w:val="0"/>
        <w:ind w:left="280" w:leftChars="0" w:firstLineChars="0"/>
        <w:rPr>
          <w:rFonts w:hint="eastAsia"/>
          <w:lang w:eastAsia="zh-CN"/>
        </w:rPr>
      </w:pPr>
      <w:r>
        <w:rPr>
          <w:rFonts w:hint="eastAsia"/>
          <w:lang w:eastAsia="zh-CN"/>
        </w:rPr>
        <w:t>对物种的影响</w:t>
      </w:r>
    </w:p>
    <w:p>
      <w:pPr>
        <w:bidi w:val="0"/>
        <w:rPr>
          <w:rFonts w:hint="eastAsia"/>
          <w:lang w:val="en-US" w:eastAsia="zh-CN"/>
        </w:rPr>
      </w:pPr>
      <w:r>
        <w:rPr>
          <w:rFonts w:hint="eastAsia"/>
          <w:lang w:eastAsia="zh-CN"/>
        </w:rPr>
        <w:t>工程建设期内对物种的影响主要是对河道内水生生物的影响，随着工程建设期结束不利影响将会消失，水生生态将得以恢复，属于短期可逆影响。评价区内主要设计</w:t>
      </w:r>
      <w:r>
        <w:rPr>
          <w:rFonts w:hint="eastAsia"/>
          <w:lang w:val="en-US" w:eastAsia="zh-CN"/>
        </w:rPr>
        <w:t>4种种群生物，分别为浮游植物、浮游动物、底栖生物以及鱼类。建设期河道疏浚工程临时占地将会导致部分水生生物的直接死亡，但不会改变地下水水位以及土壤理化性质导致动植物群落发生变化。工程区域内野生动植物栖息繁衍仅受到暂时性干扰，物种种类、种群数量以及种群结构变化不大。</w:t>
      </w:r>
    </w:p>
    <w:p>
      <w:pPr>
        <w:numPr>
          <w:ilvl w:val="0"/>
          <w:numId w:val="11"/>
        </w:numPr>
        <w:bidi w:val="0"/>
        <w:ind w:left="280" w:leftChars="0" w:firstLineChars="0"/>
        <w:rPr>
          <w:rFonts w:hint="eastAsia"/>
          <w:lang w:eastAsia="zh-CN"/>
        </w:rPr>
      </w:pPr>
      <w:r>
        <w:rPr>
          <w:rFonts w:hint="eastAsia"/>
          <w:lang w:eastAsia="zh-CN"/>
        </w:rPr>
        <w:t>对生境的影响</w:t>
      </w:r>
    </w:p>
    <w:p>
      <w:pPr>
        <w:bidi w:val="0"/>
        <w:rPr>
          <w:rFonts w:hint="eastAsia"/>
          <w:lang w:val="en-US" w:eastAsia="zh-CN"/>
        </w:rPr>
      </w:pPr>
      <w:r>
        <w:rPr>
          <w:rFonts w:hint="eastAsia"/>
          <w:lang w:eastAsia="zh-CN"/>
        </w:rPr>
        <w:t>工程建设期内对生境的影响主要是对生境连通性、质量的影响，工程总占用水生生境</w:t>
      </w:r>
      <w:r>
        <w:rPr>
          <w:rFonts w:hint="eastAsia"/>
          <w:lang w:val="en-US" w:eastAsia="zh-CN"/>
        </w:rPr>
        <w:t>2.88hm</w:t>
      </w:r>
      <w:r>
        <w:rPr>
          <w:rFonts w:hint="eastAsia"/>
          <w:vertAlign w:val="superscript"/>
          <w:lang w:val="en-US" w:eastAsia="zh-CN"/>
        </w:rPr>
        <w:t>2</w:t>
      </w:r>
      <w:r>
        <w:rPr>
          <w:rFonts w:hint="eastAsia"/>
          <w:vertAlign w:val="baseline"/>
          <w:lang w:val="en-US" w:eastAsia="zh-CN"/>
        </w:rPr>
        <w:t>，</w:t>
      </w:r>
      <w:r>
        <w:rPr>
          <w:rFonts w:hint="eastAsia"/>
          <w:lang w:eastAsia="zh-CN"/>
        </w:rPr>
        <w:t>随着工程建设期结束，工程对于生境的暂时性破坏将得以恢复，水系开放连通性变化不大，属于短期可逆影响。</w:t>
      </w:r>
      <w:r>
        <w:rPr>
          <w:rFonts w:hint="eastAsia"/>
          <w:lang w:val="en-US" w:eastAsia="zh-CN"/>
        </w:rPr>
        <w:t>建设期河道疏浚工程将会导致生境的直接破坏，因施工导致的水文情势变化也会导致生境条件下降从而部分生物死亡，但不会导致生境面积下降，工程施工期较短，施工建设期结束后生境质量将会得到补偿恢复。</w:t>
      </w:r>
    </w:p>
    <w:p>
      <w:pPr>
        <w:numPr>
          <w:ilvl w:val="0"/>
          <w:numId w:val="11"/>
        </w:numPr>
        <w:bidi w:val="0"/>
        <w:ind w:left="280" w:leftChars="0" w:firstLineChars="0"/>
        <w:rPr>
          <w:rFonts w:hint="eastAsia"/>
          <w:lang w:eastAsia="zh-CN"/>
        </w:rPr>
      </w:pPr>
      <w:r>
        <w:rPr>
          <w:rFonts w:hint="eastAsia"/>
          <w:lang w:eastAsia="zh-CN"/>
        </w:rPr>
        <w:t>对生物群落的影响</w:t>
      </w:r>
    </w:p>
    <w:p>
      <w:pPr>
        <w:bidi w:val="0"/>
        <w:rPr>
          <w:rFonts w:hint="eastAsia"/>
          <w:lang w:val="en-US" w:eastAsia="zh-CN"/>
        </w:rPr>
      </w:pPr>
      <w:r>
        <w:rPr>
          <w:rFonts w:hint="eastAsia"/>
          <w:lang w:eastAsia="zh-CN"/>
        </w:rPr>
        <w:t>工程建设期内对生物群落的影响主要是对物种组成、群落结构的影响，随着工程建设期结束不利影响将会消失，水生生态将得以恢复，属于短期可逆影响。评价区内主要设计</w:t>
      </w:r>
      <w:r>
        <w:rPr>
          <w:rFonts w:hint="eastAsia"/>
          <w:lang w:val="en-US" w:eastAsia="zh-CN"/>
        </w:rPr>
        <w:t>4种种群生物，分别为浮游植物、浮游动物、底栖生物以及鱼类</w:t>
      </w:r>
      <w:r>
        <w:rPr>
          <w:rFonts w:hint="eastAsia"/>
          <w:sz w:val="24"/>
          <w:szCs w:val="24"/>
          <w:lang w:val="en-US" w:eastAsia="zh-CN"/>
        </w:rPr>
        <w:t>，鱼类分属</w:t>
      </w:r>
      <w:r>
        <w:rPr>
          <w:rFonts w:hint="eastAsia" w:cs="Times New Roman"/>
          <w:color w:val="auto"/>
          <w:spacing w:val="-2"/>
          <w:kern w:val="0"/>
          <w:sz w:val="24"/>
          <w:szCs w:val="24"/>
          <w:vertAlign w:val="baseline"/>
          <w:lang w:eastAsia="zh-CN"/>
        </w:rPr>
        <w:t>4科10属</w:t>
      </w:r>
      <w:r>
        <w:rPr>
          <w:rFonts w:hint="eastAsia"/>
          <w:lang w:val="en-US" w:eastAsia="zh-CN"/>
        </w:rPr>
        <w:t>。建设期河道疏浚工程临时占地将会导致水生资源减少从而使得种群结构发生动态变化，工程施工期较短，施工建设期结束后将会恢复。</w:t>
      </w:r>
    </w:p>
    <w:p>
      <w:pPr>
        <w:bidi w:val="0"/>
      </w:pPr>
      <w:r>
        <w:rPr>
          <w:rFonts w:hint="eastAsia"/>
          <w:lang w:eastAsia="zh-CN"/>
        </w:rPr>
        <w:t>（</w:t>
      </w:r>
      <w:r>
        <w:rPr>
          <w:rFonts w:hint="eastAsia"/>
          <w:lang w:val="en-US" w:eastAsia="zh-CN"/>
        </w:rPr>
        <w:t>4</w:t>
      </w:r>
      <w:r>
        <w:rPr>
          <w:rFonts w:hint="eastAsia"/>
          <w:lang w:eastAsia="zh-CN"/>
        </w:rPr>
        <w:t>）</w:t>
      </w:r>
      <w:r>
        <w:rPr>
          <w:rFonts w:hint="eastAsia"/>
        </w:rPr>
        <w:t>对</w:t>
      </w:r>
      <w:r>
        <w:rPr>
          <w:rFonts w:hint="eastAsia"/>
          <w:lang w:eastAsia="zh-CN"/>
        </w:rPr>
        <w:t>生态敏感区的影响</w:t>
      </w:r>
      <w:r>
        <w:t>分析</w:t>
      </w:r>
    </w:p>
    <w:p>
      <w:pPr>
        <w:pStyle w:val="120"/>
        <w:spacing w:line="360" w:lineRule="auto"/>
        <w:jc w:val="both"/>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val="en-US" w:eastAsia="zh-CN"/>
        </w:rPr>
        <w:t>本项目占用的</w:t>
      </w:r>
      <w:r>
        <w:rPr>
          <w:rFonts w:hint="eastAsia" w:cs="Times New Roman"/>
          <w:color w:val="000000"/>
          <w:sz w:val="24"/>
          <w:szCs w:val="24"/>
          <w:highlight w:val="none"/>
          <w:lang w:val="en-US" w:eastAsia="zh-CN"/>
        </w:rPr>
        <w:t>生态敏感区为燕山</w:t>
      </w:r>
      <w:r>
        <w:rPr>
          <w:rFonts w:hint="default" w:ascii="Times New Roman" w:hAnsi="Times New Roman" w:eastAsia="宋体" w:cs="Times New Roman"/>
          <w:color w:val="000000"/>
          <w:sz w:val="24"/>
          <w:szCs w:val="24"/>
          <w:highlight w:val="none"/>
          <w:lang w:val="en-US" w:eastAsia="zh-CN"/>
        </w:rPr>
        <w:t>生态保护红线区域主要为</w:t>
      </w:r>
      <w:r>
        <w:rPr>
          <w:rFonts w:hint="eastAsia" w:ascii="Times New Roman" w:hAnsi="Times New Roman" w:eastAsia="宋体" w:cs="Times New Roman"/>
          <w:color w:val="000000"/>
          <w:sz w:val="24"/>
          <w:szCs w:val="24"/>
          <w:highlight w:val="none"/>
          <w:lang w:val="en-US" w:eastAsia="zh-CN"/>
        </w:rPr>
        <w:t>柳河</w:t>
      </w:r>
      <w:r>
        <w:rPr>
          <w:rFonts w:hint="default" w:ascii="Times New Roman" w:hAnsi="Times New Roman" w:eastAsia="宋体" w:cs="Times New Roman"/>
          <w:color w:val="000000"/>
          <w:sz w:val="24"/>
          <w:szCs w:val="24"/>
          <w:highlight w:val="none"/>
          <w:lang w:val="en-US" w:eastAsia="zh-CN"/>
        </w:rPr>
        <w:t>河道，</w:t>
      </w:r>
      <w:r>
        <w:rPr>
          <w:rFonts w:hint="default" w:ascii="Times New Roman" w:hAnsi="Times New Roman" w:eastAsia="宋体" w:cs="Times New Roman"/>
          <w:color w:val="000000"/>
          <w:sz w:val="24"/>
          <w:szCs w:val="24"/>
          <w:highlight w:val="none"/>
        </w:rPr>
        <w:t>根据《河北省人民政府关于发布&lt;河北省生态保护红线&gt;的通知》及承德市生态保护红线成果，项目所在区域生态保护红线的功能为水源涵养区，保护内容为燕山水源涵养、生物多样性维护，植被类型主要为暖温带落叶阔叶林（森林生态系统）。</w:t>
      </w:r>
      <w:r>
        <w:rPr>
          <w:rFonts w:hint="default" w:ascii="Times New Roman" w:hAnsi="Times New Roman" w:eastAsia="宋体" w:cs="Times New Roman"/>
          <w:bCs/>
          <w:color w:val="000000"/>
          <w:sz w:val="24"/>
          <w:szCs w:val="24"/>
          <w:highlight w:val="none"/>
        </w:rPr>
        <w:t>本项目主要为</w:t>
      </w:r>
      <w:r>
        <w:rPr>
          <w:rFonts w:hint="eastAsia" w:ascii="Times New Roman" w:eastAsia="宋体" w:cs="Times New Roman"/>
          <w:bCs/>
          <w:color w:val="000000"/>
          <w:sz w:val="24"/>
          <w:szCs w:val="24"/>
          <w:highlight w:val="none"/>
          <w:lang w:eastAsia="zh-CN"/>
        </w:rPr>
        <w:t>水生态修复提升工程</w:t>
      </w:r>
      <w:r>
        <w:rPr>
          <w:rFonts w:hint="default" w:ascii="Times New Roman" w:hAnsi="Times New Roman" w:eastAsia="宋体" w:cs="Times New Roman"/>
          <w:bCs/>
          <w:color w:val="000000"/>
          <w:sz w:val="24"/>
          <w:szCs w:val="24"/>
          <w:highlight w:val="none"/>
        </w:rPr>
        <w:t>，属于</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受自然条件限制、确实无法避让的</w:t>
      </w:r>
      <w:r>
        <w:rPr>
          <w:rFonts w:hint="default" w:ascii="Times New Roman" w:hAnsi="Times New Roman" w:eastAsia="宋体" w:cs="Times New Roman"/>
          <w:bCs/>
          <w:color w:val="000000"/>
          <w:sz w:val="24"/>
          <w:szCs w:val="24"/>
          <w:highlight w:val="none"/>
          <w:lang w:val="en-US" w:eastAsia="zh-CN"/>
        </w:rPr>
        <w:t>重要基础设施</w:t>
      </w:r>
      <w:r>
        <w:rPr>
          <w:rFonts w:hint="default" w:ascii="Times New Roman" w:hAnsi="Times New Roman" w:eastAsia="宋体" w:cs="Times New Roman"/>
          <w:bCs/>
          <w:color w:val="000000"/>
          <w:sz w:val="24"/>
          <w:szCs w:val="24"/>
          <w:highlight w:val="none"/>
        </w:rPr>
        <w:t>项目</w:t>
      </w:r>
      <w:r>
        <w:rPr>
          <w:rFonts w:hint="default" w:ascii="Times New Roman" w:hAnsi="Times New Roman" w:eastAsia="宋体" w:cs="Times New Roman"/>
          <w:bCs/>
          <w:color w:val="000000"/>
          <w:sz w:val="24"/>
          <w:szCs w:val="24"/>
          <w:highlight w:val="none"/>
          <w:lang w:eastAsia="zh-CN"/>
        </w:rPr>
        <w:t>”、“</w:t>
      </w:r>
      <w:r>
        <w:rPr>
          <w:rFonts w:hint="default" w:ascii="Times New Roman" w:hAnsi="Times New Roman" w:eastAsia="宋体" w:cs="Times New Roman"/>
          <w:bCs/>
          <w:color w:val="000000"/>
          <w:sz w:val="24"/>
          <w:szCs w:val="24"/>
          <w:highlight w:val="none"/>
        </w:rPr>
        <w:t>必须且无法避让、符合县级以上国土空间规划的线性基础设施建设、</w:t>
      </w:r>
      <w:r>
        <w:rPr>
          <w:rFonts w:hint="default" w:ascii="Times New Roman" w:hAnsi="Times New Roman" w:eastAsia="宋体" w:cs="Times New Roman"/>
          <w:bCs/>
          <w:color w:val="000000"/>
          <w:sz w:val="24"/>
          <w:szCs w:val="24"/>
          <w:highlight w:val="none"/>
          <w:lang w:eastAsia="zh-CN"/>
        </w:rPr>
        <w:t>重要生态修复工程”</w:t>
      </w:r>
      <w:r>
        <w:rPr>
          <w:rFonts w:hint="default" w:ascii="Times New Roman" w:hAnsi="Times New Roman" w:eastAsia="宋体" w:cs="Times New Roman"/>
          <w:bCs/>
          <w:color w:val="000000"/>
          <w:sz w:val="24"/>
          <w:szCs w:val="24"/>
          <w:highlight w:val="none"/>
        </w:rPr>
        <w:t>，</w:t>
      </w:r>
      <w:r>
        <w:rPr>
          <w:rFonts w:hint="default" w:ascii="Times New Roman" w:hAnsi="Times New Roman" w:eastAsia="宋体" w:cs="Times New Roman"/>
          <w:color w:val="000000"/>
          <w:sz w:val="24"/>
          <w:szCs w:val="24"/>
          <w:highlight w:val="none"/>
        </w:rPr>
        <w:t>项目在施工期采取如下保护措施，以维护生态保护红线范围内水源涵养、生物多样性</w:t>
      </w:r>
      <w:r>
        <w:rPr>
          <w:rFonts w:hint="default" w:ascii="Times New Roman" w:hAnsi="Times New Roman" w:eastAsia="宋体" w:cs="Times New Roman"/>
          <w:color w:val="000000"/>
          <w:sz w:val="24"/>
          <w:szCs w:val="24"/>
          <w:highlight w:val="none"/>
          <w:lang w:eastAsia="zh-CN"/>
        </w:rPr>
        <w:t>。</w:t>
      </w:r>
    </w:p>
    <w:p>
      <w:pPr>
        <w:pStyle w:val="120"/>
        <w:spacing w:line="360" w:lineRule="auto"/>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w:t>
      </w:r>
      <w:r>
        <w:rPr>
          <w:rFonts w:hint="default" w:ascii="Times New Roman" w:hAnsi="Times New Roman" w:eastAsia="宋体" w:cs="Times New Roman"/>
          <w:color w:val="000000"/>
          <w:kern w:val="0"/>
          <w:sz w:val="24"/>
          <w:szCs w:val="24"/>
          <w:highlight w:val="none"/>
          <w:lang w:val="en-US" w:eastAsia="zh-CN"/>
        </w:rPr>
        <w:t>项目</w:t>
      </w:r>
      <w:r>
        <w:rPr>
          <w:rFonts w:hint="default" w:ascii="Times New Roman" w:hAnsi="Times New Roman" w:eastAsia="宋体" w:cs="Times New Roman"/>
          <w:color w:val="000000"/>
          <w:sz w:val="24"/>
          <w:szCs w:val="24"/>
          <w:highlight w:val="none"/>
        </w:rPr>
        <w:t>尽量减少临时占地；</w:t>
      </w:r>
    </w:p>
    <w:p>
      <w:pPr>
        <w:pStyle w:val="120"/>
        <w:spacing w:line="360" w:lineRule="auto"/>
        <w:jc w:val="both"/>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sz w:val="24"/>
          <w:szCs w:val="24"/>
          <w:highlight w:val="none"/>
        </w:rPr>
        <w:t>2）</w:t>
      </w:r>
      <w:r>
        <w:rPr>
          <w:rFonts w:hint="default" w:ascii="Times New Roman" w:hAnsi="Times New Roman" w:eastAsia="宋体" w:cs="Times New Roman"/>
          <w:color w:val="000000"/>
          <w:kern w:val="0"/>
          <w:sz w:val="24"/>
          <w:szCs w:val="24"/>
          <w:highlight w:val="none"/>
        </w:rPr>
        <w:t>施工期间，禁止破坏沿线</w:t>
      </w:r>
      <w:r>
        <w:rPr>
          <w:rFonts w:hint="default" w:ascii="Times New Roman" w:hAnsi="Times New Roman" w:eastAsia="宋体" w:cs="Times New Roman"/>
          <w:color w:val="000000"/>
          <w:kern w:val="0"/>
          <w:sz w:val="24"/>
          <w:szCs w:val="24"/>
          <w:highlight w:val="none"/>
          <w:lang w:val="en-US" w:eastAsia="zh-CN"/>
        </w:rPr>
        <w:t>非占地范围内</w:t>
      </w:r>
      <w:r>
        <w:rPr>
          <w:rFonts w:hint="default" w:ascii="Times New Roman" w:hAnsi="Times New Roman" w:eastAsia="宋体" w:cs="Times New Roman"/>
          <w:color w:val="000000"/>
          <w:kern w:val="0"/>
          <w:sz w:val="24"/>
          <w:szCs w:val="24"/>
          <w:highlight w:val="none"/>
        </w:rPr>
        <w:t>植被、生态环境等；</w:t>
      </w:r>
    </w:p>
    <w:p>
      <w:pPr>
        <w:pStyle w:val="120"/>
        <w:spacing w:line="360" w:lineRule="auto"/>
        <w:jc w:val="both"/>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3）对临时占地的植被恢复，植被采取当地生长范围广，适应性强的优势种；</w:t>
      </w:r>
    </w:p>
    <w:p>
      <w:pPr>
        <w:pStyle w:val="120"/>
        <w:spacing w:line="360" w:lineRule="auto"/>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kern w:val="0"/>
          <w:sz w:val="24"/>
          <w:szCs w:val="24"/>
          <w:highlight w:val="none"/>
          <w:lang w:val="en-US" w:eastAsia="zh-CN"/>
        </w:rPr>
        <w:t>4</w:t>
      </w:r>
      <w:r>
        <w:rPr>
          <w:rFonts w:hint="default" w:ascii="Times New Roman" w:hAnsi="Times New Roman" w:eastAsia="宋体" w:cs="Times New Roman"/>
          <w:color w:val="000000"/>
          <w:kern w:val="0"/>
          <w:sz w:val="24"/>
          <w:szCs w:val="24"/>
          <w:highlight w:val="none"/>
        </w:rPr>
        <w:t>）施工结束后及时清理施工迹地，恢复原貌。</w:t>
      </w:r>
    </w:p>
    <w:p>
      <w:pPr>
        <w:pStyle w:val="120"/>
        <w:spacing w:line="360" w:lineRule="auto"/>
        <w:jc w:val="both"/>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本项目</w:t>
      </w:r>
      <w:r>
        <w:rPr>
          <w:rFonts w:hint="default" w:ascii="Times New Roman" w:hAnsi="Times New Roman" w:eastAsia="宋体" w:cs="Times New Roman"/>
          <w:color w:val="000000"/>
          <w:sz w:val="24"/>
          <w:szCs w:val="24"/>
          <w:highlight w:val="none"/>
        </w:rPr>
        <w:t>占用的生态保护红线区域</w:t>
      </w:r>
      <w:r>
        <w:rPr>
          <w:rFonts w:hint="default" w:ascii="Times New Roman" w:hAnsi="Times New Roman" w:eastAsia="宋体" w:cs="Times New Roman"/>
          <w:color w:val="000000"/>
          <w:sz w:val="24"/>
          <w:szCs w:val="24"/>
          <w:highlight w:val="none"/>
          <w:lang w:val="en-US" w:eastAsia="zh-CN"/>
        </w:rPr>
        <w:t>主要为</w:t>
      </w:r>
      <w:r>
        <w:rPr>
          <w:rFonts w:hint="eastAsia" w:ascii="Times New Roman" w:eastAsia="宋体" w:cs="Times New Roman"/>
          <w:color w:val="000000"/>
          <w:sz w:val="24"/>
          <w:szCs w:val="24"/>
          <w:highlight w:val="none"/>
          <w:lang w:val="en-US" w:eastAsia="zh-CN"/>
        </w:rPr>
        <w:t>柳河</w:t>
      </w:r>
      <w:r>
        <w:rPr>
          <w:rFonts w:hint="default" w:ascii="Times New Roman" w:hAnsi="Times New Roman" w:eastAsia="宋体" w:cs="Times New Roman"/>
          <w:color w:val="000000"/>
          <w:sz w:val="24"/>
          <w:szCs w:val="24"/>
          <w:highlight w:val="none"/>
          <w:lang w:val="en-US" w:eastAsia="zh-CN"/>
        </w:rPr>
        <w:t>河道</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kern w:val="0"/>
          <w:sz w:val="24"/>
          <w:szCs w:val="24"/>
          <w:highlight w:val="none"/>
        </w:rPr>
        <w:t>本工程临时占地会对</w:t>
      </w:r>
      <w:r>
        <w:rPr>
          <w:rFonts w:hint="default" w:ascii="Times New Roman" w:hAnsi="Times New Roman" w:eastAsia="宋体" w:cs="Times New Roman"/>
          <w:color w:val="000000"/>
          <w:sz w:val="24"/>
          <w:szCs w:val="24"/>
          <w:highlight w:val="none"/>
          <w:lang w:val="en-US" w:eastAsia="zh-CN"/>
        </w:rPr>
        <w:t>河道</w:t>
      </w:r>
      <w:r>
        <w:rPr>
          <w:rFonts w:hint="default" w:ascii="Times New Roman" w:hAnsi="Times New Roman" w:eastAsia="宋体" w:cs="Times New Roman"/>
          <w:color w:val="000000"/>
          <w:kern w:val="0"/>
          <w:sz w:val="24"/>
          <w:szCs w:val="24"/>
          <w:highlight w:val="none"/>
        </w:rPr>
        <w:t>沿</w:t>
      </w:r>
      <w:r>
        <w:rPr>
          <w:rFonts w:hint="default" w:ascii="Times New Roman" w:hAnsi="Times New Roman" w:eastAsia="宋体" w:cs="Times New Roman"/>
          <w:color w:val="000000"/>
          <w:kern w:val="0"/>
          <w:sz w:val="24"/>
          <w:szCs w:val="24"/>
          <w:highlight w:val="none"/>
          <w:lang w:val="en-US" w:eastAsia="zh-CN"/>
        </w:rPr>
        <w:t>岸</w:t>
      </w:r>
      <w:r>
        <w:rPr>
          <w:rFonts w:hint="default" w:ascii="Times New Roman" w:hAnsi="Times New Roman" w:eastAsia="宋体" w:cs="Times New Roman"/>
          <w:color w:val="000000"/>
          <w:sz w:val="24"/>
          <w:szCs w:val="24"/>
          <w:highlight w:val="none"/>
        </w:rPr>
        <w:t>生物多样性</w:t>
      </w:r>
      <w:r>
        <w:rPr>
          <w:rFonts w:hint="default" w:ascii="Times New Roman" w:hAnsi="Times New Roman" w:eastAsia="宋体" w:cs="Times New Roman"/>
          <w:color w:val="000000"/>
          <w:kern w:val="0"/>
          <w:sz w:val="24"/>
          <w:szCs w:val="24"/>
          <w:highlight w:val="none"/>
        </w:rPr>
        <w:t>产生影响，工程实施后，通过对临时占地的植被恢复，将采取必要的生态补偿措施，</w:t>
      </w:r>
      <w:r>
        <w:rPr>
          <w:rFonts w:hint="default" w:ascii="Times New Roman" w:hAnsi="Times New Roman" w:eastAsia="宋体" w:cs="Times New Roman"/>
          <w:color w:val="000000"/>
          <w:kern w:val="0"/>
          <w:sz w:val="24"/>
          <w:szCs w:val="24"/>
          <w:highlight w:val="none"/>
          <w:lang w:val="en-US" w:eastAsia="zh-CN"/>
        </w:rPr>
        <w:t>对临时占地</w:t>
      </w:r>
      <w:r>
        <w:rPr>
          <w:rFonts w:hint="default" w:ascii="Times New Roman" w:hAnsi="Times New Roman" w:eastAsia="宋体" w:cs="Times New Roman"/>
          <w:color w:val="000000"/>
          <w:kern w:val="0"/>
          <w:sz w:val="24"/>
          <w:szCs w:val="24"/>
          <w:highlight w:val="none"/>
        </w:rPr>
        <w:t>进行绿化，在工程影响范围内植被类型均属一般常见种，生长范围广，适应性强，不会因项目建设而导致植物种群消失。施工期间，分布在</w:t>
      </w:r>
      <w:r>
        <w:rPr>
          <w:rFonts w:hint="default" w:ascii="Times New Roman" w:hAnsi="Times New Roman" w:eastAsia="宋体" w:cs="Times New Roman"/>
          <w:color w:val="000000"/>
          <w:kern w:val="0"/>
          <w:sz w:val="24"/>
          <w:szCs w:val="24"/>
          <w:highlight w:val="none"/>
          <w:lang w:val="en-US" w:eastAsia="zh-CN"/>
        </w:rPr>
        <w:t>河道</w:t>
      </w:r>
      <w:r>
        <w:rPr>
          <w:rFonts w:hint="default" w:ascii="Times New Roman" w:hAnsi="Times New Roman" w:eastAsia="宋体" w:cs="Times New Roman"/>
          <w:color w:val="000000"/>
          <w:kern w:val="0"/>
          <w:sz w:val="24"/>
          <w:szCs w:val="24"/>
          <w:highlight w:val="none"/>
        </w:rPr>
        <w:t>沿</w:t>
      </w:r>
      <w:r>
        <w:rPr>
          <w:rFonts w:hint="default" w:ascii="Times New Roman" w:hAnsi="Times New Roman" w:eastAsia="宋体" w:cs="Times New Roman"/>
          <w:color w:val="000000"/>
          <w:kern w:val="0"/>
          <w:sz w:val="24"/>
          <w:szCs w:val="24"/>
          <w:highlight w:val="none"/>
          <w:lang w:val="en-US" w:eastAsia="zh-CN"/>
        </w:rPr>
        <w:t>岸</w:t>
      </w:r>
      <w:r>
        <w:rPr>
          <w:rFonts w:hint="default" w:ascii="Times New Roman" w:hAnsi="Times New Roman" w:eastAsia="宋体" w:cs="Times New Roman"/>
          <w:color w:val="000000"/>
          <w:kern w:val="0"/>
          <w:sz w:val="24"/>
          <w:szCs w:val="24"/>
          <w:highlight w:val="none"/>
        </w:rPr>
        <w:t>小型爬行动物（如</w:t>
      </w:r>
      <w:r>
        <w:rPr>
          <w:rFonts w:hint="eastAsia" w:ascii="Times New Roman" w:hAnsi="Times New Roman" w:cs="Times New Roman"/>
          <w:color w:val="000000"/>
          <w:sz w:val="24"/>
          <w:highlight w:val="none"/>
          <w:lang w:eastAsia="zh-CN"/>
        </w:rPr>
        <w:t>蛇、蜥蜴、壁虎</w:t>
      </w:r>
      <w:r>
        <w:rPr>
          <w:rFonts w:hint="eastAsia" w:ascii="Times New Roman" w:hAnsi="Times New Roman" w:cs="Times New Roman"/>
          <w:color w:val="000000"/>
          <w:sz w:val="24"/>
          <w:highlight w:val="none"/>
          <w:lang w:val="en-US" w:eastAsia="zh-CN"/>
        </w:rPr>
        <w:t>等</w:t>
      </w:r>
      <w:r>
        <w:rPr>
          <w:rFonts w:hint="default" w:ascii="Times New Roman" w:hAnsi="Times New Roman" w:eastAsia="宋体" w:cs="Times New Roman"/>
          <w:color w:val="000000"/>
          <w:kern w:val="0"/>
          <w:sz w:val="24"/>
          <w:szCs w:val="24"/>
          <w:highlight w:val="none"/>
        </w:rPr>
        <w:t>）、两栖动物（如</w:t>
      </w:r>
      <w:r>
        <w:rPr>
          <w:rFonts w:hint="eastAsia" w:ascii="Times New Roman" w:hAnsi="Times New Roman" w:cs="Times New Roman"/>
          <w:color w:val="000000"/>
          <w:sz w:val="24"/>
          <w:highlight w:val="none"/>
          <w:lang w:eastAsia="zh-CN"/>
        </w:rPr>
        <w:t>青蛙、雨蛙、蟾蜍</w:t>
      </w:r>
      <w:r>
        <w:rPr>
          <w:rFonts w:hint="eastAsia" w:ascii="Times New Roman" w:hAnsi="Times New Roman" w:cs="Times New Roman"/>
          <w:color w:val="000000"/>
          <w:sz w:val="24"/>
          <w:highlight w:val="none"/>
          <w:lang w:val="en-US" w:eastAsia="zh-CN"/>
        </w:rPr>
        <w:t>等</w:t>
      </w:r>
      <w:r>
        <w:rPr>
          <w:rFonts w:hint="default" w:ascii="Times New Roman" w:hAnsi="Times New Roman" w:eastAsia="宋体" w:cs="Times New Roman"/>
          <w:color w:val="000000"/>
          <w:kern w:val="0"/>
          <w:sz w:val="24"/>
          <w:szCs w:val="24"/>
          <w:highlight w:val="none"/>
        </w:rPr>
        <w:t>），由于</w:t>
      </w:r>
      <w:r>
        <w:rPr>
          <w:rFonts w:hint="default" w:ascii="Times New Roman" w:hAnsi="Times New Roman" w:eastAsia="宋体" w:cs="Times New Roman"/>
          <w:color w:val="000000"/>
          <w:kern w:val="0"/>
          <w:sz w:val="24"/>
          <w:szCs w:val="24"/>
          <w:highlight w:val="none"/>
          <w:lang w:val="en-US" w:eastAsia="zh-CN"/>
        </w:rPr>
        <w:t>项目</w:t>
      </w:r>
      <w:r>
        <w:rPr>
          <w:rFonts w:hint="default" w:ascii="Times New Roman" w:hAnsi="Times New Roman" w:eastAsia="宋体" w:cs="Times New Roman"/>
          <w:color w:val="000000"/>
          <w:kern w:val="0"/>
          <w:sz w:val="24"/>
          <w:szCs w:val="24"/>
          <w:highlight w:val="none"/>
        </w:rPr>
        <w:t>建设，施工人员干扰活动和施工机械对这些动物的活动有一定的影响，使他们会迁移到非施工区；由于</w:t>
      </w:r>
      <w:r>
        <w:rPr>
          <w:rFonts w:hint="default" w:ascii="Times New Roman" w:hAnsi="Times New Roman" w:eastAsia="宋体" w:cs="Times New Roman"/>
          <w:color w:val="000000"/>
          <w:kern w:val="0"/>
          <w:sz w:val="24"/>
          <w:szCs w:val="24"/>
          <w:highlight w:val="none"/>
          <w:lang w:val="en-US" w:eastAsia="zh-CN"/>
        </w:rPr>
        <w:t>河道</w:t>
      </w:r>
      <w:r>
        <w:rPr>
          <w:rFonts w:hint="default" w:ascii="Times New Roman" w:hAnsi="Times New Roman" w:eastAsia="宋体" w:cs="Times New Roman"/>
          <w:color w:val="000000"/>
          <w:kern w:val="0"/>
          <w:sz w:val="24"/>
          <w:szCs w:val="24"/>
          <w:highlight w:val="none"/>
        </w:rPr>
        <w:t>施工范围小，工程建设对野生动物影响范围不大，因此对动物不会造成大的影响；同时当植被恢复后，它们仍可回到原来的区域，不会对其生存造成威胁。因此，</w:t>
      </w:r>
      <w:r>
        <w:rPr>
          <w:rFonts w:hint="default" w:ascii="Times New Roman" w:hAnsi="Times New Roman" w:eastAsia="宋体" w:cs="Times New Roman"/>
          <w:color w:val="000000"/>
          <w:kern w:val="0"/>
          <w:sz w:val="24"/>
          <w:szCs w:val="24"/>
          <w:highlight w:val="none"/>
          <w:lang w:val="en-US" w:eastAsia="zh-CN"/>
        </w:rPr>
        <w:t>项目</w:t>
      </w:r>
      <w:r>
        <w:rPr>
          <w:rFonts w:hint="default" w:ascii="Times New Roman" w:hAnsi="Times New Roman" w:eastAsia="宋体" w:cs="Times New Roman"/>
          <w:color w:val="000000"/>
          <w:kern w:val="0"/>
          <w:sz w:val="24"/>
          <w:szCs w:val="24"/>
          <w:highlight w:val="none"/>
        </w:rPr>
        <w:t>建设施工不会使</w:t>
      </w:r>
      <w:r>
        <w:rPr>
          <w:rFonts w:hint="default" w:ascii="Times New Roman" w:hAnsi="Times New Roman" w:eastAsia="宋体" w:cs="Times New Roman"/>
          <w:color w:val="000000"/>
          <w:sz w:val="24"/>
          <w:szCs w:val="24"/>
          <w:highlight w:val="none"/>
        </w:rPr>
        <w:t>生态保护红线区域</w:t>
      </w:r>
      <w:r>
        <w:rPr>
          <w:rFonts w:hint="default" w:ascii="Times New Roman" w:hAnsi="Times New Roman" w:eastAsia="宋体" w:cs="Times New Roman"/>
          <w:color w:val="000000"/>
          <w:kern w:val="0"/>
          <w:sz w:val="24"/>
          <w:szCs w:val="24"/>
          <w:highlight w:val="none"/>
          <w:lang w:val="en-US" w:eastAsia="zh-CN"/>
        </w:rPr>
        <w:t>的</w:t>
      </w:r>
      <w:r>
        <w:rPr>
          <w:rFonts w:hint="default" w:ascii="Times New Roman" w:hAnsi="Times New Roman" w:eastAsia="宋体" w:cs="Times New Roman"/>
          <w:color w:val="000000"/>
          <w:sz w:val="24"/>
          <w:szCs w:val="24"/>
          <w:highlight w:val="none"/>
        </w:rPr>
        <w:t>生物多样性</w:t>
      </w:r>
      <w:r>
        <w:rPr>
          <w:rFonts w:hint="default" w:ascii="Times New Roman" w:hAnsi="Times New Roman" w:eastAsia="宋体" w:cs="Times New Roman"/>
          <w:color w:val="000000"/>
          <w:kern w:val="0"/>
          <w:sz w:val="24"/>
          <w:szCs w:val="24"/>
          <w:highlight w:val="none"/>
        </w:rPr>
        <w:t>发生本质改变。</w:t>
      </w:r>
    </w:p>
    <w:p>
      <w:pPr>
        <w:pStyle w:val="120"/>
        <w:spacing w:line="360" w:lineRule="auto"/>
        <w:jc w:val="both"/>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sz w:val="24"/>
          <w:szCs w:val="24"/>
          <w:highlight w:val="none"/>
        </w:rPr>
        <w:t>本项目</w:t>
      </w:r>
      <w:r>
        <w:rPr>
          <w:rFonts w:hint="default" w:ascii="Times New Roman" w:hAnsi="Times New Roman" w:eastAsia="宋体" w:cs="Times New Roman"/>
          <w:color w:val="000000"/>
          <w:kern w:val="0"/>
          <w:sz w:val="24"/>
          <w:szCs w:val="24"/>
          <w:highlight w:val="none"/>
        </w:rPr>
        <w:t>临时占地对沿</w:t>
      </w:r>
      <w:r>
        <w:rPr>
          <w:rFonts w:hint="default" w:ascii="Times New Roman" w:hAnsi="Times New Roman" w:eastAsia="宋体" w:cs="Times New Roman"/>
          <w:color w:val="000000"/>
          <w:kern w:val="0"/>
          <w:sz w:val="24"/>
          <w:szCs w:val="24"/>
          <w:highlight w:val="none"/>
          <w:lang w:val="en-US" w:eastAsia="zh-CN"/>
        </w:rPr>
        <w:t>岸</w:t>
      </w:r>
      <w:r>
        <w:rPr>
          <w:rFonts w:hint="default" w:ascii="Times New Roman" w:hAnsi="Times New Roman" w:eastAsia="宋体" w:cs="Times New Roman"/>
          <w:color w:val="000000"/>
          <w:sz w:val="24"/>
          <w:szCs w:val="24"/>
          <w:highlight w:val="none"/>
        </w:rPr>
        <w:t>植被</w:t>
      </w:r>
      <w:r>
        <w:rPr>
          <w:rFonts w:hint="default" w:ascii="Times New Roman" w:hAnsi="Times New Roman" w:eastAsia="宋体" w:cs="Times New Roman"/>
          <w:color w:val="000000"/>
          <w:kern w:val="0"/>
          <w:sz w:val="24"/>
          <w:szCs w:val="24"/>
          <w:highlight w:val="none"/>
        </w:rPr>
        <w:t>影响较小</w:t>
      </w:r>
      <w:r>
        <w:rPr>
          <w:rFonts w:hint="default" w:ascii="Times New Roman" w:hAnsi="Times New Roman" w:eastAsia="宋体" w:cs="Times New Roman"/>
          <w:color w:val="000000"/>
          <w:kern w:val="0"/>
          <w:sz w:val="24"/>
          <w:szCs w:val="24"/>
          <w:highlight w:val="none"/>
          <w:lang w:eastAsia="zh-CN"/>
        </w:rPr>
        <w:t>，</w:t>
      </w:r>
      <w:r>
        <w:rPr>
          <w:rFonts w:hint="default" w:ascii="Times New Roman" w:hAnsi="Times New Roman" w:eastAsia="宋体" w:cs="Times New Roman"/>
          <w:color w:val="000000"/>
          <w:kern w:val="0"/>
          <w:sz w:val="24"/>
          <w:szCs w:val="24"/>
          <w:highlight w:val="none"/>
        </w:rPr>
        <w:t>且工程实施后，通过对临时占地的植被恢复，采取必要的生态补偿措施</w:t>
      </w:r>
      <w:r>
        <w:rPr>
          <w:rFonts w:hint="default" w:ascii="Times New Roman" w:hAnsi="Times New Roman" w:eastAsia="宋体" w:cs="Times New Roman"/>
          <w:color w:val="000000"/>
          <w:kern w:val="0"/>
          <w:sz w:val="24"/>
          <w:szCs w:val="24"/>
          <w:highlight w:val="none"/>
          <w:lang w:eastAsia="zh-CN"/>
        </w:rPr>
        <w:t>；</w:t>
      </w:r>
      <w:r>
        <w:rPr>
          <w:rFonts w:hint="default" w:ascii="Times New Roman" w:hAnsi="Times New Roman" w:eastAsia="宋体" w:cs="Times New Roman"/>
          <w:color w:val="000000"/>
          <w:kern w:val="0"/>
          <w:sz w:val="24"/>
          <w:szCs w:val="24"/>
          <w:highlight w:val="none"/>
        </w:rPr>
        <w:t>本项目</w:t>
      </w:r>
      <w:r>
        <w:rPr>
          <w:rFonts w:hint="default" w:ascii="Times New Roman" w:hAnsi="Times New Roman" w:eastAsia="宋体" w:cs="Times New Roman"/>
          <w:color w:val="000000"/>
          <w:kern w:val="0"/>
          <w:sz w:val="24"/>
          <w:szCs w:val="24"/>
          <w:highlight w:val="none"/>
          <w:lang w:val="en-US" w:eastAsia="zh-CN"/>
        </w:rPr>
        <w:t>占地范围内</w:t>
      </w:r>
      <w:r>
        <w:rPr>
          <w:rFonts w:hint="default" w:ascii="Times New Roman" w:hAnsi="Times New Roman" w:eastAsia="宋体" w:cs="Times New Roman"/>
          <w:color w:val="000000"/>
          <w:sz w:val="24"/>
          <w:szCs w:val="24"/>
          <w:highlight w:val="none"/>
        </w:rPr>
        <w:t>植被类型主要为</w:t>
      </w:r>
      <w:r>
        <w:rPr>
          <w:rFonts w:hint="default" w:ascii="Times New Roman" w:hAnsi="Times New Roman" w:eastAsia="宋体" w:cs="Times New Roman"/>
          <w:color w:val="000000"/>
          <w:sz w:val="24"/>
          <w:szCs w:val="24"/>
          <w:highlight w:val="none"/>
          <w:lang w:val="en-US" w:eastAsia="zh-CN"/>
        </w:rPr>
        <w:t>灌木、杂草</w:t>
      </w:r>
      <w:r>
        <w:rPr>
          <w:rFonts w:hint="default" w:ascii="Times New Roman" w:hAnsi="Times New Roman" w:eastAsia="宋体" w:cs="Times New Roman"/>
          <w:color w:val="000000"/>
          <w:sz w:val="24"/>
          <w:szCs w:val="24"/>
          <w:highlight w:val="none"/>
        </w:rPr>
        <w:t>，项目区植物种类资源一般</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kern w:val="0"/>
          <w:sz w:val="24"/>
          <w:szCs w:val="24"/>
          <w:highlight w:val="none"/>
        </w:rPr>
        <w:t>植被类型均属一般常见种，生长范围广，适应性强</w:t>
      </w:r>
      <w:r>
        <w:rPr>
          <w:rFonts w:hint="default" w:ascii="Times New Roman" w:hAnsi="Times New Roman" w:eastAsia="宋体" w:cs="Times New Roman"/>
          <w:color w:val="000000"/>
          <w:kern w:val="0"/>
          <w:sz w:val="24"/>
          <w:szCs w:val="24"/>
          <w:highlight w:val="none"/>
          <w:lang w:eastAsia="zh-CN"/>
        </w:rPr>
        <w:t>，</w:t>
      </w:r>
      <w:r>
        <w:rPr>
          <w:rFonts w:hint="default" w:ascii="Times New Roman" w:hAnsi="Times New Roman" w:eastAsia="宋体" w:cs="Times New Roman"/>
          <w:color w:val="000000"/>
          <w:sz w:val="24"/>
          <w:szCs w:val="24"/>
          <w:highlight w:val="none"/>
          <w:lang w:val="en-US" w:eastAsia="zh-CN"/>
        </w:rPr>
        <w:t>如沙棘、紫穗槐和扦插柳枝等</w:t>
      </w:r>
      <w:r>
        <w:rPr>
          <w:rFonts w:hint="eastAsia" w:ascii="Times New Roman" w:eastAsia="宋体" w:cs="Times New Roman"/>
          <w:color w:val="000000"/>
          <w:sz w:val="24"/>
          <w:szCs w:val="24"/>
          <w:highlight w:val="none"/>
          <w:lang w:val="en-US" w:eastAsia="zh-CN"/>
        </w:rPr>
        <w:t>，可</w:t>
      </w:r>
      <w:r>
        <w:rPr>
          <w:rFonts w:hint="default" w:ascii="Times New Roman" w:hAnsi="Times New Roman" w:eastAsia="宋体" w:cs="Times New Roman"/>
          <w:color w:val="000000"/>
          <w:sz w:val="24"/>
          <w:szCs w:val="24"/>
          <w:highlight w:val="none"/>
          <w:lang w:val="en-US" w:eastAsia="zh-CN"/>
        </w:rPr>
        <w:t>实现当年种植当年成林的景观效果；</w:t>
      </w:r>
      <w:r>
        <w:rPr>
          <w:rFonts w:hint="default" w:ascii="Times New Roman" w:hAnsi="Times New Roman" w:eastAsia="宋体" w:cs="Times New Roman"/>
          <w:color w:val="000000"/>
          <w:kern w:val="0"/>
          <w:sz w:val="24"/>
          <w:szCs w:val="24"/>
          <w:highlight w:val="none"/>
        </w:rPr>
        <w:t>项目</w:t>
      </w:r>
      <w:r>
        <w:rPr>
          <w:rFonts w:hint="default" w:ascii="Times New Roman" w:hAnsi="Times New Roman" w:eastAsia="宋体" w:cs="Times New Roman"/>
          <w:color w:val="000000"/>
          <w:kern w:val="0"/>
          <w:sz w:val="24"/>
          <w:szCs w:val="24"/>
          <w:highlight w:val="none"/>
          <w:lang w:val="en-US" w:eastAsia="zh-CN"/>
        </w:rPr>
        <w:t>在</w:t>
      </w:r>
      <w:r>
        <w:rPr>
          <w:rFonts w:hint="default" w:ascii="Times New Roman" w:hAnsi="Times New Roman" w:eastAsia="宋体" w:cs="Times New Roman"/>
          <w:color w:val="000000"/>
          <w:kern w:val="0"/>
          <w:sz w:val="24"/>
          <w:szCs w:val="24"/>
          <w:highlight w:val="none"/>
        </w:rPr>
        <w:t>采取必要的生态补偿措施</w:t>
      </w:r>
      <w:r>
        <w:rPr>
          <w:rFonts w:hint="default" w:ascii="Times New Roman" w:hAnsi="Times New Roman" w:eastAsia="宋体" w:cs="Times New Roman"/>
          <w:color w:val="000000"/>
          <w:kern w:val="0"/>
          <w:sz w:val="24"/>
          <w:szCs w:val="24"/>
          <w:highlight w:val="none"/>
          <w:lang w:val="en-US" w:eastAsia="zh-CN"/>
        </w:rPr>
        <w:t>-植被恢复后，</w:t>
      </w:r>
      <w:r>
        <w:rPr>
          <w:rFonts w:hint="default" w:ascii="Times New Roman" w:hAnsi="Times New Roman" w:eastAsia="宋体" w:cs="Times New Roman"/>
          <w:color w:val="000000"/>
          <w:sz w:val="24"/>
          <w:szCs w:val="24"/>
          <w:highlight w:val="none"/>
        </w:rPr>
        <w:t>项目</w:t>
      </w:r>
      <w:r>
        <w:rPr>
          <w:rFonts w:hint="default" w:ascii="Times New Roman" w:hAnsi="Times New Roman" w:eastAsia="宋体" w:cs="Times New Roman"/>
          <w:color w:val="000000"/>
          <w:kern w:val="0"/>
          <w:sz w:val="24"/>
          <w:szCs w:val="24"/>
          <w:highlight w:val="none"/>
        </w:rPr>
        <w:t>临时占地</w:t>
      </w:r>
      <w:r>
        <w:rPr>
          <w:rFonts w:hint="default" w:ascii="Times New Roman" w:hAnsi="Times New Roman" w:eastAsia="宋体" w:cs="Times New Roman"/>
          <w:color w:val="000000"/>
          <w:kern w:val="0"/>
          <w:sz w:val="24"/>
          <w:szCs w:val="24"/>
          <w:highlight w:val="none"/>
          <w:lang w:val="en-US" w:eastAsia="zh-CN"/>
        </w:rPr>
        <w:t>的生态环境得到重建</w:t>
      </w:r>
      <w:r>
        <w:rPr>
          <w:rFonts w:hint="default" w:ascii="Times New Roman" w:hAnsi="Times New Roman" w:eastAsia="宋体" w:cs="Times New Roman"/>
          <w:color w:val="000000"/>
          <w:kern w:val="0"/>
          <w:sz w:val="24"/>
          <w:szCs w:val="24"/>
          <w:highlight w:val="none"/>
          <w:lang w:eastAsia="zh-CN"/>
        </w:rPr>
        <w:t>，</w:t>
      </w:r>
      <w:r>
        <w:rPr>
          <w:rFonts w:hint="default" w:ascii="Times New Roman" w:hAnsi="Times New Roman" w:eastAsia="宋体" w:cs="Times New Roman"/>
          <w:color w:val="000000"/>
          <w:kern w:val="0"/>
          <w:sz w:val="24"/>
          <w:szCs w:val="24"/>
          <w:highlight w:val="none"/>
        </w:rPr>
        <w:t>因此，项目建设对区域植被影响很小，</w:t>
      </w:r>
      <w:r>
        <w:rPr>
          <w:rFonts w:hint="default" w:ascii="Times New Roman" w:hAnsi="Times New Roman" w:eastAsia="宋体" w:cs="Times New Roman"/>
          <w:color w:val="000000"/>
          <w:kern w:val="0"/>
          <w:sz w:val="24"/>
          <w:szCs w:val="24"/>
          <w:highlight w:val="none"/>
          <w:lang w:val="en-US" w:eastAsia="zh-CN"/>
        </w:rPr>
        <w:t>且本项目随着生态护岸的建成，可减小区域</w:t>
      </w:r>
      <w:r>
        <w:rPr>
          <w:rFonts w:hint="default" w:ascii="Times New Roman" w:hAnsi="Times New Roman" w:eastAsia="宋体" w:cs="Times New Roman"/>
          <w:color w:val="000000"/>
          <w:kern w:val="0"/>
          <w:sz w:val="24"/>
          <w:szCs w:val="24"/>
          <w:highlight w:val="none"/>
        </w:rPr>
        <w:t>水土流失</w:t>
      </w:r>
      <w:r>
        <w:rPr>
          <w:rFonts w:hint="default" w:ascii="Times New Roman" w:hAnsi="Times New Roman" w:eastAsia="宋体" w:cs="Times New Roman"/>
          <w:color w:val="000000"/>
          <w:kern w:val="0"/>
          <w:sz w:val="24"/>
          <w:szCs w:val="24"/>
          <w:highlight w:val="none"/>
          <w:lang w:val="en-US" w:eastAsia="zh-CN"/>
        </w:rPr>
        <w:t>的机会，因此，项目的建设</w:t>
      </w:r>
      <w:r>
        <w:rPr>
          <w:rFonts w:hint="default" w:ascii="Times New Roman" w:hAnsi="Times New Roman" w:eastAsia="宋体" w:cs="Times New Roman"/>
          <w:color w:val="000000"/>
          <w:kern w:val="0"/>
          <w:sz w:val="24"/>
          <w:szCs w:val="24"/>
          <w:highlight w:val="none"/>
        </w:rPr>
        <w:t>不会改变区域的水源涵养功能。</w:t>
      </w:r>
    </w:p>
    <w:p>
      <w:pPr>
        <w:bidi w:val="0"/>
        <w:rPr>
          <w:rFonts w:hint="eastAsia"/>
          <w:sz w:val="24"/>
          <w:szCs w:val="24"/>
          <w:lang w:val="en-US" w:eastAsia="zh-CN"/>
        </w:rPr>
      </w:pPr>
      <w:r>
        <w:rPr>
          <w:rFonts w:hint="eastAsia"/>
          <w:lang w:val="en-US" w:eastAsia="zh-CN"/>
        </w:rPr>
        <w:t>（5）对</w:t>
      </w:r>
      <w:r>
        <w:rPr>
          <w:rFonts w:hint="eastAsia" w:cs="Times New Roman"/>
          <w:color w:val="auto"/>
          <w:spacing w:val="-2"/>
          <w:kern w:val="0"/>
          <w:sz w:val="24"/>
          <w:szCs w:val="24"/>
          <w:vertAlign w:val="baseline"/>
          <w:lang w:eastAsia="zh-CN"/>
        </w:rPr>
        <w:t>自然景观的影响</w:t>
      </w:r>
    </w:p>
    <w:p>
      <w:pPr>
        <w:bidi w:val="0"/>
        <w:rPr>
          <w:rFonts w:hint="eastAsia"/>
          <w:lang w:val="en-US" w:eastAsia="zh-CN"/>
        </w:rPr>
      </w:pPr>
      <w:r>
        <w:rPr>
          <w:rFonts w:hint="eastAsia"/>
          <w:lang w:eastAsia="zh-CN"/>
        </w:rPr>
        <w:t>工程建设期内河道疏浚工程、河岸岸堤建设会对</w:t>
      </w:r>
      <w:r>
        <w:rPr>
          <w:rFonts w:hint="eastAsia"/>
          <w:lang w:val="en-US" w:eastAsia="zh-CN"/>
        </w:rPr>
        <w:t>自然景观-河流景观造成暂时性破坏，河岸缓冲带生态建设工程将会使得破坏的自然景观得到恢复和补偿，工程总体对于自然景观的破坏是暂时的，随着施工期</w:t>
      </w:r>
      <w:r>
        <w:rPr>
          <w:rFonts w:hint="eastAsia"/>
          <w:lang w:eastAsia="zh-CN"/>
        </w:rPr>
        <w:t>结束不利影响将会消失，自然景观可以得到修复，属于短期可逆影响。</w:t>
      </w:r>
    </w:p>
    <w:p>
      <w:pPr>
        <w:pStyle w:val="5"/>
      </w:pPr>
      <w:bookmarkStart w:id="533" w:name="_Toc3513"/>
      <w:r>
        <w:t>5.2 生产运行阶段环境影响</w:t>
      </w:r>
      <w:bookmarkEnd w:id="462"/>
      <w:bookmarkEnd w:id="463"/>
      <w:bookmarkEnd w:id="464"/>
      <w:bookmarkEnd w:id="465"/>
      <w:bookmarkEnd w:id="466"/>
      <w:bookmarkEnd w:id="467"/>
      <w:bookmarkEnd w:id="468"/>
      <w:r>
        <w:t>预测与评价</w:t>
      </w:r>
      <w:bookmarkEnd w:id="469"/>
      <w:bookmarkEnd w:id="470"/>
      <w:bookmarkEnd w:id="533"/>
    </w:p>
    <w:p>
      <w:pPr>
        <w:pStyle w:val="6"/>
      </w:pPr>
      <w:bookmarkStart w:id="534" w:name="_Toc324769769"/>
      <w:bookmarkStart w:id="535" w:name="_Toc324770231"/>
      <w:bookmarkStart w:id="536" w:name="_Toc326754982"/>
      <w:bookmarkStart w:id="537" w:name="_Toc286835732"/>
      <w:bookmarkStart w:id="538" w:name="_Toc332632577"/>
      <w:bookmarkStart w:id="539" w:name="_Toc286934667"/>
      <w:bookmarkStart w:id="540" w:name="_Toc282946155"/>
      <w:bookmarkStart w:id="541" w:name="_Toc282959725"/>
      <w:bookmarkStart w:id="542" w:name="_Toc283110200"/>
      <w:bookmarkStart w:id="543" w:name="_Toc470785884"/>
      <w:bookmarkStart w:id="544" w:name="_Toc6054"/>
      <w:bookmarkStart w:id="545" w:name="_Toc23503"/>
      <w:r>
        <w:t xml:space="preserve">5.2.1 </w:t>
      </w:r>
      <w:bookmarkEnd w:id="471"/>
      <w:bookmarkEnd w:id="534"/>
      <w:bookmarkEnd w:id="535"/>
      <w:bookmarkEnd w:id="536"/>
      <w:bookmarkEnd w:id="537"/>
      <w:bookmarkEnd w:id="538"/>
      <w:bookmarkEnd w:id="539"/>
      <w:bookmarkEnd w:id="540"/>
      <w:bookmarkEnd w:id="541"/>
      <w:bookmarkEnd w:id="542"/>
      <w:bookmarkEnd w:id="543"/>
      <w:bookmarkEnd w:id="544"/>
      <w:r>
        <w:rPr>
          <w:rFonts w:hint="eastAsia"/>
        </w:rPr>
        <w:t>生产运行阶段地表水环境影响分析</w:t>
      </w:r>
      <w:bookmarkEnd w:id="545"/>
    </w:p>
    <w:p>
      <w:pPr>
        <w:ind w:firstLine="542"/>
        <w:rPr>
          <w:b/>
          <w:bCs/>
        </w:rPr>
      </w:pPr>
      <w:r>
        <w:rPr>
          <w:b/>
          <w:bCs/>
        </w:rPr>
        <w:t>（1）地表水水质影响分析</w:t>
      </w:r>
    </w:p>
    <w:p>
      <w:pPr>
        <w:ind w:firstLine="540"/>
      </w:pPr>
      <w:r>
        <w:t>本项目为河道治理工程，项目种植的水生植物可有效吸附净化水中的污染物，可有效的改善本段河道及下游水质；生态护岸的建设将有效减少居民产生的生活垃圾等面源污染直接进入河流，生态护岸工程将使部分岸线较建设前明确，部分岸线、河道及滩地将不再遭受侵占，水土流失将得到有效控制。上述工程措施正式投运后，河流的水质将直接得到提升，对于维护河流水生生态的长期平衡。</w:t>
      </w:r>
    </w:p>
    <w:p>
      <w:pPr>
        <w:ind w:firstLine="542"/>
        <w:rPr>
          <w:b/>
          <w:bCs/>
        </w:rPr>
      </w:pPr>
      <w:r>
        <w:rPr>
          <w:b/>
          <w:bCs/>
        </w:rPr>
        <w:t>（2）水文要素影响分析</w:t>
      </w:r>
    </w:p>
    <w:p>
      <w:pPr>
        <w:ind w:firstLine="540"/>
      </w:pPr>
      <w:r>
        <w:t>根据导则要求，水文要素影响型建设项目水文情势预测分析主要包括水域形态、径流条件、水文条件以及冲淤变化等内容，根据河道整治工程的特点，水量、水温和水面宽等水文要素影响较小，主要针对径流过程、水位和冲淤变化等水文要素进行影响分析。</w:t>
      </w:r>
    </w:p>
    <w:p>
      <w:pPr>
        <w:ind w:firstLine="540"/>
      </w:pPr>
      <w:r>
        <w:t>①水面宽及流速</w:t>
      </w:r>
    </w:p>
    <w:p>
      <w:pPr>
        <w:ind w:firstLine="540"/>
      </w:pPr>
      <w:r>
        <w:t>项目整治河段位于山谷地区，山区河道比降较陡，河道淤积等对河流水面线影响较大的因素在比降较陡的山区河道影响趋于平缓，类比同类项目，山区河道整治工程对河流水面线的影响一般在0.01-0.1m之间。项目对河道进行整治，不会导致河道整体纵坡发生明显变化，不会导致河流流速发生明显变化，同时项目河道整治工程依照现有河道宽度进行，不会导致河道水面宽度发生变化。</w:t>
      </w:r>
    </w:p>
    <w:p>
      <w:pPr>
        <w:ind w:firstLine="540"/>
      </w:pPr>
      <w:r>
        <w:t>②泥沙冲淤分析</w:t>
      </w:r>
    </w:p>
    <w:p>
      <w:pPr>
        <w:ind w:firstLine="540"/>
      </w:pPr>
      <w:r>
        <w:t>项目河道治理后，</w:t>
      </w:r>
      <w:r>
        <w:rPr>
          <w:szCs w:val="24"/>
        </w:rPr>
        <w:t>水流</w:t>
      </w:r>
      <w:r>
        <w:t>挟沙力下降，治理河段河床总体上可能出现淤积，但由于泥沙含量较高的河水主要在出现在洪水期6-9月，此时径流量较大，流速高，此时淤积量较少。其余时段水中泥沙含量较低，一般不会发生河道淤积。</w:t>
      </w:r>
    </w:p>
    <w:p>
      <w:pPr>
        <w:ind w:firstLine="540"/>
      </w:pPr>
      <w:r>
        <w:t>③水量、水温</w:t>
      </w:r>
    </w:p>
    <w:p>
      <w:pPr>
        <w:ind w:firstLine="540"/>
      </w:pPr>
      <w:r>
        <w:t>项目对河道进行治理，无拦河建坝工程和取水工程，因此项目的建设运行不会导致河流的水温出现分层，不会导致河道径流流量发生明显变化。</w:t>
      </w:r>
    </w:p>
    <w:p>
      <w:pPr>
        <w:ind w:firstLine="540"/>
      </w:pPr>
      <w:r>
        <w:t>④水深、水位</w:t>
      </w:r>
    </w:p>
    <w:p>
      <w:pPr>
        <w:ind w:firstLine="540"/>
      </w:pPr>
      <w:r>
        <w:t>项目河道治理工程依照现状岸坡形势进行整治，不改变河流的整体走向和河势，项目的实施在保证岸坡整体稳定的前提下，对河道进行清理，清理后的河流整体径流量较清理前无明显变化，在水面宽度不变的情况下，不会导致河流的水深和水位发生变化。</w:t>
      </w:r>
    </w:p>
    <w:p>
      <w:pPr>
        <w:ind w:firstLine="540"/>
      </w:pPr>
      <w:r>
        <w:t>⑤径流过程</w:t>
      </w:r>
    </w:p>
    <w:p>
      <w:pPr>
        <w:ind w:firstLine="540"/>
      </w:pPr>
      <w:r>
        <w:t>项目河道整治工程实施后，河流流速和流量不会发生改变，河道内径流流量规律不会受本项目的影响，河道径流补充仍为自然降水补充。径流年内的分配和降水的年内分配的一致性不会被打破，河流的丰枯的季节性变化不会发生改变。综上，项目的实施不会对</w:t>
      </w:r>
      <w:r>
        <w:rPr>
          <w:rFonts w:hint="eastAsia"/>
        </w:rPr>
        <w:t>柳河</w:t>
      </w:r>
      <w:r>
        <w:t>的径流过程产生明显影响。</w:t>
      </w:r>
    </w:p>
    <w:p>
      <w:pPr>
        <w:pStyle w:val="6"/>
      </w:pPr>
      <w:bookmarkStart w:id="546" w:name="_Toc286934668"/>
      <w:bookmarkStart w:id="547" w:name="_Toc269200647"/>
      <w:bookmarkStart w:id="548" w:name="_Toc283110201"/>
      <w:bookmarkStart w:id="549" w:name="_Toc332632578"/>
      <w:bookmarkStart w:id="550" w:name="_Toc326754983"/>
      <w:bookmarkStart w:id="551" w:name="_Toc282959726"/>
      <w:bookmarkStart w:id="552" w:name="_Toc24736"/>
      <w:bookmarkStart w:id="553" w:name="_Toc324770233"/>
      <w:bookmarkStart w:id="554" w:name="_Toc286835733"/>
      <w:bookmarkStart w:id="555" w:name="_Toc324769771"/>
      <w:bookmarkStart w:id="556" w:name="_Toc282946156"/>
      <w:bookmarkStart w:id="557" w:name="_Toc470785885"/>
      <w:bookmarkStart w:id="558" w:name="_Toc940"/>
      <w:r>
        <w:t xml:space="preserve">5.2.2 </w:t>
      </w:r>
      <w:bookmarkEnd w:id="546"/>
      <w:bookmarkEnd w:id="547"/>
      <w:bookmarkEnd w:id="548"/>
      <w:bookmarkEnd w:id="549"/>
      <w:bookmarkEnd w:id="550"/>
      <w:bookmarkEnd w:id="551"/>
      <w:bookmarkEnd w:id="552"/>
      <w:bookmarkEnd w:id="553"/>
      <w:bookmarkEnd w:id="554"/>
      <w:bookmarkEnd w:id="555"/>
      <w:bookmarkEnd w:id="556"/>
      <w:bookmarkEnd w:id="557"/>
      <w:bookmarkStart w:id="559" w:name="_Toc286934669"/>
      <w:bookmarkStart w:id="560" w:name="_Toc286835734"/>
      <w:bookmarkStart w:id="561" w:name="_Toc282946157"/>
      <w:bookmarkStart w:id="562" w:name="_Toc282959727"/>
      <w:bookmarkStart w:id="563" w:name="_Toc283110202"/>
      <w:r>
        <w:t>生产运行阶段地下水环境影响分析</w:t>
      </w:r>
      <w:bookmarkEnd w:id="558"/>
    </w:p>
    <w:p>
      <w:pPr>
        <w:ind w:firstLine="540"/>
        <w:rPr>
          <w:szCs w:val="24"/>
        </w:rPr>
      </w:pPr>
      <w:r>
        <w:rPr>
          <w:szCs w:val="24"/>
        </w:rPr>
        <w:t>项目运营期无水污染物的产生和排放，因此本次评价不对污染物进入潜水含水层或污染物直接进入含水层的情景进行预测。</w:t>
      </w:r>
    </w:p>
    <w:p>
      <w:pPr>
        <w:ind w:firstLine="540"/>
        <w:rPr>
          <w:szCs w:val="24"/>
        </w:rPr>
      </w:pPr>
      <w:r>
        <w:rPr>
          <w:szCs w:val="24"/>
        </w:rPr>
        <w:t>项目运营期无水污染的产生和排放，根据区域地下水质量监测结果，项目区域地下水现状质量满足《地下水质量标准》（GB/T14848-2017）中的Ⅲ类标准要求。在本项目建成后，随着地表水环境质量不断提升，与地表水水力联系密切的地下水质量也会随之得到进一步的提升和改善。因此在项目实施后，区域地下水中的各项监测因子的标准指数将进一步降低，在无其他污染源影响的情况下，不会出现超标情况。</w:t>
      </w:r>
    </w:p>
    <w:p>
      <w:pPr>
        <w:ind w:firstLine="540"/>
        <w:rPr>
          <w:szCs w:val="24"/>
        </w:rPr>
      </w:pPr>
      <w:r>
        <w:rPr>
          <w:szCs w:val="24"/>
        </w:rPr>
        <w:t>根据《环境影响评价技术导则 地下水环境》（HJ610-2016）中10.4评价结论要求，项目实施的各个不同阶段，项目评价范围内的全部区域地下水质量均能满足《地下水质量标准》（GB/T14848-2017）中的Ⅲ类标准要求，因此项目的建设实施对地下水环境影响可接受。</w:t>
      </w:r>
    </w:p>
    <w:p>
      <w:pPr>
        <w:pStyle w:val="6"/>
      </w:pPr>
      <w:bookmarkStart w:id="564" w:name="_Toc324769774"/>
      <w:bookmarkStart w:id="565" w:name="_Toc326754986"/>
      <w:bookmarkStart w:id="566" w:name="_Toc27359"/>
      <w:bookmarkStart w:id="567" w:name="_Toc332632581"/>
      <w:bookmarkStart w:id="568" w:name="_Toc324770236"/>
      <w:bookmarkStart w:id="569" w:name="_Toc470785886"/>
      <w:bookmarkStart w:id="570" w:name="_Toc9194"/>
      <w:r>
        <w:t xml:space="preserve">5.2.3 </w:t>
      </w:r>
      <w:bookmarkEnd w:id="559"/>
      <w:bookmarkEnd w:id="560"/>
      <w:bookmarkEnd w:id="561"/>
      <w:bookmarkEnd w:id="562"/>
      <w:bookmarkEnd w:id="563"/>
      <w:bookmarkEnd w:id="564"/>
      <w:bookmarkEnd w:id="565"/>
      <w:bookmarkEnd w:id="566"/>
      <w:bookmarkEnd w:id="567"/>
      <w:bookmarkEnd w:id="568"/>
      <w:bookmarkEnd w:id="569"/>
      <w:bookmarkStart w:id="571" w:name="_Toc286835738"/>
      <w:bookmarkStart w:id="572" w:name="_Toc283110206"/>
      <w:bookmarkStart w:id="573" w:name="_Toc282959731"/>
      <w:bookmarkStart w:id="574" w:name="_Toc332632587"/>
      <w:bookmarkStart w:id="575" w:name="_Toc470785887"/>
      <w:bookmarkStart w:id="576" w:name="_Toc13582"/>
      <w:bookmarkStart w:id="577" w:name="_Toc324769780"/>
      <w:bookmarkStart w:id="578" w:name="_Toc282946161"/>
      <w:bookmarkStart w:id="579" w:name="_Toc286934673"/>
      <w:bookmarkStart w:id="580" w:name="_Toc326754992"/>
      <w:bookmarkStart w:id="581" w:name="_Toc324770242"/>
      <w:r>
        <w:t>生产运行阶段生态环境影响分析</w:t>
      </w:r>
      <w:bookmarkEnd w:id="570"/>
    </w:p>
    <w:p>
      <w:pPr>
        <w:ind w:firstLine="542"/>
        <w:rPr>
          <w:b/>
          <w:bCs/>
          <w:szCs w:val="24"/>
        </w:rPr>
      </w:pPr>
      <w:r>
        <w:rPr>
          <w:b/>
          <w:bCs/>
          <w:szCs w:val="24"/>
        </w:rPr>
        <w:t>（1）对陆生植物的影响</w:t>
      </w:r>
    </w:p>
    <w:p>
      <w:pPr>
        <w:ind w:firstLine="540"/>
        <w:rPr>
          <w:szCs w:val="24"/>
        </w:rPr>
      </w:pPr>
      <w:r>
        <w:rPr>
          <w:szCs w:val="24"/>
        </w:rPr>
        <w:t>项目生态护岸的建设，增加了地表植被的覆盖面积，有效地恢复和缓解了施工期临时占地对植被的不利影响，有效的增加了区域内的总体生物量，使区域内的生物多样性增加，食物链趋向复杂，有效的提升了区域内自然生态系统的整体稳定性。</w:t>
      </w:r>
    </w:p>
    <w:p>
      <w:pPr>
        <w:ind w:firstLine="542"/>
        <w:rPr>
          <w:b/>
          <w:bCs/>
          <w:szCs w:val="24"/>
        </w:rPr>
      </w:pPr>
      <w:r>
        <w:rPr>
          <w:b/>
          <w:bCs/>
          <w:szCs w:val="24"/>
        </w:rPr>
        <w:t>（2）对水生动植物的影响</w:t>
      </w:r>
    </w:p>
    <w:p>
      <w:pPr>
        <w:ind w:firstLine="542"/>
        <w:rPr>
          <w:b/>
          <w:bCs/>
          <w:szCs w:val="24"/>
        </w:rPr>
      </w:pPr>
      <w:r>
        <w:rPr>
          <w:b/>
          <w:bCs/>
          <w:szCs w:val="24"/>
        </w:rPr>
        <w:t>①对水生植物的影响</w:t>
      </w:r>
    </w:p>
    <w:p>
      <w:pPr>
        <w:ind w:firstLine="540"/>
        <w:rPr>
          <w:szCs w:val="24"/>
        </w:rPr>
      </w:pPr>
      <w:r>
        <w:rPr>
          <w:szCs w:val="24"/>
        </w:rPr>
        <w:t>项目</w:t>
      </w:r>
      <w:r>
        <w:rPr>
          <w:rFonts w:hint="eastAsia"/>
          <w:szCs w:val="24"/>
        </w:rPr>
        <w:t>建设有利于降低生活污水面源污染对河流水质的不利影响，河道工程和水生植物的栽植有利于提高水体自净能力，</w:t>
      </w:r>
      <w:r>
        <w:rPr>
          <w:szCs w:val="24"/>
        </w:rPr>
        <w:t>有利于沉水植物和浮游植物的生长，同时项目水生植物种植工程</w:t>
      </w:r>
      <w:r>
        <w:rPr>
          <w:rFonts w:hint="eastAsia"/>
          <w:szCs w:val="24"/>
        </w:rPr>
        <w:t>本身也</w:t>
      </w:r>
      <w:r>
        <w:rPr>
          <w:szCs w:val="24"/>
        </w:rPr>
        <w:t>对水生生物的恢复起到了积极的促进作用，因此项目的运行将有利于水生植物的繁殖和发展。</w:t>
      </w:r>
    </w:p>
    <w:p>
      <w:pPr>
        <w:ind w:firstLine="542"/>
        <w:rPr>
          <w:b/>
          <w:bCs/>
          <w:szCs w:val="24"/>
        </w:rPr>
      </w:pPr>
      <w:r>
        <w:rPr>
          <w:b/>
          <w:bCs/>
          <w:szCs w:val="24"/>
        </w:rPr>
        <w:t>②对浮游生物的影响</w:t>
      </w:r>
    </w:p>
    <w:p>
      <w:pPr>
        <w:ind w:firstLine="540"/>
        <w:rPr>
          <w:szCs w:val="24"/>
        </w:rPr>
      </w:pPr>
      <w:r>
        <w:rPr>
          <w:szCs w:val="24"/>
        </w:rPr>
        <w:t>运营期间，</w:t>
      </w:r>
      <w:r>
        <w:rPr>
          <w:rFonts w:hint="eastAsia"/>
          <w:szCs w:val="24"/>
        </w:rPr>
        <w:t>项目</w:t>
      </w:r>
      <w:r>
        <w:rPr>
          <w:rFonts w:hint="eastAsia"/>
          <w:szCs w:val="24"/>
          <w:lang w:eastAsia="zh-CN"/>
        </w:rPr>
        <w:t>生态护岸</w:t>
      </w:r>
      <w:r>
        <w:rPr>
          <w:rFonts w:hint="eastAsia"/>
          <w:szCs w:val="24"/>
        </w:rPr>
        <w:t>不影响浮游动物运移，</w:t>
      </w:r>
      <w:r>
        <w:rPr>
          <w:rFonts w:hint="eastAsia"/>
          <w:szCs w:val="24"/>
          <w:lang w:eastAsia="zh-CN"/>
        </w:rPr>
        <w:t>对于</w:t>
      </w:r>
      <w:r>
        <w:rPr>
          <w:szCs w:val="24"/>
        </w:rPr>
        <w:t>水中的浮游生物的生长</w:t>
      </w:r>
      <w:r>
        <w:rPr>
          <w:rFonts w:hint="eastAsia"/>
          <w:szCs w:val="24"/>
          <w:lang w:eastAsia="zh-CN"/>
        </w:rPr>
        <w:t>不会产生不利影响</w:t>
      </w:r>
      <w:r>
        <w:rPr>
          <w:szCs w:val="24"/>
        </w:rPr>
        <w:t>。</w:t>
      </w:r>
    </w:p>
    <w:p>
      <w:pPr>
        <w:ind w:firstLine="542"/>
        <w:rPr>
          <w:b/>
          <w:bCs/>
          <w:szCs w:val="24"/>
        </w:rPr>
      </w:pPr>
      <w:r>
        <w:rPr>
          <w:b/>
          <w:bCs/>
          <w:szCs w:val="24"/>
        </w:rPr>
        <w:t>③对底栖生物的影响</w:t>
      </w:r>
    </w:p>
    <w:p>
      <w:pPr>
        <w:ind w:firstLine="540"/>
        <w:rPr>
          <w:szCs w:val="24"/>
        </w:rPr>
      </w:pPr>
      <w:r>
        <w:rPr>
          <w:szCs w:val="24"/>
        </w:rPr>
        <w:t>运营期间，由于地表水质不断向善向好发展，底栖生态系统将迅速恢复，达到新的平衡状态，底栖生物多样性也将得到恢复，河道</w:t>
      </w:r>
      <w:r>
        <w:rPr>
          <w:rFonts w:hint="eastAsia"/>
          <w:szCs w:val="24"/>
          <w:lang w:eastAsia="zh-CN"/>
        </w:rPr>
        <w:t>疏浚</w:t>
      </w:r>
      <w:r>
        <w:rPr>
          <w:szCs w:val="24"/>
        </w:rPr>
        <w:t>工程的实施将导致底栖生物河底生境面积的扩大和水流环境的改善，有利于底栖生物多样性的增加。</w:t>
      </w:r>
    </w:p>
    <w:p>
      <w:pPr>
        <w:ind w:firstLine="542"/>
        <w:rPr>
          <w:b/>
          <w:bCs/>
          <w:szCs w:val="24"/>
        </w:rPr>
      </w:pPr>
      <w:r>
        <w:rPr>
          <w:b/>
          <w:bCs/>
          <w:szCs w:val="24"/>
        </w:rPr>
        <w:t>④对鱼类的影响</w:t>
      </w:r>
    </w:p>
    <w:p>
      <w:pPr>
        <w:ind w:firstLine="540"/>
        <w:rPr>
          <w:szCs w:val="24"/>
        </w:rPr>
      </w:pPr>
      <w:r>
        <w:rPr>
          <w:szCs w:val="24"/>
        </w:rPr>
        <w:t>生态</w:t>
      </w:r>
      <w:r>
        <w:rPr>
          <w:rFonts w:hint="eastAsia"/>
          <w:szCs w:val="24"/>
          <w:lang w:eastAsia="zh-CN"/>
        </w:rPr>
        <w:t>护岸</w:t>
      </w:r>
      <w:r>
        <w:rPr>
          <w:szCs w:val="24"/>
        </w:rPr>
        <w:t>为格宾石笼结构，</w:t>
      </w:r>
      <w:r>
        <w:rPr>
          <w:rFonts w:hint="eastAsia"/>
          <w:szCs w:val="24"/>
          <w:lang w:eastAsia="zh-CN"/>
        </w:rPr>
        <w:t>属于岸坡工程，不会影响水流行洪能力，</w:t>
      </w:r>
      <w:r>
        <w:rPr>
          <w:szCs w:val="24"/>
        </w:rPr>
        <w:t>对水中低级鱼类的巡游、索饵影响较小。河道清理后，浮游生物、沉水植物的多样性将会增加，为仔幼鱼的索饵创造了良好条件；河道清理和</w:t>
      </w:r>
      <w:r>
        <w:rPr>
          <w:rFonts w:hint="eastAsia"/>
          <w:szCs w:val="24"/>
          <w:lang w:eastAsia="zh-CN"/>
        </w:rPr>
        <w:t>生态护岸</w:t>
      </w:r>
      <w:r>
        <w:rPr>
          <w:szCs w:val="24"/>
        </w:rPr>
        <w:t>的建设将会重新构建一些鱼类的结构化的栖息地，相对工程建设前，增加了不同深度的结构化栖息地，会使得鱼类更加多样化；新的生态系统一旦建立，河流生态系统将更加开放，鱼类生境的片段化将会得到改善，不同种群基因交流加强，有利于鱼类多样性的增加。</w:t>
      </w:r>
    </w:p>
    <w:p>
      <w:pPr>
        <w:ind w:firstLine="542"/>
        <w:rPr>
          <w:b/>
          <w:bCs/>
          <w:szCs w:val="24"/>
        </w:rPr>
      </w:pPr>
      <w:r>
        <w:rPr>
          <w:b/>
          <w:bCs/>
          <w:szCs w:val="24"/>
        </w:rPr>
        <w:t>⑤对水生生态的影响</w:t>
      </w:r>
    </w:p>
    <w:p>
      <w:pPr>
        <w:ind w:firstLine="540"/>
        <w:rPr>
          <w:szCs w:val="24"/>
        </w:rPr>
        <w:sectPr>
          <w:footerReference r:id="rId22" w:type="default"/>
          <w:pgSz w:w="11906" w:h="16838"/>
          <w:pgMar w:top="1701" w:right="1701" w:bottom="1701" w:left="1701" w:header="1020" w:footer="992" w:gutter="0"/>
          <w:cols w:space="425" w:num="1"/>
          <w:docGrid w:linePitch="326" w:charSpace="0"/>
        </w:sectPr>
      </w:pPr>
      <w:r>
        <w:rPr>
          <w:szCs w:val="24"/>
        </w:rPr>
        <w:t>本工程实施后，水质变清，水流增加，水生生境得到改善，为水生生物创造了良好的生存条件，将有利于浮游植物的繁殖和发展；随着浮游植物丰度和生物量的不断增加，浮游动物的丰度和生物量也会逐渐恢复；治理后的河流运行后底质会有所改善，同时一些绿化植被、水生植物的生长，可以为底栖动物提供更为丰富的栖息环境，从而增加底栖动物的多样性和数量，特别是腹足类的种类和数量会增加；河流治理后水面加宽，水流增加，鱼类生境得以恢复，特别是作为鱼类天然饵料的浮游植物和浮游动物逐渐发展起来，为鱼类生存和生长创造了较有利的条件。</w:t>
      </w:r>
    </w:p>
    <w:bookmarkEnd w:id="571"/>
    <w:bookmarkEnd w:id="572"/>
    <w:bookmarkEnd w:id="573"/>
    <w:bookmarkEnd w:id="574"/>
    <w:bookmarkEnd w:id="575"/>
    <w:bookmarkEnd w:id="576"/>
    <w:bookmarkEnd w:id="577"/>
    <w:bookmarkEnd w:id="578"/>
    <w:bookmarkEnd w:id="579"/>
    <w:bookmarkEnd w:id="580"/>
    <w:bookmarkEnd w:id="581"/>
    <w:p>
      <w:pPr>
        <w:pStyle w:val="3"/>
        <w:rPr>
          <w:rFonts w:ascii="Times New Roman" w:hAnsi="Times New Roman"/>
        </w:rPr>
      </w:pPr>
      <w:bookmarkStart w:id="582" w:name="_Toc20764"/>
      <w:r>
        <w:rPr>
          <w:rFonts w:ascii="Times New Roman" w:hAnsi="Times New Roman"/>
        </w:rPr>
        <w:t>第六章 环境保护措施及其可行性论证</w:t>
      </w:r>
      <w:bookmarkEnd w:id="472"/>
      <w:bookmarkEnd w:id="473"/>
      <w:bookmarkEnd w:id="474"/>
      <w:bookmarkEnd w:id="475"/>
      <w:bookmarkEnd w:id="476"/>
      <w:bookmarkEnd w:id="477"/>
      <w:bookmarkEnd w:id="478"/>
      <w:bookmarkEnd w:id="479"/>
      <w:bookmarkEnd w:id="480"/>
      <w:bookmarkEnd w:id="582"/>
    </w:p>
    <w:p>
      <w:pPr>
        <w:pStyle w:val="5"/>
      </w:pPr>
      <w:bookmarkStart w:id="583" w:name="_Toc269200652"/>
      <w:bookmarkStart w:id="584" w:name="_Toc326754997"/>
      <w:bookmarkStart w:id="585" w:name="_Toc286835741"/>
      <w:bookmarkStart w:id="586" w:name="_Toc283110209"/>
      <w:bookmarkStart w:id="587" w:name="_Toc286934676"/>
      <w:bookmarkStart w:id="588" w:name="_Toc24436"/>
      <w:bookmarkStart w:id="589" w:name="_Toc332632592"/>
      <w:bookmarkStart w:id="590" w:name="_Toc282959734"/>
      <w:bookmarkStart w:id="591" w:name="_Toc282946164"/>
      <w:bookmarkStart w:id="592" w:name="_Toc470785891"/>
      <w:r>
        <w:t>6.1 建设阶段污染防治措施</w:t>
      </w:r>
      <w:bookmarkEnd w:id="583"/>
      <w:r>
        <w:t>及其可行性论证</w:t>
      </w:r>
      <w:bookmarkEnd w:id="584"/>
      <w:bookmarkEnd w:id="585"/>
      <w:bookmarkEnd w:id="586"/>
      <w:bookmarkEnd w:id="587"/>
      <w:bookmarkEnd w:id="588"/>
      <w:bookmarkEnd w:id="589"/>
      <w:bookmarkEnd w:id="590"/>
      <w:bookmarkEnd w:id="591"/>
      <w:bookmarkEnd w:id="592"/>
    </w:p>
    <w:p>
      <w:pPr>
        <w:pStyle w:val="6"/>
      </w:pPr>
      <w:bookmarkStart w:id="593" w:name="_Toc282959735"/>
      <w:bookmarkStart w:id="594" w:name="_Toc286934677"/>
      <w:bookmarkStart w:id="595" w:name="_Toc283110210"/>
      <w:bookmarkStart w:id="596" w:name="_Toc282946165"/>
      <w:bookmarkStart w:id="597" w:name="_Toc29593"/>
      <w:bookmarkStart w:id="598" w:name="_Toc470785892"/>
      <w:bookmarkStart w:id="599" w:name="_Toc324770248"/>
      <w:bookmarkStart w:id="600" w:name="_Toc324769786"/>
      <w:bookmarkStart w:id="601" w:name="_Toc11471"/>
      <w:bookmarkStart w:id="602" w:name="_Toc286835742"/>
      <w:bookmarkStart w:id="603" w:name="_Toc326754998"/>
      <w:bookmarkStart w:id="604" w:name="_Toc332632593"/>
      <w:bookmarkStart w:id="605" w:name="_Toc283110214"/>
      <w:bookmarkStart w:id="606" w:name="_Toc282946169"/>
      <w:bookmarkStart w:id="607" w:name="_Toc286934681"/>
      <w:bookmarkStart w:id="608" w:name="_Toc286835746"/>
      <w:bookmarkStart w:id="609" w:name="_Toc470785897"/>
      <w:bookmarkStart w:id="610" w:name="_Toc332632597"/>
      <w:bookmarkStart w:id="611" w:name="_Toc282959739"/>
      <w:bookmarkStart w:id="612" w:name="_Toc326755002"/>
      <w:r>
        <w:t>6.1.1 建设阶段大气污染防治措施及其可行性论证</w:t>
      </w:r>
      <w:bookmarkEnd w:id="593"/>
      <w:bookmarkEnd w:id="594"/>
      <w:bookmarkEnd w:id="595"/>
      <w:bookmarkEnd w:id="596"/>
      <w:bookmarkEnd w:id="597"/>
      <w:bookmarkEnd w:id="598"/>
      <w:bookmarkEnd w:id="599"/>
      <w:bookmarkEnd w:id="600"/>
      <w:bookmarkEnd w:id="601"/>
      <w:bookmarkEnd w:id="602"/>
      <w:bookmarkEnd w:id="603"/>
      <w:bookmarkEnd w:id="604"/>
    </w:p>
    <w:p>
      <w:pPr>
        <w:ind w:firstLine="480" w:firstLineChars="0"/>
        <w:rPr>
          <w:szCs w:val="24"/>
        </w:rPr>
      </w:pPr>
      <w:bookmarkStart w:id="613" w:name="_Toc470785893"/>
      <w:bookmarkStart w:id="614" w:name="_Toc324770249"/>
      <w:bookmarkStart w:id="615" w:name="_Toc326754999"/>
      <w:bookmarkStart w:id="616" w:name="_Toc24310"/>
      <w:bookmarkStart w:id="617" w:name="_Toc324769787"/>
      <w:bookmarkStart w:id="618" w:name="_Toc332632594"/>
      <w:bookmarkStart w:id="619" w:name="_Toc282946166"/>
      <w:bookmarkStart w:id="620" w:name="_Toc286835743"/>
      <w:bookmarkStart w:id="621" w:name="_Toc286934678"/>
      <w:bookmarkStart w:id="622" w:name="_Toc282959736"/>
      <w:bookmarkStart w:id="623" w:name="_Toc283110211"/>
      <w:r>
        <w:rPr>
          <w:szCs w:val="24"/>
        </w:rPr>
        <w:t>项目建设阶段产生的废气主要为施工扬尘。</w:t>
      </w:r>
    </w:p>
    <w:p>
      <w:pPr>
        <w:ind w:firstLine="480" w:firstLineChars="0"/>
        <w:rPr>
          <w:szCs w:val="24"/>
        </w:rPr>
      </w:pPr>
      <w:r>
        <w:rPr>
          <w:szCs w:val="24"/>
        </w:rPr>
        <w:t>本项目按照《河北省建筑施工扬尘防治新15条标准》、《承德市建筑施工现场管理暂行办法》，采区合理安排施工进度，缩短施工期，大风天气禁止施工，施工场地洒水降尘，物料轻装轻卸，易起尘物料采用帆布遮盖堆存、土方开挖湿法作业、出入车辆清洗、渣土车辆密闭运输等。</w:t>
      </w:r>
    </w:p>
    <w:p>
      <w:pPr>
        <w:ind w:firstLine="480" w:firstLineChars="0"/>
        <w:rPr>
          <w:szCs w:val="24"/>
        </w:rPr>
      </w:pPr>
      <w:r>
        <w:rPr>
          <w:szCs w:val="24"/>
        </w:rPr>
        <w:t>项目类比施工场地扬尘排放标准（二次征求意见稿）编制说明中标准限值的确定依据：编制组选取了位于全省不同区域的石家庄、邯郸、沧州、唐山、张家口五个设区市，每个市选取了具有代表性的4个施工场地，对2018年1-10月份共计20个施工场地近6万个PM</w:t>
      </w:r>
      <w:r>
        <w:rPr>
          <w:szCs w:val="24"/>
          <w:vertAlign w:val="subscript"/>
        </w:rPr>
        <w:t>10</w:t>
      </w:r>
      <w:r>
        <w:rPr>
          <w:szCs w:val="24"/>
        </w:rPr>
        <w:t>在线监测数据进行了分析、统计和验证。这些施工场地大部分做到了工地周边围挡、物料堆放覆盖、土方开挖湿法作业、路面硬化、出入车辆清洗、渣土车辆密闭运输“六个百分之百”。根据实测数据扣减2017年年均值后的有效数据量及其不同限值占比结果，施工场地扬尘以80ug/m</w:t>
      </w:r>
      <w:r>
        <w:rPr>
          <w:szCs w:val="24"/>
          <w:vertAlign w:val="superscript"/>
        </w:rPr>
        <w:t>3</w:t>
      </w:r>
      <w:r>
        <w:rPr>
          <w:szCs w:val="24"/>
        </w:rPr>
        <w:t>作为施工场地扬尘监测点PM</w:t>
      </w:r>
      <w:r>
        <w:rPr>
          <w:szCs w:val="24"/>
          <w:vertAlign w:val="subscript"/>
        </w:rPr>
        <w:t>10</w:t>
      </w:r>
      <w:r>
        <w:rPr>
          <w:szCs w:val="24"/>
        </w:rPr>
        <w:t>排放浓度限值，可做到一日内颗粒物监测点浓度限值允许的最高超限次数小于等于2次/天。</w:t>
      </w:r>
    </w:p>
    <w:p>
      <w:pPr>
        <w:ind w:firstLine="540"/>
        <w:rPr>
          <w:szCs w:val="24"/>
        </w:rPr>
      </w:pPr>
      <w:r>
        <w:rPr>
          <w:szCs w:val="24"/>
        </w:rPr>
        <w:t>因此，项目在采取了以上治理措施后，满足上述措施后，项目施工场地扬尘满足《施工场地扬尘排放标准》（DB 13/ 2934-2019）表1中扬尘排放浓度限值，对周围大气环境影响可接受。</w:t>
      </w:r>
    </w:p>
    <w:p>
      <w:pPr>
        <w:ind w:firstLine="540"/>
        <w:rPr>
          <w:szCs w:val="24"/>
        </w:rPr>
      </w:pPr>
      <w:r>
        <w:rPr>
          <w:szCs w:val="24"/>
        </w:rPr>
        <w:t>建设单位采用的废气治理措施均为在各类施工场地普遍采用的措施，具有较高的可操作性，经济成本低廉，措施效果显著，技术、经济可行。</w:t>
      </w:r>
    </w:p>
    <w:p>
      <w:pPr>
        <w:pStyle w:val="6"/>
      </w:pPr>
      <w:bookmarkStart w:id="624" w:name="_Toc14032"/>
      <w:r>
        <w:t>6.1.2 建设阶段水污染防治措施及其可行性论证</w:t>
      </w:r>
      <w:bookmarkEnd w:id="613"/>
      <w:bookmarkEnd w:id="614"/>
      <w:bookmarkEnd w:id="615"/>
      <w:bookmarkEnd w:id="616"/>
      <w:bookmarkEnd w:id="617"/>
      <w:bookmarkEnd w:id="618"/>
      <w:bookmarkEnd w:id="624"/>
    </w:p>
    <w:p>
      <w:pPr>
        <w:topLinePunct/>
        <w:ind w:firstLine="540"/>
        <w:textAlignment w:val="center"/>
        <w:rPr>
          <w:szCs w:val="24"/>
        </w:rPr>
      </w:pPr>
      <w:r>
        <w:rPr>
          <w:szCs w:val="24"/>
        </w:rPr>
        <w:t>项目建设阶段产生的废水包括施工人员生活污水、施工场地雨季地表径流。</w:t>
      </w:r>
    </w:p>
    <w:p>
      <w:pPr>
        <w:ind w:firstLine="540"/>
        <w:rPr>
          <w:szCs w:val="24"/>
        </w:rPr>
      </w:pPr>
      <w:r>
        <w:rPr>
          <w:szCs w:val="24"/>
        </w:rPr>
        <w:t>针对施工场地雨季地表径流和施工过程产生的基坑排水，要求河道内施工前，在河道管理线外设置临时沉淀池，河道内施工产生的基坑排水和施工场地内的雨季地表径流全部集中收集至临时沉淀池内沉淀后，用于运输道路洒水降尘和区域绿化使用，污水不得进入河流。临时沉淀池采取防渗措施，渗透系数≤10</w:t>
      </w:r>
      <w:r>
        <w:rPr>
          <w:szCs w:val="24"/>
          <w:vertAlign w:val="superscript"/>
        </w:rPr>
        <w:t>-7</w:t>
      </w:r>
      <w:r>
        <w:rPr>
          <w:szCs w:val="24"/>
        </w:rPr>
        <w:t>cm/s。</w:t>
      </w:r>
    </w:p>
    <w:p>
      <w:pPr>
        <w:ind w:firstLine="540"/>
        <w:rPr>
          <w:szCs w:val="24"/>
        </w:rPr>
      </w:pPr>
      <w:r>
        <w:t>项目不设置施工营地，租用</w:t>
      </w:r>
      <w:r>
        <w:rPr>
          <w:rFonts w:hint="eastAsia"/>
        </w:rPr>
        <w:t>周边</w:t>
      </w:r>
      <w:r>
        <w:t>民房，人员生活污水用于区域洒水降尘，对河流水环境质量无明显影响。</w:t>
      </w:r>
    </w:p>
    <w:p>
      <w:pPr>
        <w:ind w:firstLine="540"/>
      </w:pPr>
      <w:r>
        <w:t>治理措施：</w:t>
      </w:r>
    </w:p>
    <w:p>
      <w:pPr>
        <w:ind w:firstLine="540"/>
        <w:rPr>
          <w:szCs w:val="24"/>
        </w:rPr>
      </w:pPr>
      <w:r>
        <w:rPr>
          <w:szCs w:val="24"/>
        </w:rPr>
        <w:t>①施工期间，各类施工作业严格控制在施工作业范围内进行施工；</w:t>
      </w:r>
    </w:p>
    <w:p>
      <w:pPr>
        <w:ind w:firstLine="540"/>
        <w:rPr>
          <w:szCs w:val="24"/>
        </w:rPr>
      </w:pPr>
      <w:r>
        <w:rPr>
          <w:szCs w:val="24"/>
        </w:rPr>
        <w:t>②严禁在施工期间向</w:t>
      </w:r>
      <w:r>
        <w:rPr>
          <w:rFonts w:hint="eastAsia"/>
          <w:szCs w:val="24"/>
        </w:rPr>
        <w:t>柳河</w:t>
      </w:r>
      <w:r>
        <w:rPr>
          <w:szCs w:val="24"/>
        </w:rPr>
        <w:t>及附近其他水体倾倒废渣、施工废水、垃圾及其他废弃物；</w:t>
      </w:r>
    </w:p>
    <w:p>
      <w:pPr>
        <w:ind w:firstLine="540"/>
        <w:rPr>
          <w:szCs w:val="24"/>
        </w:rPr>
      </w:pPr>
      <w:r>
        <w:rPr>
          <w:szCs w:val="24"/>
        </w:rPr>
        <w:t>③严禁将施工期间生活垃圾、建筑垃圾等在施工作业带中随意堆放，每天及时清运生活和建筑施工垃圾，日产日清；</w:t>
      </w:r>
    </w:p>
    <w:p>
      <w:pPr>
        <w:ind w:firstLine="540"/>
        <w:rPr>
          <w:szCs w:val="24"/>
        </w:rPr>
      </w:pPr>
      <w:r>
        <w:rPr>
          <w:szCs w:val="24"/>
        </w:rPr>
        <w:t>④施工期间，禁止破坏沿线非占地植被、生态环境等；</w:t>
      </w:r>
    </w:p>
    <w:p>
      <w:pPr>
        <w:snapToGrid/>
        <w:ind w:firstLine="540"/>
        <w:rPr>
          <w:szCs w:val="24"/>
        </w:rPr>
      </w:pPr>
      <w:r>
        <w:rPr>
          <w:szCs w:val="24"/>
        </w:rPr>
        <w:t>⑤生态护岸施工过程中在基坑沿河一侧设置导流围堰</w:t>
      </w:r>
      <w:r>
        <w:rPr>
          <w:rFonts w:hint="eastAsia"/>
          <w:szCs w:val="24"/>
        </w:rPr>
        <w:t>；</w:t>
      </w:r>
    </w:p>
    <w:p>
      <w:pPr>
        <w:snapToGrid/>
        <w:ind w:firstLine="540"/>
        <w:rPr>
          <w:szCs w:val="24"/>
        </w:rPr>
      </w:pPr>
      <w:r>
        <w:rPr>
          <w:szCs w:val="24"/>
        </w:rPr>
        <w:t>⑥河道</w:t>
      </w:r>
      <w:r>
        <w:rPr>
          <w:rFonts w:hint="eastAsia"/>
          <w:szCs w:val="24"/>
        </w:rPr>
        <w:t>局部</w:t>
      </w:r>
      <w:r>
        <w:rPr>
          <w:szCs w:val="24"/>
        </w:rPr>
        <w:t>清理时，河道清理时直接在河道内部进行施工，由于基础开挖深度较浅，依据现场实际情况，对于河滩较宽阔的地带，首先设置引流沟渠，地表径流经引流沟流向下游。对于河道较窄，河滩陡峭区域，应采用河道左右岸两边分段施工，利用基础开挖土方进行分期围堰，施工中采取分期导流的方式进行河道施工。</w:t>
      </w:r>
    </w:p>
    <w:p>
      <w:pPr>
        <w:snapToGrid/>
        <w:ind w:firstLine="540"/>
        <w:rPr>
          <w:szCs w:val="24"/>
        </w:rPr>
      </w:pPr>
      <w:r>
        <w:rPr>
          <w:szCs w:val="24"/>
        </w:rPr>
        <w:t>⑦项目施工期应加强施工机械的管理，施工车辆不得在河道内行驶，不得在河道内对施工设备进行检修、清洗，防止油品泄露而造成的地表水污染。</w:t>
      </w:r>
    </w:p>
    <w:p>
      <w:pPr>
        <w:ind w:firstLine="540"/>
      </w:pPr>
      <w:r>
        <w:rPr>
          <w:szCs w:val="24"/>
        </w:rPr>
        <w:t>通过采取以上水污染控制措施及水环境影响减缓措施，可有效减少施工期对地表水环境的影响，本工程治理措施可行，管理可控，措施技术简单、经济可行。</w:t>
      </w:r>
    </w:p>
    <w:bookmarkEnd w:id="619"/>
    <w:bookmarkEnd w:id="620"/>
    <w:bookmarkEnd w:id="621"/>
    <w:bookmarkEnd w:id="622"/>
    <w:bookmarkEnd w:id="623"/>
    <w:p>
      <w:pPr>
        <w:pStyle w:val="6"/>
      </w:pPr>
      <w:bookmarkStart w:id="625" w:name="_Toc326755000"/>
      <w:bookmarkStart w:id="626" w:name="_Toc286934679"/>
      <w:bookmarkStart w:id="627" w:name="_Toc332632595"/>
      <w:bookmarkStart w:id="628" w:name="_Toc324770250"/>
      <w:bookmarkStart w:id="629" w:name="_Toc283110212"/>
      <w:bookmarkStart w:id="630" w:name="_Toc470785894"/>
      <w:bookmarkStart w:id="631" w:name="_Toc282959737"/>
      <w:bookmarkStart w:id="632" w:name="_Toc22943"/>
      <w:bookmarkStart w:id="633" w:name="_Toc324769788"/>
      <w:bookmarkStart w:id="634" w:name="_Toc282946167"/>
      <w:bookmarkStart w:id="635" w:name="_Toc286835744"/>
      <w:bookmarkStart w:id="636" w:name="_Toc30374"/>
      <w:r>
        <w:t>6.1.3 建设阶段噪声防治措施及其可行性论证</w:t>
      </w:r>
      <w:bookmarkEnd w:id="625"/>
      <w:bookmarkEnd w:id="626"/>
      <w:bookmarkEnd w:id="627"/>
      <w:bookmarkEnd w:id="628"/>
      <w:bookmarkEnd w:id="629"/>
      <w:bookmarkEnd w:id="630"/>
      <w:bookmarkEnd w:id="631"/>
      <w:bookmarkEnd w:id="632"/>
      <w:bookmarkEnd w:id="633"/>
      <w:bookmarkEnd w:id="634"/>
      <w:bookmarkEnd w:id="635"/>
      <w:bookmarkEnd w:id="636"/>
    </w:p>
    <w:p>
      <w:pPr>
        <w:ind w:firstLine="540"/>
      </w:pPr>
      <w:bookmarkStart w:id="637" w:name="_Toc282959738"/>
      <w:bookmarkStart w:id="638" w:name="_Toc283110213"/>
      <w:bookmarkStart w:id="639" w:name="_Toc286835745"/>
      <w:bookmarkStart w:id="640" w:name="_Toc282946168"/>
      <w:bookmarkStart w:id="641" w:name="_Toc326755001"/>
      <w:bookmarkStart w:id="642" w:name="_Toc332632596"/>
      <w:bookmarkStart w:id="643" w:name="_Toc324770251"/>
      <w:bookmarkStart w:id="644" w:name="_Toc470785895"/>
      <w:bookmarkStart w:id="645" w:name="_Toc324769789"/>
      <w:bookmarkStart w:id="646" w:name="_Toc503"/>
      <w:bookmarkStart w:id="647" w:name="_Toc286934680"/>
      <w:r>
        <w:t>项目施工期噪声主要为施工机械设备噪声和运输车辆噪声。</w:t>
      </w:r>
    </w:p>
    <w:p>
      <w:pPr>
        <w:ind w:firstLine="540"/>
      </w:pPr>
      <w:r>
        <w:t>治理措施：选用低噪声设备、规范设备操作、进行设备养护、控制施工时间、施工场界设隔声屏障、车辆经过沿途居民区减速慢行，车辆禁鸣。</w:t>
      </w:r>
    </w:p>
    <w:p>
      <w:pPr>
        <w:ind w:firstLine="540"/>
      </w:pPr>
      <w:r>
        <w:t>通过采取以上措施后，施工场界噪声排放可满足《建筑施工场界环境噪声排放标准》（GB12523-2011）的要求，由施工期声环境影响分析可知，在采取上述措施治理的前提下，施工噪声对周边居民生活影响较轻。</w:t>
      </w:r>
    </w:p>
    <w:p>
      <w:pPr>
        <w:ind w:firstLine="540"/>
      </w:pPr>
      <w:r>
        <w:t>综上，项目施工期噪声治理措施是可行的。</w:t>
      </w:r>
    </w:p>
    <w:p>
      <w:pPr>
        <w:pStyle w:val="6"/>
        <w:rPr>
          <w:highlight w:val="none"/>
        </w:rPr>
      </w:pPr>
      <w:bookmarkStart w:id="648" w:name="_Toc16740"/>
      <w:r>
        <w:t xml:space="preserve">6.1.4 </w:t>
      </w:r>
      <w:r>
        <w:rPr>
          <w:highlight w:val="none"/>
        </w:rPr>
        <w:t>建设阶段固体废物处置措施及其可行性论证</w:t>
      </w:r>
      <w:bookmarkEnd w:id="637"/>
      <w:bookmarkEnd w:id="638"/>
      <w:bookmarkEnd w:id="639"/>
      <w:bookmarkEnd w:id="640"/>
      <w:bookmarkEnd w:id="641"/>
      <w:bookmarkEnd w:id="642"/>
      <w:bookmarkEnd w:id="643"/>
      <w:bookmarkEnd w:id="644"/>
      <w:bookmarkEnd w:id="645"/>
      <w:bookmarkEnd w:id="646"/>
      <w:bookmarkEnd w:id="647"/>
      <w:bookmarkEnd w:id="648"/>
    </w:p>
    <w:p>
      <w:pPr>
        <w:ind w:firstLine="540"/>
        <w:rPr>
          <w:bCs/>
          <w:szCs w:val="24"/>
        </w:rPr>
      </w:pPr>
      <w:bookmarkStart w:id="649" w:name="_Toc470785896"/>
      <w:bookmarkStart w:id="650" w:name="_Toc7398"/>
      <w:r>
        <w:rPr>
          <w:szCs w:val="24"/>
        </w:rPr>
        <w:t>项目建设阶段产生的固体废物包括河道及两侧清理的垃圾</w:t>
      </w:r>
      <w:r>
        <w:rPr>
          <w:rFonts w:hint="eastAsia"/>
          <w:szCs w:val="24"/>
          <w:lang w:eastAsia="zh-CN"/>
        </w:rPr>
        <w:t>、土石方及淤泥，</w:t>
      </w:r>
      <w:r>
        <w:rPr>
          <w:szCs w:val="24"/>
        </w:rPr>
        <w:t>河道内生态护岸及</w:t>
      </w:r>
      <w:r>
        <w:rPr>
          <w:rFonts w:hint="eastAsia"/>
          <w:szCs w:val="24"/>
          <w:lang w:eastAsia="zh-CN"/>
        </w:rPr>
        <w:t>生态步道</w:t>
      </w:r>
      <w:r>
        <w:rPr>
          <w:szCs w:val="24"/>
        </w:rPr>
        <w:t>施工开挖的土石方</w:t>
      </w:r>
      <w:r>
        <w:rPr>
          <w:rFonts w:hint="eastAsia"/>
          <w:szCs w:val="24"/>
          <w:lang w:eastAsia="zh-CN"/>
        </w:rPr>
        <w:t>，</w:t>
      </w:r>
      <w:r>
        <w:rPr>
          <w:bCs/>
          <w:szCs w:val="24"/>
        </w:rPr>
        <w:t>施工废水沉淀池底泥</w:t>
      </w:r>
      <w:r>
        <w:rPr>
          <w:rFonts w:hint="eastAsia"/>
          <w:bCs/>
          <w:szCs w:val="24"/>
          <w:lang w:eastAsia="zh-CN"/>
        </w:rPr>
        <w:t>，</w:t>
      </w:r>
      <w:r>
        <w:rPr>
          <w:bCs/>
          <w:szCs w:val="24"/>
        </w:rPr>
        <w:t>生活垃圾。</w:t>
      </w:r>
    </w:p>
    <w:p>
      <w:pPr>
        <w:ind w:firstLine="540"/>
        <w:rPr>
          <w:rFonts w:hint="eastAsia"/>
          <w:szCs w:val="24"/>
        </w:rPr>
      </w:pPr>
      <w:r>
        <w:rPr>
          <w:rFonts w:hint="eastAsia"/>
          <w:szCs w:val="24"/>
        </w:rPr>
        <w:t>①生活垃圾</w:t>
      </w:r>
    </w:p>
    <w:p>
      <w:pPr>
        <w:ind w:firstLine="540"/>
        <w:rPr>
          <w:rFonts w:hint="eastAsia"/>
          <w:szCs w:val="24"/>
        </w:rPr>
      </w:pPr>
      <w:r>
        <w:rPr>
          <w:rFonts w:hint="eastAsia"/>
          <w:szCs w:val="24"/>
        </w:rPr>
        <w:t>项目施工期生活垃圾生活垃圾分类收集，随同河道清理的生活垃圾一同运至生活垃圾填埋场填埋处置。</w:t>
      </w:r>
    </w:p>
    <w:p>
      <w:pPr>
        <w:ind w:firstLine="540"/>
        <w:rPr>
          <w:rFonts w:hint="eastAsia"/>
          <w:szCs w:val="24"/>
        </w:rPr>
      </w:pPr>
      <w:r>
        <w:rPr>
          <w:rFonts w:hint="eastAsia"/>
          <w:szCs w:val="24"/>
        </w:rPr>
        <w:t>②工程土石方</w:t>
      </w:r>
    </w:p>
    <w:p>
      <w:pPr>
        <w:ind w:firstLine="540"/>
        <w:rPr>
          <w:rFonts w:hint="eastAsia"/>
          <w:szCs w:val="24"/>
        </w:rPr>
      </w:pPr>
      <w:r>
        <w:rPr>
          <w:rFonts w:hint="eastAsia"/>
          <w:szCs w:val="24"/>
        </w:rPr>
        <w:t>河道清理产生的河道淤泥用于河滩地低洼地区回填，河流冲积物用于附近村镇乡路垫道，岸坡垃圾集中收集运至生活垃圾填埋场填埋处置；生态护岸工程不产生弃方；生态植物种植工程不产生弃方；生态步道工程不产生弃方，项目不产生弃土，因此不设弃土场。</w:t>
      </w:r>
    </w:p>
    <w:p>
      <w:pPr>
        <w:ind w:firstLine="480"/>
        <w:rPr>
          <w:rFonts w:hint="eastAsia"/>
          <w:highlight w:val="none"/>
        </w:rPr>
      </w:pPr>
      <w:r>
        <w:rPr>
          <w:rFonts w:hint="eastAsia"/>
          <w:highlight w:val="none"/>
        </w:rPr>
        <w:t>③临时沉淀池底泥</w:t>
      </w:r>
    </w:p>
    <w:p>
      <w:pPr>
        <w:ind w:firstLine="540"/>
        <w:rPr>
          <w:rFonts w:hint="eastAsia" w:eastAsia="宋体"/>
          <w:szCs w:val="24"/>
          <w:lang w:eastAsia="zh-CN"/>
        </w:rPr>
      </w:pPr>
      <w:r>
        <w:rPr>
          <w:rFonts w:hint="eastAsia"/>
        </w:rPr>
        <w:t>项目于河道管理线外设置临时沉淀池，底泥</w:t>
      </w:r>
      <w:r>
        <w:rPr>
          <w:rFonts w:hint="eastAsia"/>
          <w:szCs w:val="24"/>
        </w:rPr>
        <w:t>定期清运至</w:t>
      </w:r>
      <w:r>
        <w:rPr>
          <w:rFonts w:hint="eastAsia"/>
          <w:szCs w:val="24"/>
          <w:lang w:eastAsia="zh-CN"/>
        </w:rPr>
        <w:t>土方回填区。</w:t>
      </w:r>
    </w:p>
    <w:p>
      <w:pPr>
        <w:ind w:firstLine="540"/>
      </w:pPr>
      <w:r>
        <w:t>施工固体废物堆放地用篷布遮挡，定期洒水抑尘，减少扬尘影响。施工场地堆放的弃土、建筑垃圾可能受雨水冲刷而产生污水排入</w:t>
      </w:r>
      <w:r>
        <w:rPr>
          <w:rFonts w:hint="eastAsia"/>
        </w:rPr>
        <w:t>柳河</w:t>
      </w:r>
      <w:r>
        <w:t>影响其水质，故施工过程应设置专门的雨水通道和施工场地截流围堰，防止雨污水排入河道。施工时设置的临时沉淀池底部应砌筑防渗层或打抗渗砂浆，防渗系数≤1×10</w:t>
      </w:r>
      <w:r>
        <w:rPr>
          <w:vertAlign w:val="superscript"/>
        </w:rPr>
        <w:t>-7</w:t>
      </w:r>
      <w:r>
        <w:t>cm/s。施工中产生的建筑垃圾、废弃土石及时清运，不得在</w:t>
      </w:r>
      <w:r>
        <w:rPr>
          <w:rFonts w:hint="eastAsia"/>
        </w:rPr>
        <w:t>河道管理线</w:t>
      </w:r>
      <w:r>
        <w:t>内贮存，及时清运。</w:t>
      </w:r>
    </w:p>
    <w:p>
      <w:pPr>
        <w:ind w:firstLine="540"/>
        <w:rPr>
          <w:szCs w:val="24"/>
        </w:rPr>
      </w:pPr>
      <w:r>
        <w:rPr>
          <w:kern w:val="2"/>
        </w:rPr>
        <w:t>综上，施工期固体废物均可综合利用或妥善处置，</w:t>
      </w:r>
      <w:r>
        <w:rPr>
          <w:szCs w:val="24"/>
        </w:rPr>
        <w:t>固废处置措施简单易行、经济可行。</w:t>
      </w:r>
    </w:p>
    <w:p>
      <w:pPr>
        <w:pStyle w:val="6"/>
      </w:pPr>
      <w:bookmarkStart w:id="651" w:name="_Toc3668"/>
      <w:r>
        <w:t>6.1.5 建设阶段生态防护措施及其可行性论证</w:t>
      </w:r>
      <w:bookmarkEnd w:id="649"/>
      <w:bookmarkEnd w:id="650"/>
      <w:bookmarkEnd w:id="651"/>
    </w:p>
    <w:p>
      <w:r>
        <w:rPr>
          <w:rFonts w:hint="eastAsia"/>
        </w:rPr>
        <w:t>拟采取的生态保护措施为：本工程施工结束后，恢复原地貌，并结合水土保持的植物措施（施工场地及施工道路种植灌草；施工场地及时平整清理并覆土绿化），对各类施工迹地实施生态恢复措施。</w:t>
      </w:r>
    </w:p>
    <w:p>
      <w:pPr>
        <w:rPr>
          <w:rFonts w:hint="eastAsia"/>
          <w:lang w:eastAsia="zh-CN"/>
        </w:rPr>
      </w:pPr>
      <w:r>
        <w:rPr>
          <w:rFonts w:hint="eastAsia"/>
        </w:rPr>
        <w:t>拟采取的水土流失防治措施</w:t>
      </w:r>
      <w:r>
        <w:rPr>
          <w:rFonts w:hint="eastAsia"/>
          <w:lang w:eastAsia="zh-CN"/>
        </w:rPr>
        <w:t>：</w:t>
      </w:r>
    </w:p>
    <w:p>
      <w:r>
        <w:t>（1）</w:t>
      </w:r>
      <w:r>
        <w:rPr>
          <w:rFonts w:hint="eastAsia"/>
        </w:rPr>
        <w:t>水土保持主要措施有工程措施、临时措施，植物措施。施工场地及施工道路种植灌草；临时措施包括对施工场地的料堆等进行苫盖等，防止料堆等水土流失；表土堆场</w:t>
      </w:r>
      <w:r>
        <w:rPr>
          <w:rFonts w:hint="eastAsia"/>
          <w:bCs/>
        </w:rPr>
        <w:t>顶部采用编织布覆盖，四周设简易排水沟，防治水土流失</w:t>
      </w:r>
      <w:r>
        <w:rPr>
          <w:rFonts w:hint="eastAsia"/>
        </w:rPr>
        <w:t>。施工结束后返还表土，生态恢复；</w:t>
      </w:r>
    </w:p>
    <w:p>
      <w:r>
        <w:t>（2）工程分段治理修复，先结束的施工场地及时平整清理并覆土绿化，减少占地的水土流失情况；</w:t>
      </w:r>
    </w:p>
    <w:p>
      <w:r>
        <w:t>（3）工程结束后，临时用地进行植被恢复；</w:t>
      </w:r>
    </w:p>
    <w:p>
      <w:r>
        <w:t>（4）项目分段建设施工，施工段总长度较短，随着建设阶段结束，项目河道内施工对水生生态环境的影响也随着结束，项目施工结束后对临时占地和施工临时道路进行植被恢复，对破坏的植被进行重建。</w:t>
      </w:r>
    </w:p>
    <w:p>
      <w:pPr>
        <w:rPr>
          <w:rFonts w:hint="eastAsia"/>
        </w:rPr>
      </w:pPr>
      <w:r>
        <w:rPr>
          <w:rFonts w:hint="eastAsia"/>
        </w:rPr>
        <w:t>本项目建设生态护岸既可以维持良好的水生态环境，也有利于防治水土流失，缓解河岸两侧冲刷污染物入河造成的水质不利影响，有利于水土保持，促进区域水源涵养。河流缓冲带修复有利于降低水土流失，降低一定范围的岸边垃圾等污染物入河，维护良好的水生态环境，修复水体及周围缓冲带的生态环境，加强水土保持，促进区域水源涵养。</w:t>
      </w:r>
      <w:r>
        <w:rPr>
          <w:rFonts w:hint="eastAsia"/>
          <w:lang w:eastAsia="zh-CN"/>
        </w:rPr>
        <w:t>生态植物种植工程</w:t>
      </w:r>
      <w:r>
        <w:rPr>
          <w:rFonts w:hint="eastAsia"/>
        </w:rPr>
        <w:t>主要是减缓水土流失带来的污染物进入河流，从而降低河流水质污染程度，维护良好的水生态环境。</w:t>
      </w:r>
    </w:p>
    <w:p>
      <w:r>
        <w:rPr>
          <w:rFonts w:hint="eastAsia"/>
        </w:rPr>
        <w:t>上述生态环境影响减缓措施合理有效，</w:t>
      </w:r>
      <w:r>
        <w:t>不存在技术障碍，措施经济、技术合理、环境友好、可行。</w:t>
      </w:r>
    </w:p>
    <w:p>
      <w:pPr>
        <w:pStyle w:val="5"/>
        <w:bidi w:val="0"/>
      </w:pPr>
      <w:bookmarkStart w:id="652" w:name="_Toc31800"/>
      <w:r>
        <w:t xml:space="preserve">6.2 </w:t>
      </w:r>
      <w:bookmarkEnd w:id="605"/>
      <w:bookmarkEnd w:id="606"/>
      <w:bookmarkEnd w:id="607"/>
      <w:bookmarkEnd w:id="608"/>
      <w:bookmarkEnd w:id="609"/>
      <w:bookmarkEnd w:id="610"/>
      <w:bookmarkEnd w:id="611"/>
      <w:bookmarkEnd w:id="612"/>
      <w:r>
        <w:rPr>
          <w:rFonts w:hint="eastAsia"/>
        </w:rPr>
        <w:t>生产运行阶段环保措施可行性论证</w:t>
      </w:r>
      <w:bookmarkEnd w:id="652"/>
    </w:p>
    <w:p>
      <w:bookmarkStart w:id="653" w:name="_Toc282946174"/>
      <w:bookmarkStart w:id="654" w:name="_Toc326755008"/>
      <w:bookmarkStart w:id="655" w:name="_Toc283110219"/>
      <w:bookmarkStart w:id="656" w:name="_Toc332632603"/>
      <w:bookmarkStart w:id="657" w:name="_Toc286835751"/>
      <w:bookmarkStart w:id="658" w:name="_Toc286934686"/>
      <w:bookmarkStart w:id="659" w:name="_Toc282959744"/>
      <w:bookmarkStart w:id="660" w:name="_Toc269200653"/>
      <w:bookmarkStart w:id="661" w:name="_Toc324770258"/>
      <w:bookmarkStart w:id="662" w:name="_Toc324769796"/>
      <w:bookmarkStart w:id="663" w:name="_Toc470785899"/>
      <w:r>
        <w:t>项目</w:t>
      </w:r>
      <w:r>
        <w:rPr>
          <w:rFonts w:hint="eastAsia"/>
        </w:rPr>
        <w:t>运行阶段主</w:t>
      </w:r>
      <w:r>
        <w:t>要为定期或根据工程损耗情况对建设内容适当维护，因此</w:t>
      </w:r>
      <w:r>
        <w:rPr>
          <w:rFonts w:hint="eastAsia"/>
        </w:rPr>
        <w:t>本次评价</w:t>
      </w:r>
      <w:r>
        <w:t>不对运行阶段污染防治措施可行性进行论证。</w:t>
      </w:r>
    </w:p>
    <w:p>
      <w:pPr>
        <w:kinsoku w:val="0"/>
        <w:overflowPunct w:val="0"/>
        <w:ind w:firstLine="472"/>
        <w:rPr>
          <w:rFonts w:hint="eastAsia"/>
          <w:spacing w:val="-2"/>
        </w:rPr>
      </w:pPr>
      <w:r>
        <w:rPr>
          <w:rFonts w:hint="eastAsia"/>
          <w:color w:val="auto"/>
          <w:spacing w:val="-2"/>
        </w:rPr>
        <w:t>本项目运营期，生态护岸投入使用，可有效减少水土流失现象，减少外部污染物汇入河道</w:t>
      </w:r>
      <w:r>
        <w:rPr>
          <w:rFonts w:hint="eastAsia"/>
          <w:color w:val="auto"/>
          <w:spacing w:val="-2"/>
          <w:lang w:eastAsia="zh-CN"/>
        </w:rPr>
        <w:t>，</w:t>
      </w:r>
      <w:r>
        <w:rPr>
          <w:rFonts w:hint="eastAsia"/>
          <w:spacing w:val="-2"/>
        </w:rPr>
        <w:t>既可以维持良好的水生态环境，也有利于防治水土流失，缓解河岸两侧冲刷污染物入河造成的水质不利影响，有利于水土保持，促进区域水源涵养</w:t>
      </w:r>
      <w:r>
        <w:rPr>
          <w:rFonts w:hint="eastAsia"/>
          <w:color w:val="auto"/>
          <w:spacing w:val="-2"/>
        </w:rPr>
        <w:t>；</w:t>
      </w:r>
      <w:r>
        <w:rPr>
          <w:rFonts w:hint="eastAsia"/>
          <w:color w:val="auto"/>
          <w:spacing w:val="-2"/>
          <w:lang w:eastAsia="zh-CN"/>
        </w:rPr>
        <w:t>河道疏浚工程、河岸岸堤建设、河岸缓冲带生态建设工程</w:t>
      </w:r>
      <w:r>
        <w:rPr>
          <w:rFonts w:hint="eastAsia"/>
          <w:color w:val="auto"/>
          <w:spacing w:val="-2"/>
        </w:rPr>
        <w:t>可改善柳河地表水水质，维持河流水生生态系统的长期平衡，</w:t>
      </w:r>
      <w:r>
        <w:rPr>
          <w:rFonts w:hint="eastAsia"/>
          <w:spacing w:val="-2"/>
        </w:rPr>
        <w:t>有利于降低水土流失，降低一定范围的岸边垃圾等污染物入河，维护良好的水生态环境，修复水体及周围缓冲带的生态环境，加强水土保持，促进区域水源涵养。</w:t>
      </w:r>
    </w:p>
    <w:p>
      <w:pPr>
        <w:ind w:firstLine="472"/>
        <w:rPr>
          <w:color w:val="FF0000"/>
        </w:rPr>
      </w:pPr>
      <w:r>
        <w:rPr>
          <w:rFonts w:hint="eastAsia"/>
          <w:color w:val="auto"/>
          <w:spacing w:val="-2"/>
        </w:rPr>
        <w:t>项目的运行为保证供水安全发挥了正面的积极作用</w:t>
      </w:r>
      <w:r>
        <w:rPr>
          <w:rFonts w:hint="eastAsia"/>
          <w:color w:val="auto"/>
          <w:spacing w:val="-2"/>
          <w:lang w:eastAsia="zh-CN"/>
        </w:rPr>
        <w:t>，</w:t>
      </w:r>
      <w:r>
        <w:rPr>
          <w:rFonts w:hint="eastAsia"/>
          <w:spacing w:val="-2"/>
        </w:rPr>
        <w:t>对区域水环境质量、监控断面环境质量、河流水域生态环境及生态保护红线的提升和修复都能起到正面的、长远的积极作用。</w:t>
      </w:r>
      <w:bookmarkEnd w:id="653"/>
      <w:bookmarkEnd w:id="654"/>
      <w:bookmarkEnd w:id="655"/>
      <w:bookmarkEnd w:id="656"/>
      <w:bookmarkEnd w:id="657"/>
      <w:bookmarkEnd w:id="658"/>
      <w:bookmarkEnd w:id="659"/>
      <w:bookmarkEnd w:id="660"/>
      <w:bookmarkEnd w:id="661"/>
      <w:bookmarkEnd w:id="662"/>
      <w:bookmarkEnd w:id="663"/>
    </w:p>
    <w:p>
      <w:pPr>
        <w:ind w:firstLine="480"/>
        <w:rPr>
          <w:color w:val="FF0000"/>
        </w:rPr>
        <w:sectPr>
          <w:pgSz w:w="11906" w:h="16838"/>
          <w:pgMar w:top="1701" w:right="1701" w:bottom="1701" w:left="1701" w:header="1020" w:footer="992" w:gutter="0"/>
          <w:cols w:space="425" w:num="1"/>
          <w:docGrid w:linePitch="326" w:charSpace="0"/>
        </w:sectPr>
      </w:pPr>
    </w:p>
    <w:p>
      <w:pPr>
        <w:pStyle w:val="3"/>
        <w:rPr>
          <w:rFonts w:ascii="Times New Roman" w:hAnsi="Times New Roman"/>
        </w:rPr>
      </w:pPr>
      <w:bookmarkStart w:id="664" w:name="_Toc470785904"/>
      <w:bookmarkStart w:id="665" w:name="_Toc24544"/>
      <w:bookmarkStart w:id="666" w:name="_Toc286934705"/>
      <w:bookmarkStart w:id="667" w:name="_Toc282959763"/>
      <w:bookmarkStart w:id="668" w:name="_Toc283110238"/>
      <w:bookmarkStart w:id="669" w:name="_Toc269200667"/>
      <w:bookmarkStart w:id="670" w:name="_Toc332632633"/>
      <w:bookmarkStart w:id="671" w:name="_Toc282946193"/>
      <w:bookmarkStart w:id="672" w:name="_Toc286835770"/>
      <w:bookmarkStart w:id="673" w:name="_Toc326755037"/>
      <w:r>
        <w:rPr>
          <w:rFonts w:ascii="Times New Roman" w:hAnsi="Times New Roman"/>
        </w:rPr>
        <w:t xml:space="preserve">第七章 </w:t>
      </w:r>
      <w:r>
        <w:fldChar w:fldCharType="begin"/>
      </w:r>
      <w:r>
        <w:instrText xml:space="preserve"> HYPERLINK \l "_Toc204682629" </w:instrText>
      </w:r>
      <w:r>
        <w:fldChar w:fldCharType="separate"/>
      </w:r>
      <w:r>
        <w:rPr>
          <w:rFonts w:ascii="Times New Roman" w:hAnsi="Times New Roman"/>
        </w:rPr>
        <w:t>环境影响经济损益分析</w:t>
      </w:r>
      <w:bookmarkEnd w:id="664"/>
      <w:r>
        <w:rPr>
          <w:rFonts w:ascii="Times New Roman" w:hAnsi="Times New Roman"/>
        </w:rPr>
        <w:fldChar w:fldCharType="end"/>
      </w:r>
      <w:bookmarkEnd w:id="665"/>
    </w:p>
    <w:p>
      <w:pPr>
        <w:pStyle w:val="5"/>
      </w:pPr>
      <w:bookmarkStart w:id="674" w:name="_Toc27294"/>
      <w:bookmarkStart w:id="675" w:name="_Toc332632638"/>
      <w:bookmarkStart w:id="676" w:name="_Toc470785905"/>
      <w:bookmarkStart w:id="677" w:name="_Toc269200672"/>
      <w:bookmarkStart w:id="678" w:name="_Toc282946198"/>
      <w:bookmarkStart w:id="679" w:name="_Toc286835775"/>
      <w:bookmarkStart w:id="680" w:name="_Toc283110243"/>
      <w:bookmarkStart w:id="681" w:name="_Toc286934710"/>
      <w:bookmarkStart w:id="682" w:name="_Toc282959768"/>
      <w:bookmarkStart w:id="683" w:name="_Toc326755042"/>
      <w:r>
        <w:t>7.1 项目建设</w:t>
      </w:r>
      <w:r>
        <w:rPr>
          <w:rFonts w:hint="eastAsia"/>
          <w:lang w:eastAsia="zh-CN"/>
        </w:rPr>
        <w:t>对</w:t>
      </w:r>
      <w:r>
        <w:t>区域环境质量</w:t>
      </w:r>
      <w:r>
        <w:rPr>
          <w:rFonts w:hint="eastAsia"/>
          <w:lang w:eastAsia="zh-CN"/>
        </w:rPr>
        <w:t>的影响</w:t>
      </w:r>
      <w:r>
        <w:t>变化情况</w:t>
      </w:r>
      <w:bookmarkEnd w:id="674"/>
    </w:p>
    <w:p>
      <w:pPr>
        <w:bidi w:val="0"/>
        <w:rPr>
          <w:rFonts w:hint="eastAsia"/>
          <w:lang w:eastAsia="zh-CN"/>
        </w:rPr>
      </w:pPr>
      <w:r>
        <w:rPr>
          <w:rFonts w:hint="eastAsia"/>
          <w:lang w:eastAsia="zh-CN"/>
        </w:rPr>
        <w:t>1、建设前区域环境质量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eastAsia"/>
          <w:lang w:eastAsia="zh-CN"/>
        </w:rPr>
      </w:pPr>
      <w:r>
        <w:rPr>
          <w:rFonts w:hint="eastAsia"/>
        </w:rPr>
        <w:t>根据</w:t>
      </w:r>
      <w:r>
        <w:rPr>
          <w:rFonts w:hint="default" w:ascii="Times New Roman" w:hAnsi="Times New Roman" w:cs="Times New Roman"/>
          <w:b w:val="0"/>
          <w:bCs w:val="0"/>
          <w:color w:val="auto"/>
          <w:sz w:val="24"/>
          <w:szCs w:val="24"/>
          <w:highlight w:val="none"/>
        </w:rPr>
        <w:t>《20</w:t>
      </w:r>
      <w:r>
        <w:rPr>
          <w:rFonts w:hint="eastAsia" w:ascii="Times New Roman" w:hAnsi="Times New Roman" w:cs="Times New Roman"/>
          <w:b w:val="0"/>
          <w:bCs w:val="0"/>
          <w:color w:val="auto"/>
          <w:sz w:val="24"/>
          <w:szCs w:val="24"/>
          <w:highlight w:val="none"/>
          <w:lang w:val="en-US" w:eastAsia="zh-CN"/>
        </w:rPr>
        <w:t>2</w:t>
      </w:r>
      <w:r>
        <w:rPr>
          <w:rFonts w:hint="eastAsia"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rPr>
        <w:t>年承德市</w:t>
      </w:r>
      <w:r>
        <w:rPr>
          <w:rFonts w:hint="eastAsia" w:ascii="Times New Roman" w:hAnsi="Times New Roman" w:cs="Times New Roman"/>
          <w:b w:val="0"/>
          <w:bCs w:val="0"/>
          <w:color w:val="auto"/>
          <w:sz w:val="24"/>
          <w:szCs w:val="24"/>
          <w:highlight w:val="none"/>
          <w:lang w:val="en-US" w:eastAsia="zh-CN"/>
        </w:rPr>
        <w:t>生态</w:t>
      </w:r>
      <w:r>
        <w:rPr>
          <w:rFonts w:hint="default" w:ascii="Times New Roman" w:hAnsi="Times New Roman" w:cs="Times New Roman"/>
          <w:b w:val="0"/>
          <w:bCs w:val="0"/>
          <w:color w:val="auto"/>
          <w:sz w:val="24"/>
          <w:szCs w:val="24"/>
          <w:highlight w:val="none"/>
        </w:rPr>
        <w:t>环境状况公报》（202</w:t>
      </w:r>
      <w:r>
        <w:rPr>
          <w:rFonts w:hint="eastAsia"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rPr>
        <w:t>年</w:t>
      </w:r>
      <w:r>
        <w:rPr>
          <w:rFonts w:hint="eastAsia" w:cs="Times New Roman"/>
          <w:b w:val="0"/>
          <w:bCs w:val="0"/>
          <w:color w:val="auto"/>
          <w:sz w:val="24"/>
          <w:szCs w:val="24"/>
          <w:lang w:val="en-US" w:eastAsia="zh-CN"/>
        </w:rPr>
        <w:t>4</w:t>
      </w:r>
      <w:r>
        <w:rPr>
          <w:rFonts w:hint="default" w:ascii="Times New Roman" w:hAnsi="Times New Roman" w:cs="Times New Roman"/>
          <w:b w:val="0"/>
          <w:bCs w:val="0"/>
          <w:color w:val="auto"/>
          <w:sz w:val="24"/>
          <w:szCs w:val="24"/>
        </w:rPr>
        <w:t>月，承德市生态环境</w:t>
      </w:r>
      <w:r>
        <w:rPr>
          <w:rFonts w:hint="eastAsia" w:cs="Times New Roman"/>
          <w:b w:val="0"/>
          <w:bCs w:val="0"/>
          <w:color w:val="auto"/>
          <w:sz w:val="24"/>
          <w:szCs w:val="24"/>
          <w:lang w:val="en-US" w:eastAsia="zh-CN"/>
        </w:rPr>
        <w:t>局</w:t>
      </w:r>
      <w:r>
        <w:rPr>
          <w:rFonts w:hint="default" w:ascii="Times New Roman" w:hAnsi="Times New Roman" w:cs="Times New Roman"/>
          <w:b w:val="0"/>
          <w:bCs w:val="0"/>
          <w:color w:val="auto"/>
          <w:sz w:val="24"/>
          <w:szCs w:val="24"/>
        </w:rPr>
        <w:t>）中</w:t>
      </w:r>
      <w:r>
        <w:rPr>
          <w:rFonts w:hint="eastAsia" w:cs="Times New Roman"/>
          <w:b w:val="0"/>
          <w:bCs w:val="0"/>
          <w:color w:val="auto"/>
          <w:sz w:val="24"/>
          <w:szCs w:val="24"/>
          <w:lang w:val="en-US" w:eastAsia="zh-CN"/>
        </w:rPr>
        <w:t>兴隆县</w:t>
      </w:r>
      <w:r>
        <w:rPr>
          <w:rFonts w:hint="eastAsia"/>
          <w:lang w:eastAsia="zh-CN"/>
        </w:rPr>
        <w:t>环境空气质量中PM</w:t>
      </w:r>
      <w:r>
        <w:rPr>
          <w:rFonts w:hint="eastAsia"/>
          <w:vertAlign w:val="subscript"/>
          <w:lang w:eastAsia="zh-CN"/>
        </w:rPr>
        <w:t>2.5</w:t>
      </w:r>
      <w:r>
        <w:rPr>
          <w:rFonts w:hint="eastAsia"/>
          <w:lang w:eastAsia="zh-CN"/>
        </w:rPr>
        <w:t>、PM</w:t>
      </w:r>
      <w:r>
        <w:rPr>
          <w:rFonts w:hint="eastAsia"/>
          <w:vertAlign w:val="subscript"/>
          <w:lang w:eastAsia="zh-CN"/>
        </w:rPr>
        <w:t>10</w:t>
      </w:r>
      <w:r>
        <w:rPr>
          <w:rFonts w:hint="eastAsia"/>
          <w:lang w:eastAsia="zh-CN"/>
        </w:rPr>
        <w:t>、SO</w:t>
      </w:r>
      <w:r>
        <w:rPr>
          <w:rFonts w:hint="eastAsia"/>
          <w:vertAlign w:val="subscript"/>
          <w:lang w:eastAsia="zh-CN"/>
        </w:rPr>
        <w:t>2</w:t>
      </w:r>
      <w:r>
        <w:rPr>
          <w:rFonts w:hint="eastAsia"/>
          <w:lang w:eastAsia="zh-CN"/>
        </w:rPr>
        <w:t>、CO、O</w:t>
      </w:r>
      <w:r>
        <w:rPr>
          <w:rFonts w:hint="eastAsia"/>
          <w:vertAlign w:val="subscript"/>
          <w:lang w:eastAsia="zh-CN"/>
        </w:rPr>
        <w:t>3</w:t>
      </w:r>
      <w:r>
        <w:rPr>
          <w:rFonts w:hint="eastAsia"/>
          <w:lang w:eastAsia="zh-CN"/>
        </w:rPr>
        <w:t>、NO</w:t>
      </w:r>
      <w:r>
        <w:rPr>
          <w:rFonts w:hint="eastAsia"/>
          <w:vertAlign w:val="subscript"/>
          <w:lang w:eastAsia="zh-CN"/>
        </w:rPr>
        <w:t>2</w:t>
      </w:r>
      <w:r>
        <w:rPr>
          <w:rFonts w:hint="eastAsia"/>
          <w:lang w:eastAsia="zh-CN"/>
        </w:rPr>
        <w:t>六项常规污染物监测结果中，六项基本污染物浓度均符合《环境空气质量标准》（GB3095-2012）及其修改单中的二级标准</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项目所在区域为环境空气质量达标区</w:t>
      </w:r>
      <w:r>
        <w:rPr>
          <w:rFonts w:hint="eastAsia" w:cs="Times New Roman"/>
          <w:b w:val="0"/>
          <w:bCs w:val="0"/>
          <w:color w:val="auto"/>
          <w:sz w:val="24"/>
          <w:szCs w:val="24"/>
          <w:lang w:eastAsia="zh-CN"/>
        </w:rPr>
        <w:t>，</w:t>
      </w:r>
      <w:r>
        <w:rPr>
          <w:rFonts w:hint="eastAsia"/>
          <w:lang w:eastAsia="zh-CN"/>
        </w:rPr>
        <w:t>区域环境空气质量达标。</w:t>
      </w:r>
    </w:p>
    <w:p>
      <w:pPr>
        <w:bidi w:val="0"/>
        <w:rPr>
          <w:rFonts w:hint="eastAsia"/>
          <w:lang w:eastAsia="zh-CN"/>
        </w:rPr>
      </w:pPr>
      <w:r>
        <w:rPr>
          <w:rFonts w:hint="eastAsia"/>
          <w:lang w:eastAsia="zh-CN"/>
        </w:rPr>
        <w:t>根据《2021年承德市生态环境状况公报》（2022年4月，承德市生态环境局）中柳河水质及常规断面监测数据情况，柳河共布设地表水常规监测断面3个，根据202</w:t>
      </w:r>
      <w:r>
        <w:rPr>
          <w:rFonts w:hint="eastAsia"/>
          <w:lang w:val="en-US" w:eastAsia="zh-CN"/>
        </w:rPr>
        <w:t>1</w:t>
      </w:r>
      <w:r>
        <w:rPr>
          <w:rFonts w:hint="eastAsia"/>
          <w:lang w:eastAsia="zh-CN"/>
        </w:rPr>
        <w:t>年监测结果显示，三块石、大杖子（二）断面水质类别均为I类，26#桥断面水质类别为Ⅱ类，柳河流域总体水质状况为优。</w:t>
      </w:r>
    </w:p>
    <w:p>
      <w:pPr>
        <w:bidi w:val="0"/>
        <w:rPr>
          <w:rFonts w:hint="eastAsia"/>
          <w:lang w:eastAsia="zh-CN"/>
        </w:rPr>
      </w:pPr>
      <w:r>
        <w:rPr>
          <w:rFonts w:hint="eastAsia"/>
          <w:lang w:eastAsia="zh-CN"/>
        </w:rPr>
        <w:t>根据地下水质量现状监测数据，地下水各项监测因子均满足《地下水质量标准》（GB/T14848-2017）Ⅲ类标准要求，区域地下水环境质量较好。</w:t>
      </w:r>
    </w:p>
    <w:p>
      <w:pPr>
        <w:bidi w:val="0"/>
        <w:rPr>
          <w:rFonts w:hint="eastAsia"/>
          <w:lang w:eastAsia="zh-CN"/>
        </w:rPr>
      </w:pPr>
      <w:r>
        <w:rPr>
          <w:rFonts w:hint="eastAsia"/>
          <w:lang w:eastAsia="zh-CN"/>
        </w:rPr>
        <w:t>2、建设阶段区域环境质量</w:t>
      </w:r>
    </w:p>
    <w:p>
      <w:pPr>
        <w:bidi w:val="0"/>
        <w:rPr>
          <w:rFonts w:hint="eastAsia"/>
          <w:lang w:eastAsia="zh-CN"/>
        </w:rPr>
      </w:pPr>
      <w:r>
        <w:rPr>
          <w:rFonts w:hint="eastAsia"/>
          <w:lang w:eastAsia="zh-CN"/>
        </w:rPr>
        <w:t>本项目为河道生态设施工程建设项目，项目建设阶段污染影响因素主要为施工扬尘及道路扬尘、施工废水及雨季地表径流、施工机械设备噪声及车辆运输噪声、固体废物等，项目施工期各项污染物在采取了合理的治理、防护措施后，各项污染物均能达标排放，对区域环境影响可以接受。</w:t>
      </w:r>
    </w:p>
    <w:p>
      <w:pPr>
        <w:bidi w:val="0"/>
        <w:rPr>
          <w:rFonts w:hint="eastAsia"/>
          <w:lang w:eastAsia="zh-CN"/>
        </w:rPr>
      </w:pPr>
      <w:r>
        <w:rPr>
          <w:rFonts w:hint="eastAsia"/>
          <w:lang w:eastAsia="zh-CN"/>
        </w:rPr>
        <w:t>3、项目建设前后区域环境质量变化情况</w:t>
      </w:r>
    </w:p>
    <w:p>
      <w:pPr>
        <w:bidi w:val="0"/>
      </w:pPr>
      <w:r>
        <w:rPr>
          <w:rFonts w:hint="eastAsia"/>
          <w:lang w:eastAsia="zh-CN"/>
        </w:rPr>
        <w:t>本项目为河道生态设施工程建设项目，项目对区域的环境质量的影响随着施工期的结束而结束，项目运营期主要为定期或根据工程损耗情况对建设内容适当维护，项目运营期不会产生废气、废水、噪声、固体废物等污染。项目投运后不会对区域环境质量不会造成不利影响，反之本项目种植的水生植物可有效吸附净化水中的污染物，可有效的改善本段河道及下游水质；生态护岸的建设将有效减少居民产生的生活垃圾等面源污染直接进入河流，生态护岸工程将使部分岸线较建设前明确，部分岸线、河道及滩地将不再遭受侵占，水土流失将得到有效控制。</w:t>
      </w:r>
      <w:r>
        <w:rPr>
          <w:rStyle w:val="63"/>
        </w:rPr>
        <w:t>7.2 社会效益分析</w:t>
      </w:r>
      <w:bookmarkEnd w:id="675"/>
      <w:bookmarkEnd w:id="676"/>
      <w:bookmarkEnd w:id="677"/>
      <w:bookmarkEnd w:id="678"/>
      <w:bookmarkEnd w:id="679"/>
      <w:bookmarkEnd w:id="680"/>
      <w:bookmarkEnd w:id="681"/>
      <w:bookmarkEnd w:id="682"/>
      <w:bookmarkEnd w:id="683"/>
    </w:p>
    <w:p>
      <w:pPr>
        <w:adjustRightInd w:val="0"/>
        <w:ind w:firstLine="540"/>
        <w:rPr>
          <w:szCs w:val="24"/>
        </w:rPr>
      </w:pPr>
      <w:bookmarkStart w:id="684" w:name="_Toc29846"/>
      <w:bookmarkStart w:id="685" w:name="_Toc470785906"/>
      <w:r>
        <w:rPr>
          <w:szCs w:val="24"/>
        </w:rPr>
        <w:t>本项目的社会效益主要体现在以下几个方面：</w:t>
      </w:r>
    </w:p>
    <w:p>
      <w:pPr>
        <w:adjustRightInd w:val="0"/>
        <w:ind w:firstLine="540"/>
        <w:rPr>
          <w:szCs w:val="24"/>
        </w:rPr>
      </w:pPr>
      <w:r>
        <w:rPr>
          <w:szCs w:val="24"/>
        </w:rPr>
        <w:t>（1）促进区域社会的发展</w:t>
      </w:r>
      <w:bookmarkEnd w:id="684"/>
    </w:p>
    <w:p>
      <w:pPr>
        <w:ind w:firstLine="540"/>
        <w:rPr>
          <w:szCs w:val="24"/>
        </w:rPr>
      </w:pPr>
      <w:r>
        <w:rPr>
          <w:szCs w:val="24"/>
        </w:rPr>
        <w:t>通过该项目的实施，提高</w:t>
      </w:r>
      <w:r>
        <w:rPr>
          <w:rFonts w:hint="eastAsia"/>
          <w:szCs w:val="24"/>
        </w:rPr>
        <w:t>柳河</w:t>
      </w:r>
      <w:r>
        <w:rPr>
          <w:rFonts w:hint="eastAsia"/>
          <w:szCs w:val="24"/>
          <w:lang w:eastAsia="zh-CN"/>
        </w:rPr>
        <w:t>三块石断面</w:t>
      </w:r>
      <w:r>
        <w:rPr>
          <w:szCs w:val="24"/>
        </w:rPr>
        <w:t>的水环境状况，建立了好的对外开放形象和平台，为区域经济快速发展提供了环境保护支撑，为区域经济的快速增长和社会经济的持续发展奠定了基础，有利于进一步释放经济增长潜力。</w:t>
      </w:r>
    </w:p>
    <w:p>
      <w:pPr>
        <w:adjustRightInd w:val="0"/>
        <w:ind w:firstLine="540"/>
        <w:rPr>
          <w:szCs w:val="24"/>
        </w:rPr>
      </w:pPr>
      <w:bookmarkStart w:id="686" w:name="_Toc19597"/>
      <w:r>
        <w:rPr>
          <w:szCs w:val="24"/>
        </w:rPr>
        <w:t>（2）</w:t>
      </w:r>
      <w:bookmarkEnd w:id="686"/>
      <w:r>
        <w:rPr>
          <w:szCs w:val="24"/>
        </w:rPr>
        <w:t>改善城乡居民生活环境</w:t>
      </w:r>
    </w:p>
    <w:p>
      <w:pPr>
        <w:ind w:firstLine="540"/>
        <w:rPr>
          <w:szCs w:val="24"/>
        </w:rPr>
      </w:pPr>
      <w:r>
        <w:rPr>
          <w:szCs w:val="24"/>
        </w:rPr>
        <w:t>项目的实施，有助于完善当地的基础设施建设，满足人民群众对精神文化的需求，间接带动区域相关配套产业发展，通过该项目拉动区域经济发展，改善群众生活环境，增加群众收入，增强社会稳定，提高生活质量。</w:t>
      </w:r>
    </w:p>
    <w:p>
      <w:pPr>
        <w:ind w:firstLine="540"/>
        <w:rPr>
          <w:szCs w:val="24"/>
        </w:rPr>
      </w:pPr>
      <w:r>
        <w:rPr>
          <w:szCs w:val="24"/>
        </w:rPr>
        <w:t>综合以上分析，项目具有较好的社会效益。</w:t>
      </w:r>
    </w:p>
    <w:p>
      <w:pPr>
        <w:pStyle w:val="5"/>
      </w:pPr>
      <w:bookmarkStart w:id="687" w:name="_Toc12340"/>
      <w:r>
        <w:t xml:space="preserve">7.3 </w:t>
      </w:r>
      <w:bookmarkEnd w:id="685"/>
      <w:bookmarkStart w:id="688" w:name="_Toc326755043"/>
      <w:bookmarkStart w:id="689" w:name="_Toc332632639"/>
      <w:bookmarkStart w:id="690" w:name="_Toc470785907"/>
      <w:r>
        <w:t>经济效益分析</w:t>
      </w:r>
      <w:bookmarkEnd w:id="687"/>
      <w:bookmarkEnd w:id="688"/>
      <w:bookmarkEnd w:id="689"/>
      <w:bookmarkEnd w:id="690"/>
    </w:p>
    <w:p>
      <w:pPr>
        <w:ind w:firstLine="480"/>
        <w:rPr>
          <w:rFonts w:hint="eastAsia"/>
        </w:rPr>
      </w:pPr>
      <w:r>
        <w:rPr>
          <w:rFonts w:hint="eastAsia"/>
        </w:rPr>
        <w:t>根据对建设项目污染物排放情况分析，建设项目环保投资的分配使用符合工程实际。</w:t>
      </w:r>
    </w:p>
    <w:p>
      <w:pPr>
        <w:ind w:firstLine="480"/>
        <w:rPr>
          <w:rFonts w:hint="eastAsia"/>
        </w:rPr>
      </w:pPr>
      <w:r>
        <w:rPr>
          <w:rFonts w:hint="eastAsia"/>
        </w:rPr>
        <w:t>通过建设环保设施，可实现项目施工期各类污染物的达标排放，把建设项目对周边居民生活以及区域环境质量的影响降到最低。</w:t>
      </w:r>
    </w:p>
    <w:p>
      <w:pPr>
        <w:pStyle w:val="5"/>
      </w:pPr>
      <w:bookmarkStart w:id="691" w:name="_Toc332632640"/>
      <w:bookmarkStart w:id="692" w:name="_Toc283110245"/>
      <w:bookmarkStart w:id="693" w:name="_Toc286934712"/>
      <w:bookmarkStart w:id="694" w:name="_Toc282946200"/>
      <w:bookmarkStart w:id="695" w:name="_Toc282959770"/>
      <w:bookmarkStart w:id="696" w:name="_Toc470785908"/>
      <w:bookmarkStart w:id="697" w:name="_Toc286835777"/>
      <w:bookmarkStart w:id="698" w:name="_Toc326755044"/>
      <w:bookmarkStart w:id="699" w:name="_Toc22831"/>
      <w:bookmarkStart w:id="700" w:name="_Toc269200674"/>
      <w:r>
        <w:t>7.</w:t>
      </w:r>
      <w:r>
        <w:rPr>
          <w:rFonts w:hint="eastAsia"/>
          <w:lang w:val="en-US" w:eastAsia="zh-CN"/>
        </w:rPr>
        <w:t xml:space="preserve">4 </w:t>
      </w:r>
      <w:r>
        <w:t>环境效益分析</w:t>
      </w:r>
      <w:bookmarkEnd w:id="691"/>
      <w:bookmarkEnd w:id="692"/>
      <w:bookmarkEnd w:id="693"/>
      <w:bookmarkEnd w:id="694"/>
      <w:bookmarkEnd w:id="695"/>
      <w:bookmarkEnd w:id="696"/>
      <w:bookmarkEnd w:id="697"/>
      <w:bookmarkEnd w:id="698"/>
      <w:bookmarkEnd w:id="699"/>
      <w:bookmarkEnd w:id="700"/>
    </w:p>
    <w:p>
      <w:pPr>
        <w:pStyle w:val="15"/>
        <w:keepNext w:val="0"/>
        <w:keepLines w:val="0"/>
        <w:pageBreakBefore w:val="0"/>
        <w:widowControl w:val="0"/>
        <w:kinsoku/>
        <w:wordWrap/>
        <w:overflowPunct w:val="0"/>
        <w:topLinePunct w:val="0"/>
        <w:autoSpaceDE/>
        <w:autoSpaceDN/>
        <w:bidi w:val="0"/>
        <w:adjustRightInd w:val="0"/>
        <w:snapToGrid w:val="0"/>
        <w:spacing w:after="0"/>
        <w:ind w:firstLine="480"/>
        <w:textAlignment w:val="auto"/>
        <w:rPr>
          <w:rFonts w:hint="eastAsia"/>
        </w:rPr>
      </w:pPr>
      <w:r>
        <w:rPr>
          <w:rFonts w:hint="eastAsia"/>
        </w:rPr>
        <w:t>河流水域生态保护修复工程与城乡环境保护密切相关，项目工程位于</w:t>
      </w:r>
      <w:r>
        <w:rPr>
          <w:rFonts w:hint="eastAsia"/>
          <w:lang w:eastAsia="zh-CN"/>
        </w:rPr>
        <w:t>兴隆县三块石村</w:t>
      </w:r>
      <w:r>
        <w:rPr>
          <w:rFonts w:hint="eastAsia"/>
        </w:rPr>
        <w:t>，项目的实施对于乡镇建设具有十分积极的作用，项目完成后，不但可以净化河流水质，维护良好的水生态环境，也有利于防治水土流失，增强水土保持。项目的实施有利于改善</w:t>
      </w:r>
      <w:r>
        <w:rPr>
          <w:rFonts w:hint="eastAsia"/>
          <w:lang w:eastAsia="zh-CN"/>
        </w:rPr>
        <w:t>流域内</w:t>
      </w:r>
      <w:r>
        <w:rPr>
          <w:rFonts w:hint="eastAsia"/>
        </w:rPr>
        <w:t>的河流水质，有利于维护良好的水生态环境，对区域水环境质量、监控断面环境质量、河流水域生态环境以及生态保护红线的提升和修复都能起到正面的、长远的积极作用。</w:t>
      </w:r>
    </w:p>
    <w:p>
      <w:pPr>
        <w:pStyle w:val="5"/>
      </w:pPr>
      <w:bookmarkStart w:id="701" w:name="_Toc12153"/>
      <w:r>
        <w:t>7.</w:t>
      </w:r>
      <w:r>
        <w:rPr>
          <w:rFonts w:hint="eastAsia"/>
          <w:lang w:val="en-US" w:eastAsia="zh-CN"/>
        </w:rPr>
        <w:t>5</w:t>
      </w:r>
      <w:r>
        <w:t xml:space="preserve"> 环境经济效益损益分析结论</w:t>
      </w:r>
      <w:bookmarkEnd w:id="701"/>
    </w:p>
    <w:p>
      <w:pPr>
        <w:bidi w:val="0"/>
        <w:rPr>
          <w:rFonts w:hint="eastAsia"/>
        </w:rPr>
      </w:pPr>
      <w:r>
        <w:rPr>
          <w:rFonts w:hint="eastAsia"/>
        </w:rPr>
        <w:t>项目建设单位在项目建设阶段通过落实各项污染防治及生态保护措施，项目的实施不会对区域环境产生明显不利影响。</w:t>
      </w:r>
    </w:p>
    <w:p>
      <w:pPr>
        <w:bidi w:val="0"/>
        <w:rPr>
          <w:rFonts w:hint="eastAsia"/>
        </w:rPr>
      </w:pPr>
      <w:r>
        <w:rPr>
          <w:rFonts w:hint="eastAsia"/>
        </w:rPr>
        <w:t>项目运行阶段对区域水环境质量、监控断面环境质量、河流水域生态环境以及生态保护红线的提升和修复都能起到正面的、长远的积极作用。</w:t>
      </w:r>
    </w:p>
    <w:p>
      <w:pPr>
        <w:bidi w:val="0"/>
        <w:sectPr>
          <w:pgSz w:w="11906" w:h="16838"/>
          <w:pgMar w:top="1701" w:right="1701" w:bottom="1701" w:left="1701" w:header="1020" w:footer="992" w:gutter="0"/>
          <w:cols w:space="425" w:num="1"/>
          <w:docGrid w:linePitch="326" w:charSpace="0"/>
        </w:sectPr>
      </w:pPr>
      <w:r>
        <w:rPr>
          <w:rFonts w:hint="eastAsia"/>
        </w:rPr>
        <w:t>综上所述，项目实施后具有良好的经济效益和社会效益，通过采取完善的环保治理措施和生态保护及恢复措施，项目建设阶段不会对当地环境产生明显不利影响、运行阶段对区域环境产生正面的、积极的环境影响。因此，可做到社会效益、经济效益和环境效益同步发展。</w:t>
      </w:r>
    </w:p>
    <w:p>
      <w:pPr>
        <w:pStyle w:val="3"/>
        <w:rPr>
          <w:rFonts w:ascii="Times New Roman" w:hAnsi="Times New Roman"/>
          <w:color w:val="000000" w:themeColor="text1"/>
          <w14:textFill>
            <w14:solidFill>
              <w14:schemeClr w14:val="tx1"/>
            </w14:solidFill>
          </w14:textFill>
        </w:rPr>
      </w:pPr>
      <w:bookmarkStart w:id="702" w:name="_Toc470785909"/>
      <w:bookmarkStart w:id="703" w:name="_Toc15773"/>
      <w:r>
        <w:rPr>
          <w:rFonts w:ascii="Times New Roman" w:hAnsi="Times New Roman"/>
          <w:color w:val="000000" w:themeColor="text1"/>
          <w14:textFill>
            <w14:solidFill>
              <w14:schemeClr w14:val="tx1"/>
            </w14:solidFill>
          </w14:textFill>
        </w:rPr>
        <w:t xml:space="preserve">第八章 </w:t>
      </w:r>
      <w:r>
        <w:fldChar w:fldCharType="begin"/>
      </w:r>
      <w:r>
        <w:instrText xml:space="preserve"> HYPERLINK \l "_Toc204682625" </w:instrText>
      </w:r>
      <w:r>
        <w:fldChar w:fldCharType="separate"/>
      </w:r>
      <w:r>
        <w:rPr>
          <w:rFonts w:ascii="Times New Roman" w:hAnsi="Times New Roman"/>
          <w:color w:val="000000" w:themeColor="text1"/>
          <w14:textFill>
            <w14:solidFill>
              <w14:schemeClr w14:val="tx1"/>
            </w14:solidFill>
          </w14:textFill>
        </w:rPr>
        <w:t>环境管理与监测</w:t>
      </w:r>
      <w:bookmarkEnd w:id="666"/>
      <w:bookmarkEnd w:id="667"/>
      <w:bookmarkEnd w:id="668"/>
      <w:bookmarkEnd w:id="669"/>
      <w:bookmarkEnd w:id="670"/>
      <w:bookmarkEnd w:id="671"/>
      <w:bookmarkEnd w:id="672"/>
      <w:bookmarkEnd w:id="673"/>
      <w:r>
        <w:rPr>
          <w:rFonts w:ascii="Times New Roman" w:hAnsi="Times New Roman"/>
          <w:color w:val="000000" w:themeColor="text1"/>
          <w14:textFill>
            <w14:solidFill>
              <w14:schemeClr w14:val="tx1"/>
            </w14:solidFill>
          </w14:textFill>
        </w:rPr>
        <w:t>计划</w:t>
      </w:r>
      <w:bookmarkEnd w:id="702"/>
      <w:r>
        <w:rPr>
          <w:rFonts w:ascii="Times New Roman" w:hAnsi="Times New Roman"/>
          <w:color w:val="000000" w:themeColor="text1"/>
          <w14:textFill>
            <w14:solidFill>
              <w14:schemeClr w14:val="tx1"/>
            </w14:solidFill>
          </w14:textFill>
        </w:rPr>
        <w:fldChar w:fldCharType="end"/>
      </w:r>
      <w:bookmarkEnd w:id="703"/>
    </w:p>
    <w:p>
      <w:pPr>
        <w:pStyle w:val="5"/>
      </w:pPr>
      <w:bookmarkStart w:id="704" w:name="_Toc332632634"/>
      <w:bookmarkStart w:id="705" w:name="_Toc326755038"/>
      <w:bookmarkStart w:id="706" w:name="_Toc470785910"/>
      <w:bookmarkStart w:id="707" w:name="_Toc4630"/>
      <w:bookmarkStart w:id="708" w:name="_Toc28514472"/>
      <w:bookmarkStart w:id="709" w:name="_Toc269200670"/>
      <w:bookmarkStart w:id="710" w:name="_Toc282946196"/>
      <w:bookmarkStart w:id="711" w:name="_Toc283110241"/>
      <w:bookmarkStart w:id="712" w:name="_Toc286934708"/>
      <w:bookmarkStart w:id="713" w:name="_Toc286835773"/>
      <w:bookmarkStart w:id="714" w:name="_Toc43528282"/>
      <w:bookmarkStart w:id="715" w:name="_Toc282959766"/>
      <w:r>
        <w:t>8.1 环境管理</w:t>
      </w:r>
      <w:bookmarkEnd w:id="704"/>
      <w:bookmarkEnd w:id="705"/>
      <w:bookmarkEnd w:id="706"/>
      <w:bookmarkEnd w:id="707"/>
    </w:p>
    <w:p>
      <w:pPr>
        <w:bidi w:val="0"/>
        <w:rPr>
          <w:rFonts w:hint="eastAsia"/>
        </w:rPr>
      </w:pPr>
      <w:bookmarkStart w:id="716" w:name="_Toc470785911"/>
      <w:r>
        <w:rPr>
          <w:rFonts w:hint="eastAsia"/>
        </w:rPr>
        <w:t>环境管理体系是企业生产管理体系的重要组成部分，建立环境管理体系可使企业在发展生产的同时提高清洁生产水平，控制污染物排放，减小对环境的影响，为企业创造良好的社会效益、经济效益和环境效益。</w:t>
      </w:r>
    </w:p>
    <w:p>
      <w:pPr>
        <w:bidi w:val="0"/>
        <w:rPr>
          <w:rFonts w:hint="eastAsia"/>
        </w:rPr>
      </w:pPr>
      <w:r>
        <w:rPr>
          <w:rFonts w:hint="eastAsia"/>
        </w:rPr>
        <w:t>环境管理计划是在充分了解项目执行过程中的特点，抓住环境管理中易出现薄弱环节的基础上，制定行之有效的环境管理计划。环境管理计划贯穿项目建设的全过程，包括管理机构的建立、项目建设阶段、生产运行阶段等全过程。</w:t>
      </w:r>
    </w:p>
    <w:p>
      <w:pPr>
        <w:pStyle w:val="6"/>
        <w:bidi w:val="0"/>
        <w:rPr>
          <w:rFonts w:hint="eastAsia"/>
        </w:rPr>
      </w:pPr>
      <w:bookmarkStart w:id="717" w:name="_Toc16941"/>
      <w:r>
        <w:rPr>
          <w:rFonts w:hint="eastAsia"/>
        </w:rPr>
        <w:t>8.1.1建设阶段环境管理</w:t>
      </w:r>
      <w:bookmarkEnd w:id="717"/>
    </w:p>
    <w:p>
      <w:pPr>
        <w:pStyle w:val="7"/>
        <w:bidi w:val="0"/>
        <w:rPr>
          <w:rFonts w:hint="eastAsia"/>
        </w:rPr>
      </w:pPr>
      <w:r>
        <w:rPr>
          <w:rFonts w:hint="eastAsia"/>
        </w:rPr>
        <w:t>8.1.1.1 建设阶段环境管理机构</w:t>
      </w:r>
    </w:p>
    <w:p>
      <w:pPr>
        <w:bidi w:val="0"/>
        <w:rPr>
          <w:rFonts w:hint="eastAsia"/>
        </w:rPr>
      </w:pPr>
      <w:r>
        <w:rPr>
          <w:rFonts w:hint="eastAsia"/>
        </w:rPr>
        <w:t>建设阶段的环境管理由建设单位、施工单位负责，组建环境管理机构，并由地方生态环境主管部门负责监督。</w:t>
      </w:r>
    </w:p>
    <w:p>
      <w:pPr>
        <w:bidi w:val="0"/>
        <w:rPr>
          <w:rFonts w:hint="eastAsia"/>
        </w:rPr>
      </w:pPr>
      <w:r>
        <w:rPr>
          <w:rFonts w:hint="eastAsia"/>
        </w:rPr>
        <w:t>主要内容包括：依照国家环境保护法律、法规，对施工中可能产生污染的环节进行规范化管理，定期或不定期的检查；督促建设单位、施工单位采取相应的污染防治措施，整改措施，以减轻对环境的污染。</w:t>
      </w:r>
    </w:p>
    <w:p>
      <w:pPr>
        <w:pStyle w:val="7"/>
        <w:bidi w:val="0"/>
        <w:rPr>
          <w:rFonts w:hint="eastAsia"/>
        </w:rPr>
      </w:pPr>
      <w:r>
        <w:rPr>
          <w:rFonts w:hint="eastAsia"/>
        </w:rPr>
        <w:t>8.1.1.2 建设阶段环境管理机构职责</w:t>
      </w:r>
    </w:p>
    <w:p>
      <w:pPr>
        <w:bidi w:val="0"/>
        <w:rPr>
          <w:rFonts w:hint="eastAsia"/>
        </w:rPr>
      </w:pPr>
      <w:r>
        <w:rPr>
          <w:rFonts w:hint="eastAsia"/>
        </w:rPr>
        <w:t>1、贯彻执行环境保护法律、法规和标准；根据国家有关施工管理条例和施工操作规范，制定施工环保管理条例，为施工单位的施工活动提出指导性要求，同时派专人监督施工单位对条例的执行情况；</w:t>
      </w:r>
    </w:p>
    <w:p>
      <w:pPr>
        <w:bidi w:val="0"/>
        <w:rPr>
          <w:rFonts w:hint="eastAsia"/>
        </w:rPr>
      </w:pPr>
      <w:r>
        <w:rPr>
          <w:rFonts w:hint="eastAsia"/>
        </w:rPr>
        <w:t>2、对施工中可能产生污染的环节进行规范管理，定期或不定期检查；检查建设阶段环境保护设施运行情况；</w:t>
      </w:r>
    </w:p>
    <w:p>
      <w:pPr>
        <w:bidi w:val="0"/>
        <w:rPr>
          <w:rFonts w:hint="eastAsia"/>
        </w:rPr>
      </w:pPr>
      <w:r>
        <w:rPr>
          <w:rFonts w:hint="eastAsia"/>
        </w:rPr>
        <w:t>3、推广应用施工环境保护先进技术；</w:t>
      </w:r>
    </w:p>
    <w:p>
      <w:pPr>
        <w:bidi w:val="0"/>
        <w:rPr>
          <w:rFonts w:hint="eastAsia"/>
        </w:rPr>
      </w:pPr>
      <w:r>
        <w:rPr>
          <w:rFonts w:hint="eastAsia"/>
        </w:rPr>
        <w:t>4、组织开展必要的环境保护专业技能培训，提供施工人员的环境保护意识；</w:t>
      </w:r>
    </w:p>
    <w:p>
      <w:pPr>
        <w:bidi w:val="0"/>
        <w:rPr>
          <w:rFonts w:hint="eastAsia"/>
        </w:rPr>
      </w:pPr>
      <w:r>
        <w:rPr>
          <w:rFonts w:hint="eastAsia"/>
        </w:rPr>
        <w:t>5、听取生态环境主管部门和周围居民对施工中生态环境保护方面的意见，以便进一步加强文明施工和管理。</w:t>
      </w:r>
    </w:p>
    <w:p>
      <w:pPr>
        <w:pStyle w:val="7"/>
        <w:bidi w:val="0"/>
        <w:rPr>
          <w:rFonts w:hint="eastAsia"/>
        </w:rPr>
      </w:pPr>
      <w:r>
        <w:rPr>
          <w:rFonts w:hint="eastAsia"/>
        </w:rPr>
        <w:t>8.1.1.3 建设阶段环境管理内容</w:t>
      </w:r>
    </w:p>
    <w:p>
      <w:pPr>
        <w:bidi w:val="0"/>
        <w:rPr>
          <w:rFonts w:hint="eastAsia"/>
        </w:rPr>
      </w:pPr>
      <w:r>
        <w:rPr>
          <w:rFonts w:hint="eastAsia"/>
        </w:rPr>
        <w:t>1、根据国家相关生态环境保护政策、标准及要求，制定项目建设阶段环保管理规章制度、各种污染物排放及控制指标。</w:t>
      </w:r>
    </w:p>
    <w:p>
      <w:pPr>
        <w:bidi w:val="0"/>
        <w:rPr>
          <w:rFonts w:hint="eastAsia"/>
        </w:rPr>
      </w:pPr>
      <w:r>
        <w:rPr>
          <w:rFonts w:hint="eastAsia"/>
        </w:rPr>
        <w:t>2、当地环境监测部门负责对施工场界噪声、扬尘治理情况检查，及时掌握项目污染状况，提出抑尘、降噪措施，建设单位按照要求进行整改。</w:t>
      </w:r>
    </w:p>
    <w:p>
      <w:pPr>
        <w:ind w:firstLine="480"/>
        <w:rPr>
          <w:rFonts w:hint="eastAsia"/>
        </w:rPr>
      </w:pPr>
      <w:r>
        <w:rPr>
          <w:rFonts w:hint="eastAsia"/>
        </w:rPr>
        <w:t>3、建筑施工单位在办理完招投标手续后，在项目开工十五日前，携带施工合同等有关资料到承德市生态环境局</w:t>
      </w:r>
      <w:r>
        <w:rPr>
          <w:rFonts w:hint="eastAsia"/>
          <w:lang w:eastAsia="zh-CN"/>
        </w:rPr>
        <w:t>兴隆</w:t>
      </w:r>
      <w:r>
        <w:rPr>
          <w:rFonts w:hint="eastAsia"/>
        </w:rPr>
        <w:t>县分局进行施工备案。</w:t>
      </w:r>
      <w:bookmarkEnd w:id="708"/>
      <w:bookmarkEnd w:id="716"/>
    </w:p>
    <w:p>
      <w:pPr>
        <w:ind w:firstLine="480"/>
      </w:pPr>
      <w:r>
        <w:rPr>
          <w:rFonts w:hint="eastAsia"/>
        </w:rPr>
        <w:t>建设阶段环境管理内容见表8</w:t>
      </w:r>
      <w:r>
        <w:rPr>
          <w:rFonts w:hint="eastAsia"/>
          <w:lang w:val="en-US" w:eastAsia="zh-CN"/>
        </w:rPr>
        <w:t>.1</w:t>
      </w:r>
      <w:r>
        <w:rPr>
          <w:rFonts w:hint="eastAsia"/>
        </w:rPr>
        <w:t>-1。</w:t>
      </w:r>
    </w:p>
    <w:p>
      <w:pPr>
        <w:ind w:firstLine="175" w:firstLineChars="83"/>
        <w:jc w:val="center"/>
        <w:rPr>
          <w:b/>
          <w:sz w:val="21"/>
          <w:szCs w:val="21"/>
        </w:rPr>
      </w:pPr>
      <w:r>
        <w:rPr>
          <w:b/>
          <w:sz w:val="21"/>
          <w:szCs w:val="21"/>
        </w:rPr>
        <w:t>表8</w:t>
      </w:r>
      <w:r>
        <w:rPr>
          <w:rFonts w:hint="eastAsia"/>
          <w:b/>
          <w:sz w:val="21"/>
          <w:szCs w:val="21"/>
        </w:rPr>
        <w:t>.1</w:t>
      </w:r>
      <w:r>
        <w:rPr>
          <w:b/>
          <w:sz w:val="21"/>
          <w:szCs w:val="21"/>
        </w:rPr>
        <w:t xml:space="preserve">-1 </w:t>
      </w:r>
      <w:r>
        <w:rPr>
          <w:rFonts w:hint="eastAsia"/>
          <w:b/>
          <w:sz w:val="21"/>
          <w:szCs w:val="21"/>
          <w:lang w:val="en-US" w:eastAsia="zh-CN"/>
        </w:rPr>
        <w:t>建设阶段环境管理内容一览表</w:t>
      </w:r>
    </w:p>
    <w:tbl>
      <w:tblPr>
        <w:tblStyle w:val="39"/>
        <w:tblW w:w="50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9"/>
        <w:gridCol w:w="1328"/>
        <w:gridCol w:w="4337"/>
        <w:gridCol w:w="1154"/>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2"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b/>
                <w:bCs/>
                <w:smallCaps/>
                <w:sz w:val="21"/>
                <w:szCs w:val="21"/>
              </w:rPr>
            </w:pPr>
            <w:r>
              <w:rPr>
                <w:rFonts w:hint="default"/>
                <w:b/>
                <w:bCs/>
                <w:smallCaps/>
                <w:sz w:val="21"/>
                <w:szCs w:val="21"/>
              </w:rPr>
              <w:t>环境要素</w:t>
            </w:r>
          </w:p>
        </w:tc>
        <w:tc>
          <w:tcPr>
            <w:tcW w:w="774"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b/>
                <w:bCs/>
                <w:smallCaps/>
                <w:sz w:val="21"/>
                <w:szCs w:val="21"/>
              </w:rPr>
            </w:pPr>
            <w:r>
              <w:rPr>
                <w:rFonts w:hint="default"/>
                <w:b/>
                <w:bCs/>
                <w:smallCaps/>
                <w:sz w:val="21"/>
                <w:szCs w:val="21"/>
              </w:rPr>
              <w:t>对象</w:t>
            </w:r>
          </w:p>
        </w:tc>
        <w:tc>
          <w:tcPr>
            <w:tcW w:w="2528"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b/>
                <w:bCs/>
                <w:smallCaps/>
                <w:sz w:val="21"/>
                <w:szCs w:val="21"/>
              </w:rPr>
            </w:pPr>
            <w:r>
              <w:rPr>
                <w:rFonts w:hint="default"/>
                <w:b/>
                <w:bCs/>
                <w:smallCaps/>
                <w:sz w:val="21"/>
                <w:szCs w:val="21"/>
              </w:rPr>
              <w:t>主要内容</w:t>
            </w:r>
          </w:p>
        </w:tc>
        <w:tc>
          <w:tcPr>
            <w:tcW w:w="673"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b/>
                <w:bCs/>
                <w:smallCaps/>
                <w:sz w:val="21"/>
                <w:szCs w:val="21"/>
              </w:rPr>
            </w:pPr>
            <w:r>
              <w:rPr>
                <w:rFonts w:hint="default"/>
                <w:b/>
                <w:bCs/>
                <w:smallCaps/>
                <w:sz w:val="21"/>
                <w:szCs w:val="21"/>
              </w:rPr>
              <w:t>主要工作方式</w:t>
            </w:r>
          </w:p>
        </w:tc>
        <w:tc>
          <w:tcPr>
            <w:tcW w:w="690"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b/>
                <w:bCs/>
                <w:smallCaps/>
                <w:sz w:val="21"/>
                <w:szCs w:val="21"/>
              </w:rPr>
            </w:pPr>
            <w:r>
              <w:rPr>
                <w:rFonts w:hint="default"/>
                <w:b/>
                <w:bCs/>
                <w:smallCaps/>
                <w:sz w:val="21"/>
                <w:szCs w:val="21"/>
              </w:rPr>
              <w:t>出现超标或违规现场处置方案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2"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环境空气</w:t>
            </w:r>
          </w:p>
        </w:tc>
        <w:tc>
          <w:tcPr>
            <w:tcW w:w="774"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土地开挖、填方、平整等扬尘、物料堆放、装卸扬尘、道路扬尘</w:t>
            </w:r>
          </w:p>
        </w:tc>
        <w:tc>
          <w:tcPr>
            <w:tcW w:w="2528"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eastAsia"/>
                <w:sz w:val="21"/>
                <w:szCs w:val="20"/>
              </w:rPr>
              <w:t>在施工现场出入口明显位置设置公示牌；对施工现场出入口、场内施工道路、材料加工堆放区进行简单硬化处理，并保持地面整洁；在施工现场出口处设置车辆清洗设施；施工建设过程中采用洒水措施；施工时减少土地开挖面积，施工后及时回填；</w:t>
            </w:r>
            <w:r>
              <w:rPr>
                <w:rFonts w:hint="default"/>
                <w:sz w:val="21"/>
                <w:szCs w:val="20"/>
              </w:rPr>
              <w:t>粉状、粒状建筑材料应采取密闭或者遮盖等防尘措施</w:t>
            </w:r>
            <w:r>
              <w:rPr>
                <w:rFonts w:hint="eastAsia"/>
                <w:sz w:val="21"/>
                <w:szCs w:val="20"/>
              </w:rPr>
              <w:t>；建筑垃圾当及时清运，在场地内堆存的，应当集中堆放并采取密闭或者遮盖等防尘措施；运输车辆减速慢行，蓬布遮盖，对运输道路及时进行清扫；</w:t>
            </w:r>
            <w:r>
              <w:rPr>
                <w:rFonts w:hint="default"/>
                <w:sz w:val="21"/>
                <w:szCs w:val="20"/>
              </w:rPr>
              <w:t>建</w:t>
            </w:r>
            <w:r>
              <w:rPr>
                <w:rFonts w:hint="eastAsia"/>
                <w:sz w:val="21"/>
                <w:szCs w:val="20"/>
              </w:rPr>
              <w:t>设</w:t>
            </w:r>
            <w:r>
              <w:rPr>
                <w:rFonts w:hint="default"/>
                <w:sz w:val="21"/>
                <w:szCs w:val="20"/>
              </w:rPr>
              <w:t>施工加强监管</w:t>
            </w:r>
          </w:p>
        </w:tc>
        <w:tc>
          <w:tcPr>
            <w:tcW w:w="673"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建设阶段环境空气监测、巡视各物料堆存点等施工现场和施工临时场地</w:t>
            </w:r>
          </w:p>
        </w:tc>
        <w:tc>
          <w:tcPr>
            <w:tcW w:w="690" w:type="pct"/>
            <w:vMerge w:val="restar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通知建设单位和施工单位采取补救措施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2"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水环境</w:t>
            </w:r>
          </w:p>
        </w:tc>
        <w:tc>
          <w:tcPr>
            <w:tcW w:w="774"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施工场地</w:t>
            </w:r>
          </w:p>
        </w:tc>
        <w:tc>
          <w:tcPr>
            <w:tcW w:w="2528" w:type="pct"/>
            <w:vAlign w:val="center"/>
          </w:tcPr>
          <w:p>
            <w:pPr>
              <w:pStyle w:val="65"/>
              <w:keepNext w:val="0"/>
              <w:keepLines w:val="0"/>
              <w:suppressLineNumbers w:val="0"/>
              <w:spacing w:before="0" w:beforeAutospacing="0" w:after="0" w:afterAutospacing="0" w:line="240" w:lineRule="auto"/>
              <w:ind w:left="0" w:right="0"/>
              <w:rPr>
                <w:rFonts w:hint="eastAsia"/>
              </w:rPr>
            </w:pPr>
            <w:r>
              <w:rPr>
                <w:rFonts w:hint="eastAsia"/>
              </w:rPr>
              <w:t>施工场地地表径流通过临时集水沉淀池沉淀后用于洒水降尘及绿化，项目不设车辆维修站等，废水主要是机械设备简单冲洗水，拟在施工机械停放场周围布置集水沟，冲洗废水经集水沟收集进入隔油沉淀池处理后用于洒水降尘。</w:t>
            </w:r>
          </w:p>
          <w:p>
            <w:pPr>
              <w:pStyle w:val="65"/>
              <w:keepNext w:val="0"/>
              <w:keepLines w:val="0"/>
              <w:suppressLineNumbers w:val="0"/>
              <w:spacing w:before="0" w:beforeAutospacing="0" w:after="0" w:afterAutospacing="0" w:line="240" w:lineRule="auto"/>
              <w:ind w:left="0" w:right="0"/>
              <w:rPr>
                <w:rFonts w:hint="eastAsia"/>
              </w:rPr>
            </w:pPr>
            <w:r>
              <w:rPr>
                <w:rFonts w:hint="eastAsia"/>
              </w:rPr>
              <w:t>基坑排水经在基坑底面合理布置的排水沟槽，用水泵将少量渗出的地下水及时排出，泵入河道外侧的临时集水沉淀池，沉淀后用于施工场地洒水降尘及绿化，不再回流进入河道，不外排。</w:t>
            </w:r>
          </w:p>
          <w:p>
            <w:pPr>
              <w:pStyle w:val="65"/>
              <w:keepNext w:val="0"/>
              <w:keepLines w:val="0"/>
              <w:suppressLineNumbers w:val="0"/>
              <w:spacing w:before="0" w:beforeAutospacing="0" w:after="0" w:afterAutospacing="0" w:line="240" w:lineRule="auto"/>
              <w:ind w:left="0" w:right="0"/>
              <w:rPr>
                <w:rFonts w:hint="default"/>
              </w:rPr>
            </w:pPr>
            <w:r>
              <w:rPr>
                <w:rFonts w:hint="eastAsia"/>
              </w:rPr>
              <w:t>施工人员</w:t>
            </w:r>
            <w:r>
              <w:rPr>
                <w:rFonts w:hint="default"/>
              </w:rPr>
              <w:t>盥洗</w:t>
            </w:r>
            <w:r>
              <w:rPr>
                <w:rFonts w:hint="eastAsia"/>
              </w:rPr>
              <w:t>废</w:t>
            </w:r>
            <w:r>
              <w:rPr>
                <w:rFonts w:hint="default"/>
              </w:rPr>
              <w:t>水，水质较为清洁</w:t>
            </w:r>
            <w:r>
              <w:rPr>
                <w:rFonts w:hint="eastAsia"/>
              </w:rPr>
              <w:t>，</w:t>
            </w:r>
            <w:r>
              <w:rPr>
                <w:rFonts w:hint="default"/>
              </w:rPr>
              <w:t>泼洒至施工现场</w:t>
            </w:r>
            <w:r>
              <w:rPr>
                <w:rFonts w:hint="eastAsia"/>
              </w:rPr>
              <w:t>，</w:t>
            </w:r>
            <w:r>
              <w:rPr>
                <w:rFonts w:hint="default"/>
              </w:rPr>
              <w:t>用于降尘</w:t>
            </w:r>
            <w:r>
              <w:rPr>
                <w:rFonts w:hint="eastAsia"/>
              </w:rPr>
              <w:t>或周边植被绿化</w:t>
            </w:r>
            <w:r>
              <w:rPr>
                <w:rFonts w:hint="default"/>
              </w:rPr>
              <w:t>使用</w:t>
            </w:r>
          </w:p>
        </w:tc>
        <w:tc>
          <w:tcPr>
            <w:tcW w:w="673"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巡视各施工现场、施工临时占地</w:t>
            </w:r>
          </w:p>
        </w:tc>
        <w:tc>
          <w:tcPr>
            <w:tcW w:w="690" w:type="pct"/>
            <w:vMerge w:val="continue"/>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2"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声环</w:t>
            </w:r>
          </w:p>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境</w:t>
            </w:r>
          </w:p>
        </w:tc>
        <w:tc>
          <w:tcPr>
            <w:tcW w:w="774"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施工运输道路和施工场地</w:t>
            </w:r>
          </w:p>
        </w:tc>
        <w:tc>
          <w:tcPr>
            <w:tcW w:w="2528"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eastAsia"/>
                <w:smallCaps/>
                <w:sz w:val="21"/>
                <w:szCs w:val="21"/>
              </w:rPr>
              <w:t>选用低噪声设备和先进的工艺，规范设备操作，加强设备养护，</w:t>
            </w:r>
            <w:r>
              <w:rPr>
                <w:rFonts w:hint="default"/>
                <w:smallCaps/>
                <w:sz w:val="21"/>
                <w:szCs w:val="21"/>
              </w:rPr>
              <w:t>夜</w:t>
            </w:r>
            <w:r>
              <w:rPr>
                <w:rFonts w:hint="default" w:ascii="Times New Roman" w:hAnsi="Times New Roman" w:cs="Times New Roman"/>
                <w:smallCaps/>
                <w:sz w:val="21"/>
                <w:szCs w:val="21"/>
              </w:rPr>
              <w:t>间（22：00-次日6：00）禁止施工，合理安排施工进度，加强施工期环境管</w:t>
            </w:r>
            <w:r>
              <w:rPr>
                <w:rFonts w:hint="default"/>
                <w:smallCaps/>
                <w:sz w:val="21"/>
                <w:szCs w:val="21"/>
              </w:rPr>
              <w:t>理</w:t>
            </w:r>
            <w:r>
              <w:rPr>
                <w:rFonts w:hint="eastAsia"/>
                <w:smallCaps/>
                <w:sz w:val="21"/>
                <w:szCs w:val="21"/>
              </w:rPr>
              <w:t>；</w:t>
            </w:r>
            <w:r>
              <w:rPr>
                <w:rFonts w:hint="eastAsia"/>
                <w:sz w:val="21"/>
                <w:szCs w:val="20"/>
              </w:rPr>
              <w:t>车辆减速慢行，不鸣笛</w:t>
            </w:r>
          </w:p>
        </w:tc>
        <w:tc>
          <w:tcPr>
            <w:tcW w:w="673"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建设阶段声环境监测、巡视各施工现场和施工临时场地</w:t>
            </w:r>
          </w:p>
        </w:tc>
        <w:tc>
          <w:tcPr>
            <w:tcW w:w="690" w:type="pct"/>
            <w:vMerge w:val="continue"/>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2"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color w:val="000000" w:themeColor="text1"/>
                <w:sz w:val="21"/>
                <w:szCs w:val="21"/>
                <w14:textFill>
                  <w14:solidFill>
                    <w14:schemeClr w14:val="tx1"/>
                  </w14:solidFill>
                </w14:textFill>
              </w:rPr>
            </w:pPr>
            <w:r>
              <w:rPr>
                <w:rFonts w:hint="default"/>
                <w:smallCaps/>
                <w:color w:val="000000" w:themeColor="text1"/>
                <w:sz w:val="21"/>
                <w:szCs w:val="21"/>
                <w14:textFill>
                  <w14:solidFill>
                    <w14:schemeClr w14:val="tx1"/>
                  </w14:solidFill>
                </w14:textFill>
              </w:rPr>
              <w:t>固体废物</w:t>
            </w:r>
          </w:p>
        </w:tc>
        <w:tc>
          <w:tcPr>
            <w:tcW w:w="774"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color w:val="000000" w:themeColor="text1"/>
                <w:sz w:val="21"/>
                <w:szCs w:val="21"/>
                <w14:textFill>
                  <w14:solidFill>
                    <w14:schemeClr w14:val="tx1"/>
                  </w14:solidFill>
                </w14:textFill>
              </w:rPr>
            </w:pPr>
            <w:r>
              <w:rPr>
                <w:rFonts w:hint="eastAsia"/>
                <w:smallCaps/>
                <w:color w:val="000000" w:themeColor="text1"/>
                <w:sz w:val="21"/>
                <w:szCs w:val="21"/>
                <w14:textFill>
                  <w14:solidFill>
                    <w14:schemeClr w14:val="tx1"/>
                  </w14:solidFill>
                </w14:textFill>
              </w:rPr>
              <w:t>表土、</w:t>
            </w:r>
            <w:r>
              <w:rPr>
                <w:rFonts w:hint="default"/>
                <w:smallCaps/>
                <w:color w:val="000000" w:themeColor="text1"/>
                <w:sz w:val="21"/>
                <w:szCs w:val="21"/>
                <w14:textFill>
                  <w14:solidFill>
                    <w14:schemeClr w14:val="tx1"/>
                  </w14:solidFill>
                </w14:textFill>
              </w:rPr>
              <w:t>开挖的土石方、沉淀</w:t>
            </w:r>
            <w:r>
              <w:rPr>
                <w:rFonts w:hint="eastAsia"/>
                <w:smallCaps/>
                <w:color w:val="000000" w:themeColor="text1"/>
                <w:sz w:val="21"/>
                <w:szCs w:val="21"/>
                <w14:textFill>
                  <w14:solidFill>
                    <w14:schemeClr w14:val="tx1"/>
                  </w14:solidFill>
                </w14:textFill>
              </w:rPr>
              <w:t>集水</w:t>
            </w:r>
            <w:r>
              <w:rPr>
                <w:rFonts w:hint="default"/>
                <w:smallCaps/>
                <w:color w:val="000000" w:themeColor="text1"/>
                <w:sz w:val="21"/>
                <w:szCs w:val="21"/>
                <w14:textFill>
                  <w14:solidFill>
                    <w14:schemeClr w14:val="tx1"/>
                  </w14:solidFill>
                </w14:textFill>
              </w:rPr>
              <w:t>池底泥、生活垃圾</w:t>
            </w:r>
          </w:p>
        </w:tc>
        <w:tc>
          <w:tcPr>
            <w:tcW w:w="2528"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highlight w:val="none"/>
              </w:rPr>
            </w:pPr>
            <w:r>
              <w:rPr>
                <w:rFonts w:hint="eastAsia"/>
                <w:smallCaps/>
                <w:sz w:val="21"/>
                <w:szCs w:val="21"/>
                <w:highlight w:val="none"/>
              </w:rPr>
              <w:t>项目表土集中收集，单独贮存，表土贮存顶部采用编织布覆盖，四周设简易排水沟，防治水土流失；表土用于土方回填使用。施工结束后对表土场生态恢复；</w:t>
            </w:r>
          </w:p>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highlight w:val="none"/>
              </w:rPr>
            </w:pPr>
            <w:r>
              <w:rPr>
                <w:rFonts w:hint="eastAsia"/>
                <w:smallCaps/>
                <w:sz w:val="21"/>
                <w:szCs w:val="21"/>
                <w:highlight w:val="none"/>
              </w:rPr>
              <w:t>河道清理产生的河道淤泥用于河滩地低洼地区回填，河流冲积物用于附近村镇乡路垫道，岸坡垃圾集中收集运至生活垃圾填埋场填埋处置；生态护岸工程不产生弃方；生态步道工程不产生弃方，项目不产生弃土，因此不设弃土场；</w:t>
            </w:r>
          </w:p>
          <w:p>
            <w:pPr>
              <w:pStyle w:val="34"/>
              <w:keepNext w:val="0"/>
              <w:keepLines w:val="0"/>
              <w:suppressLineNumbers w:val="0"/>
              <w:spacing w:before="0" w:beforeAutospacing="0" w:after="0" w:afterAutospacing="0" w:line="240" w:lineRule="auto"/>
              <w:ind w:left="0" w:leftChars="0" w:right="0" w:firstLine="0" w:firstLineChars="0"/>
              <w:jc w:val="center"/>
              <w:rPr>
                <w:rFonts w:hint="eastAsia"/>
                <w:smallCaps/>
                <w:sz w:val="21"/>
                <w:szCs w:val="21"/>
                <w:highlight w:val="none"/>
                <w:lang w:eastAsia="zh-CN"/>
              </w:rPr>
            </w:pPr>
            <w:r>
              <w:rPr>
                <w:rFonts w:hint="eastAsia"/>
                <w:smallCaps/>
                <w:sz w:val="21"/>
                <w:szCs w:val="21"/>
                <w:highlight w:val="none"/>
              </w:rPr>
              <w:t>项目于河道管理线外设置临时沉淀池，底泥定期清运至土方回填区</w:t>
            </w:r>
            <w:r>
              <w:rPr>
                <w:rFonts w:hint="eastAsia"/>
                <w:smallCaps/>
                <w:sz w:val="21"/>
                <w:szCs w:val="21"/>
                <w:highlight w:val="none"/>
                <w:lang w:eastAsia="zh-CN"/>
              </w:rPr>
              <w:t>；</w:t>
            </w:r>
          </w:p>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color w:val="FF0000"/>
                <w:sz w:val="21"/>
                <w:szCs w:val="21"/>
                <w:highlight w:val="none"/>
              </w:rPr>
            </w:pPr>
            <w:r>
              <w:rPr>
                <w:rFonts w:hint="eastAsia"/>
                <w:smallCaps/>
                <w:sz w:val="21"/>
                <w:szCs w:val="21"/>
                <w:highlight w:val="none"/>
              </w:rPr>
              <w:t>施工人员生活垃圾分类收集，送至区域指定生活垃圾集中堆存点，由区域环卫部门统一负责处置。</w:t>
            </w:r>
          </w:p>
        </w:tc>
        <w:tc>
          <w:tcPr>
            <w:tcW w:w="673"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施工前明确临时堆存地点，对执行情况进行巡检</w:t>
            </w:r>
          </w:p>
        </w:tc>
        <w:tc>
          <w:tcPr>
            <w:tcW w:w="690"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通知建设单位、水务部门和施工单位采取补救措施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32"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环保设施施工</w:t>
            </w:r>
          </w:p>
        </w:tc>
        <w:tc>
          <w:tcPr>
            <w:tcW w:w="774"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项目环境影响报告书、环保主管部门的批复和工程设计中提出的各项环保设施的建设</w:t>
            </w:r>
          </w:p>
        </w:tc>
        <w:tc>
          <w:tcPr>
            <w:tcW w:w="2528"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地面洒水抑尘措施、场区绿化；产噪设备采取降噪措施，合理施工</w:t>
            </w:r>
          </w:p>
        </w:tc>
        <w:tc>
          <w:tcPr>
            <w:tcW w:w="673"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同工程监理</w:t>
            </w:r>
          </w:p>
        </w:tc>
        <w:tc>
          <w:tcPr>
            <w:tcW w:w="690" w:type="pct"/>
            <w:vAlign w:val="center"/>
          </w:tcPr>
          <w:p>
            <w:pPr>
              <w:pStyle w:val="34"/>
              <w:keepNext w:val="0"/>
              <w:keepLines w:val="0"/>
              <w:suppressLineNumbers w:val="0"/>
              <w:spacing w:before="0" w:beforeAutospacing="0" w:after="0" w:afterAutospacing="0" w:line="240" w:lineRule="auto"/>
              <w:ind w:left="0" w:leftChars="0" w:right="0" w:firstLine="0" w:firstLineChars="0"/>
              <w:jc w:val="center"/>
              <w:rPr>
                <w:rFonts w:hint="default"/>
                <w:smallCaps/>
                <w:sz w:val="21"/>
                <w:szCs w:val="21"/>
              </w:rPr>
            </w:pPr>
            <w:r>
              <w:rPr>
                <w:rFonts w:hint="default"/>
                <w:smallCaps/>
                <w:sz w:val="21"/>
                <w:szCs w:val="21"/>
              </w:rPr>
              <w:t>同工程监理</w:t>
            </w:r>
          </w:p>
        </w:tc>
      </w:tr>
    </w:tbl>
    <w:p>
      <w:pPr>
        <w:pStyle w:val="6"/>
        <w:spacing w:before="156"/>
        <w:rPr>
          <w:b/>
        </w:rPr>
      </w:pPr>
      <w:bookmarkStart w:id="718" w:name="_Toc27347"/>
      <w:r>
        <w:rPr>
          <w:rFonts w:hint="eastAsia"/>
          <w:b/>
          <w:lang w:val="en-US" w:eastAsia="zh-CN"/>
        </w:rPr>
        <w:t>8.1.2</w:t>
      </w:r>
      <w:r>
        <w:rPr>
          <w:rFonts w:hint="eastAsia"/>
          <w:b/>
        </w:rPr>
        <w:t>运行阶段</w:t>
      </w:r>
      <w:r>
        <w:rPr>
          <w:b/>
        </w:rPr>
        <w:t>环境管理</w:t>
      </w:r>
      <w:bookmarkEnd w:id="718"/>
    </w:p>
    <w:p>
      <w:r>
        <w:t>项目</w:t>
      </w:r>
      <w:r>
        <w:rPr>
          <w:rFonts w:hint="eastAsia"/>
        </w:rPr>
        <w:t>运行阶段</w:t>
      </w:r>
      <w:r>
        <w:t>主要为定期或根据工程损耗情况对建设内容适当维护，因此不对运行阶段环境管理进行说明。</w:t>
      </w:r>
    </w:p>
    <w:p>
      <w:pPr>
        <w:pStyle w:val="5"/>
        <w:bidi w:val="0"/>
        <w:rPr>
          <w:rFonts w:hint="default"/>
          <w:lang w:val="en-US" w:eastAsia="zh-CN"/>
        </w:rPr>
      </w:pPr>
      <w:bookmarkStart w:id="719" w:name="_Toc16847"/>
      <w:r>
        <w:rPr>
          <w:rFonts w:hint="eastAsia"/>
          <w:lang w:val="en-US" w:eastAsia="zh-CN"/>
        </w:rPr>
        <w:t>8.2污染物排放清单</w:t>
      </w:r>
      <w:bookmarkEnd w:id="719"/>
    </w:p>
    <w:p>
      <w:pPr>
        <w:bidi w:val="0"/>
        <w:rPr>
          <w:rFonts w:hint="eastAsia"/>
          <w:lang w:eastAsia="zh-CN"/>
        </w:rPr>
        <w:sectPr>
          <w:footerReference r:id="rId23" w:type="default"/>
          <w:pgSz w:w="11906" w:h="16838"/>
          <w:pgMar w:top="1701" w:right="1701" w:bottom="1701" w:left="1701" w:header="1020" w:footer="992" w:gutter="0"/>
          <w:cols w:space="425" w:num="1"/>
          <w:docGrid w:linePitch="326" w:charSpace="0"/>
        </w:sectPr>
      </w:pPr>
      <w:r>
        <w:rPr>
          <w:rFonts w:hint="eastAsia"/>
        </w:rPr>
        <w:t>根据工程分析，项目产生的污染物排放清单列表如下</w:t>
      </w:r>
      <w:r>
        <w:rPr>
          <w:rFonts w:hint="eastAsia"/>
          <w:lang w:eastAsia="zh-CN"/>
        </w:rPr>
        <w:t>。</w:t>
      </w:r>
    </w:p>
    <w:p>
      <w:pPr>
        <w:ind w:firstLine="481"/>
        <w:jc w:val="center"/>
        <w:rPr>
          <w:rFonts w:hint="eastAsia"/>
        </w:rPr>
      </w:pPr>
      <w:r>
        <w:rPr>
          <w:b/>
          <w:sz w:val="21"/>
          <w:szCs w:val="21"/>
        </w:rPr>
        <w:t>表</w:t>
      </w:r>
      <w:r>
        <w:rPr>
          <w:rFonts w:hint="eastAsia"/>
          <w:b/>
          <w:sz w:val="21"/>
          <w:szCs w:val="21"/>
        </w:rPr>
        <w:t>8</w:t>
      </w:r>
      <w:r>
        <w:rPr>
          <w:rFonts w:hint="eastAsia"/>
          <w:b/>
          <w:sz w:val="21"/>
          <w:szCs w:val="21"/>
          <w:lang w:val="en-US" w:eastAsia="zh-CN"/>
        </w:rPr>
        <w:t>.2-1</w:t>
      </w:r>
      <w:r>
        <w:rPr>
          <w:b/>
          <w:sz w:val="21"/>
          <w:szCs w:val="21"/>
        </w:rPr>
        <w:t xml:space="preserve"> </w:t>
      </w:r>
      <w:r>
        <w:rPr>
          <w:rFonts w:hint="eastAsia"/>
          <w:b/>
          <w:sz w:val="21"/>
          <w:szCs w:val="21"/>
          <w:lang w:val="en-US" w:eastAsia="zh-CN"/>
        </w:rPr>
        <w:t xml:space="preserve"> </w:t>
      </w:r>
      <w:r>
        <w:rPr>
          <w:b/>
          <w:sz w:val="21"/>
          <w:szCs w:val="21"/>
        </w:rPr>
        <w:t>污染物排放清单表</w:t>
      </w:r>
    </w:p>
    <w:tbl>
      <w:tblPr>
        <w:tblStyle w:val="39"/>
        <w:tblW w:w="5099" w:type="pct"/>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93"/>
        <w:gridCol w:w="714"/>
        <w:gridCol w:w="775"/>
        <w:gridCol w:w="1365"/>
        <w:gridCol w:w="1049"/>
        <w:gridCol w:w="7011"/>
        <w:gridCol w:w="1063"/>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0" w:hRule="atLeast"/>
          <w:tblHeader/>
        </w:trPr>
        <w:tc>
          <w:tcPr>
            <w:tcW w:w="252"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类型</w:t>
            </w:r>
          </w:p>
        </w:tc>
        <w:tc>
          <w:tcPr>
            <w:tcW w:w="259"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阶段</w:t>
            </w:r>
          </w:p>
        </w:tc>
        <w:tc>
          <w:tcPr>
            <w:tcW w:w="282"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排放源</w:t>
            </w:r>
          </w:p>
        </w:tc>
        <w:tc>
          <w:tcPr>
            <w:tcW w:w="496"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污染因子</w:t>
            </w:r>
          </w:p>
        </w:tc>
        <w:tc>
          <w:tcPr>
            <w:tcW w:w="3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源强</w:t>
            </w:r>
          </w:p>
        </w:tc>
        <w:tc>
          <w:tcPr>
            <w:tcW w:w="2552"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治理措施</w:t>
            </w:r>
          </w:p>
        </w:tc>
        <w:tc>
          <w:tcPr>
            <w:tcW w:w="38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排放情况</w:t>
            </w:r>
          </w:p>
        </w:tc>
        <w:tc>
          <w:tcPr>
            <w:tcW w:w="38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77" w:hRule="atLeast"/>
        </w:trPr>
        <w:tc>
          <w:tcPr>
            <w:tcW w:w="252"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大</w:t>
            </w:r>
          </w:p>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气</w:t>
            </w:r>
          </w:p>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环</w:t>
            </w:r>
          </w:p>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境</w:t>
            </w:r>
          </w:p>
        </w:tc>
        <w:tc>
          <w:tcPr>
            <w:tcW w:w="259"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建设阶段</w:t>
            </w:r>
          </w:p>
        </w:tc>
        <w:tc>
          <w:tcPr>
            <w:tcW w:w="282" w:type="pct"/>
            <w:noWrap w:val="0"/>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工程</w:t>
            </w:r>
          </w:p>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施工</w:t>
            </w:r>
          </w:p>
        </w:tc>
        <w:tc>
          <w:tcPr>
            <w:tcW w:w="496" w:type="pct"/>
            <w:noWrap w:val="0"/>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3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2-3mg/m³</w:t>
            </w:r>
          </w:p>
        </w:tc>
        <w:tc>
          <w:tcPr>
            <w:tcW w:w="2552" w:type="pct"/>
            <w:noWrap w:val="0"/>
            <w:vAlign w:val="center"/>
          </w:tcPr>
          <w:p>
            <w:pPr>
              <w:keepNext w:val="0"/>
              <w:keepLines w:val="0"/>
              <w:suppressLineNumbers w:val="0"/>
              <w:adjustRightInd w:val="0"/>
              <w:spacing w:before="0" w:beforeAutospacing="0" w:after="0" w:afterAutospacing="0" w:line="240" w:lineRule="auto"/>
              <w:ind w:left="0" w:right="0" w:firstLine="480" w:firstLineChars="0"/>
              <w:rPr>
                <w:rFonts w:hint="default" w:ascii="Times New Roman" w:hAnsi="Times New Roman" w:cs="Times New Roman"/>
                <w:sz w:val="21"/>
                <w:szCs w:val="21"/>
              </w:rPr>
            </w:pPr>
            <w:r>
              <w:rPr>
                <w:rFonts w:hint="default" w:ascii="Times New Roman" w:hAnsi="Times New Roman" w:cs="Times New Roman"/>
                <w:sz w:val="21"/>
                <w:szCs w:val="21"/>
              </w:rPr>
              <w:t>施工期建筑材料、设备的运输车辆减速慢行，蓬布遮盖，对运输道路及时进行清扫；施工时减少土地开挖面积，施工后及时回填；建筑垃圾当及时清运，在场地内堆存的，应当集中堆放并采取密闭或者遮盖等防尘措施；在施工现场出口处设置车辆清洗设施；施工建设过程中采用洒水措施；在施工现场出入口明显位置设置公示牌；对施工现场出入口、场内施工道路、材料加工堆放区进行简单硬化处理，并保持地面整洁。</w:t>
            </w:r>
          </w:p>
        </w:tc>
        <w:tc>
          <w:tcPr>
            <w:tcW w:w="38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贡献浓度≤80ug/m</w:t>
            </w:r>
            <w:r>
              <w:rPr>
                <w:rFonts w:hint="default" w:ascii="Times New Roman" w:hAnsi="Times New Roman" w:cs="Times New Roman"/>
                <w:sz w:val="21"/>
                <w:szCs w:val="21"/>
                <w:vertAlign w:val="superscript"/>
              </w:rPr>
              <w:t>3</w:t>
            </w:r>
          </w:p>
        </w:tc>
        <w:tc>
          <w:tcPr>
            <w:tcW w:w="38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252"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p>
        </w:tc>
        <w:tc>
          <w:tcPr>
            <w:tcW w:w="259"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生产运行阶段</w:t>
            </w:r>
          </w:p>
        </w:tc>
        <w:tc>
          <w:tcPr>
            <w:tcW w:w="282" w:type="pct"/>
            <w:noWrap w:val="0"/>
            <w:vAlign w:val="center"/>
          </w:tcPr>
          <w:p>
            <w:pPr>
              <w:keepNext w:val="0"/>
              <w:keepLines w:val="0"/>
              <w:suppressLineNumbers w:val="0"/>
              <w:adjustRightInd w:val="0"/>
              <w:spacing w:before="0" w:beforeAutospacing="0" w:after="0" w:afterAutospacing="0" w:line="240" w:lineRule="auto"/>
              <w:ind w:left="0" w:right="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96"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3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552" w:type="pct"/>
            <w:noWrap w:val="0"/>
            <w:vAlign w:val="center"/>
          </w:tcPr>
          <w:p>
            <w:pPr>
              <w:keepNext w:val="0"/>
              <w:keepLines w:val="0"/>
              <w:suppressLineNumbers w:val="0"/>
              <w:adjustRightInd w:val="0"/>
              <w:spacing w:before="0" w:beforeAutospacing="0" w:after="0" w:afterAutospacing="0" w:line="240" w:lineRule="auto"/>
              <w:ind w:left="0" w:right="0" w:firstLine="48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38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387" w:type="pct"/>
            <w:noWrap w:val="0"/>
            <w:vAlign w:val="center"/>
          </w:tcPr>
          <w:p>
            <w:pPr>
              <w:keepNext w:val="0"/>
              <w:keepLines w:val="0"/>
              <w:suppressLineNumbers w:val="0"/>
              <w:adjustRightInd w:val="0"/>
              <w:spacing w:before="0" w:beforeAutospacing="0" w:after="0" w:afterAutospacing="0" w:line="240" w:lineRule="auto"/>
              <w:ind w:left="0" w:right="0" w:firstLine="48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41" w:hRule="atLeast"/>
        </w:trPr>
        <w:tc>
          <w:tcPr>
            <w:tcW w:w="252"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水</w:t>
            </w:r>
          </w:p>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环境</w:t>
            </w:r>
          </w:p>
        </w:tc>
        <w:tc>
          <w:tcPr>
            <w:tcW w:w="259"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sz w:val="21"/>
                <w:szCs w:val="21"/>
              </w:rPr>
              <w:t>建设阶段</w:t>
            </w:r>
          </w:p>
        </w:tc>
        <w:tc>
          <w:tcPr>
            <w:tcW w:w="282" w:type="pct"/>
            <w:noWrap w:val="0"/>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工程</w:t>
            </w:r>
          </w:p>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施工</w:t>
            </w:r>
          </w:p>
        </w:tc>
        <w:tc>
          <w:tcPr>
            <w:tcW w:w="496"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SS</w:t>
            </w:r>
          </w:p>
        </w:tc>
        <w:tc>
          <w:tcPr>
            <w:tcW w:w="3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少量</w:t>
            </w:r>
          </w:p>
        </w:tc>
        <w:tc>
          <w:tcPr>
            <w:tcW w:w="2552" w:type="pct"/>
            <w:noWrap w:val="0"/>
            <w:vAlign w:val="center"/>
          </w:tcPr>
          <w:p>
            <w:pPr>
              <w:keepNext w:val="0"/>
              <w:keepLines w:val="0"/>
              <w:suppressLineNumbers w:val="0"/>
              <w:spacing w:before="0" w:beforeAutospacing="0" w:after="0" w:afterAutospacing="0" w:line="280" w:lineRule="exact"/>
              <w:ind w:left="0" w:right="0" w:firstLine="480" w:firstLineChars="0"/>
              <w:jc w:val="left"/>
              <w:rPr>
                <w:rFonts w:hint="eastAsia" w:ascii="Times New Roman" w:hAnsi="Times New Roman" w:cs="Times New Roman"/>
                <w:sz w:val="21"/>
                <w:szCs w:val="21"/>
              </w:rPr>
            </w:pPr>
            <w:r>
              <w:rPr>
                <w:rFonts w:hint="default" w:ascii="Times New Roman" w:hAnsi="Times New Roman" w:cs="Times New Roman"/>
                <w:sz w:val="21"/>
                <w:szCs w:val="21"/>
              </w:rPr>
              <w:t>加强管理和施工机械维护，在河道管理线外设置临时沉淀池，基坑排水经沉淀池沉淀后用于区域道路洒水抑尘和绿化使用；严禁向</w:t>
            </w:r>
            <w:r>
              <w:rPr>
                <w:rFonts w:hint="eastAsia" w:ascii="Times New Roman" w:hAnsi="Times New Roman" w:cs="Times New Roman"/>
                <w:sz w:val="21"/>
                <w:szCs w:val="21"/>
              </w:rPr>
              <w:t>柳河</w:t>
            </w:r>
            <w:r>
              <w:rPr>
                <w:rFonts w:hint="default" w:ascii="Times New Roman" w:hAnsi="Times New Roman" w:cs="Times New Roman"/>
                <w:sz w:val="21"/>
                <w:szCs w:val="21"/>
              </w:rPr>
              <w:t>倾倒施工废水；生活垃圾，日产日清；施工建材应设篷盖，必要时设围栏，防止被雨水冲刷进入水体；生态护岸施工过程中在基坑沿河一侧设置导流围堰，围堰高程应根据柳河5年一遇施工期最高水位加安全超高来确定；施工车辆不得在河道内行驶，不得在河道内对施工设备进行检修、清洗。各施工车辆施工时，在油箱、发动机舱等高风险位置底部设置随车托盘等防漏装置。沉淀池应做防渗处理，防渗系数≤10</w:t>
            </w:r>
            <w:r>
              <w:rPr>
                <w:rFonts w:hint="default" w:ascii="Times New Roman" w:hAnsi="Times New Roman" w:cs="Times New Roman"/>
                <w:sz w:val="21"/>
                <w:szCs w:val="21"/>
                <w:vertAlign w:val="superscript"/>
              </w:rPr>
              <w:t>-7</w:t>
            </w:r>
            <w:r>
              <w:rPr>
                <w:rFonts w:hint="default" w:ascii="Times New Roman" w:hAnsi="Times New Roman" w:cs="Times New Roman"/>
                <w:sz w:val="21"/>
                <w:szCs w:val="21"/>
              </w:rPr>
              <w:t>cm/s。</w:t>
            </w:r>
          </w:p>
        </w:tc>
        <w:tc>
          <w:tcPr>
            <w:tcW w:w="38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不外排</w:t>
            </w:r>
          </w:p>
        </w:tc>
        <w:tc>
          <w:tcPr>
            <w:tcW w:w="38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252"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p>
        </w:tc>
        <w:tc>
          <w:tcPr>
            <w:tcW w:w="259"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生产运行阶段</w:t>
            </w:r>
          </w:p>
        </w:tc>
        <w:tc>
          <w:tcPr>
            <w:tcW w:w="282" w:type="pct"/>
            <w:noWrap w:val="0"/>
            <w:vAlign w:val="center"/>
          </w:tcPr>
          <w:p>
            <w:pPr>
              <w:keepNext w:val="0"/>
              <w:keepLines w:val="0"/>
              <w:suppressLineNumbers w:val="0"/>
              <w:adjustRightInd w:val="0"/>
              <w:spacing w:before="0" w:beforeAutospacing="0" w:after="0" w:afterAutospacing="0" w:line="240" w:lineRule="auto"/>
              <w:ind w:left="0" w:right="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96"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3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552" w:type="pct"/>
            <w:noWrap w:val="0"/>
            <w:vAlign w:val="center"/>
          </w:tcPr>
          <w:p>
            <w:pPr>
              <w:keepNext w:val="0"/>
              <w:keepLines w:val="0"/>
              <w:suppressLineNumbers w:val="0"/>
              <w:adjustRightInd w:val="0"/>
              <w:spacing w:before="0" w:beforeAutospacing="0" w:after="0" w:afterAutospacing="0" w:line="240" w:lineRule="auto"/>
              <w:ind w:left="0" w:right="0" w:firstLine="48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38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387" w:type="pct"/>
            <w:noWrap w:val="0"/>
            <w:vAlign w:val="center"/>
          </w:tcPr>
          <w:p>
            <w:pPr>
              <w:keepNext w:val="0"/>
              <w:keepLines w:val="0"/>
              <w:suppressLineNumbers w:val="0"/>
              <w:adjustRightInd w:val="0"/>
              <w:spacing w:before="0" w:beforeAutospacing="0" w:after="0" w:afterAutospacing="0" w:line="240" w:lineRule="auto"/>
              <w:ind w:left="0" w:right="0" w:firstLine="48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252"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bCs/>
                <w:sz w:val="21"/>
                <w:szCs w:val="21"/>
              </w:rPr>
              <w:t>声环境</w:t>
            </w:r>
          </w:p>
        </w:tc>
        <w:tc>
          <w:tcPr>
            <w:tcW w:w="259"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sz w:val="21"/>
                <w:szCs w:val="21"/>
              </w:rPr>
              <w:t>建设阶段</w:t>
            </w:r>
          </w:p>
        </w:tc>
        <w:tc>
          <w:tcPr>
            <w:tcW w:w="282" w:type="pct"/>
            <w:noWrap w:val="0"/>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工程</w:t>
            </w:r>
          </w:p>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施工</w:t>
            </w:r>
          </w:p>
        </w:tc>
        <w:tc>
          <w:tcPr>
            <w:tcW w:w="496"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3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85~95dB（A）</w:t>
            </w:r>
          </w:p>
        </w:tc>
        <w:tc>
          <w:tcPr>
            <w:tcW w:w="2552" w:type="pct"/>
            <w:noWrap w:val="0"/>
            <w:vAlign w:val="center"/>
          </w:tcPr>
          <w:p>
            <w:pPr>
              <w:keepNext w:val="0"/>
              <w:keepLines w:val="0"/>
              <w:suppressLineNumbers w:val="0"/>
              <w:adjustRightInd w:val="0"/>
              <w:spacing w:before="0" w:beforeAutospacing="0" w:after="0" w:afterAutospacing="0" w:line="240" w:lineRule="auto"/>
              <w:ind w:left="0" w:right="0" w:firstLine="480" w:firstLineChars="0"/>
              <w:rPr>
                <w:rFonts w:hint="default" w:ascii="Times New Roman" w:hAnsi="Times New Roman" w:cs="Times New Roman"/>
                <w:sz w:val="21"/>
                <w:szCs w:val="21"/>
              </w:rPr>
            </w:pPr>
            <w:r>
              <w:rPr>
                <w:rFonts w:hint="default" w:ascii="Times New Roman" w:hAnsi="Times New Roman" w:cs="Times New Roman"/>
                <w:sz w:val="21"/>
                <w:szCs w:val="21"/>
              </w:rPr>
              <w:t>施工现场四周采用隔声防护措施；使用低噪声设备，严格控制施工时间，加强施工期监理，定期维护和保养。</w:t>
            </w:r>
          </w:p>
        </w:tc>
        <w:tc>
          <w:tcPr>
            <w:tcW w:w="387"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昼间≤70dB（A）</w:t>
            </w:r>
          </w:p>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夜间≤55dB（A）</w:t>
            </w:r>
          </w:p>
        </w:tc>
        <w:tc>
          <w:tcPr>
            <w:tcW w:w="387"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252"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bCs/>
                <w:sz w:val="21"/>
                <w:szCs w:val="21"/>
              </w:rPr>
            </w:pPr>
          </w:p>
        </w:tc>
        <w:tc>
          <w:tcPr>
            <w:tcW w:w="259"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p>
        </w:tc>
        <w:tc>
          <w:tcPr>
            <w:tcW w:w="282" w:type="pct"/>
            <w:noWrap w:val="0"/>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运输</w:t>
            </w:r>
          </w:p>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车辆</w:t>
            </w:r>
          </w:p>
        </w:tc>
        <w:tc>
          <w:tcPr>
            <w:tcW w:w="496"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3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70~85dB（A）</w:t>
            </w:r>
          </w:p>
        </w:tc>
        <w:tc>
          <w:tcPr>
            <w:tcW w:w="2552" w:type="pct"/>
            <w:noWrap w:val="0"/>
            <w:vAlign w:val="center"/>
          </w:tcPr>
          <w:p>
            <w:pPr>
              <w:keepNext w:val="0"/>
              <w:keepLines w:val="0"/>
              <w:suppressLineNumbers w:val="0"/>
              <w:adjustRightInd w:val="0"/>
              <w:spacing w:before="0" w:beforeAutospacing="0" w:after="0" w:afterAutospacing="0" w:line="240" w:lineRule="auto"/>
              <w:ind w:left="0" w:right="0" w:firstLine="480" w:firstLineChars="0"/>
              <w:rPr>
                <w:rFonts w:hint="default" w:ascii="Times New Roman" w:hAnsi="Times New Roman" w:cs="Times New Roman"/>
                <w:sz w:val="21"/>
                <w:szCs w:val="21"/>
              </w:rPr>
            </w:pPr>
            <w:r>
              <w:rPr>
                <w:rFonts w:hint="default" w:ascii="Times New Roman" w:hAnsi="Times New Roman" w:cs="Times New Roman"/>
                <w:sz w:val="21"/>
                <w:szCs w:val="21"/>
              </w:rPr>
              <w:t>减速慢行，禁止鸣笛</w:t>
            </w:r>
          </w:p>
        </w:tc>
        <w:tc>
          <w:tcPr>
            <w:tcW w:w="387"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p>
        </w:tc>
        <w:tc>
          <w:tcPr>
            <w:tcW w:w="387"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252"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p>
        </w:tc>
        <w:tc>
          <w:tcPr>
            <w:tcW w:w="259"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sz w:val="21"/>
                <w:szCs w:val="21"/>
              </w:rPr>
              <w:t>生产运行阶段</w:t>
            </w:r>
          </w:p>
        </w:tc>
        <w:tc>
          <w:tcPr>
            <w:tcW w:w="282" w:type="pct"/>
            <w:noWrap w:val="0"/>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96"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3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552" w:type="pct"/>
            <w:noWrap w:val="0"/>
            <w:vAlign w:val="center"/>
          </w:tcPr>
          <w:p>
            <w:pPr>
              <w:keepNext w:val="0"/>
              <w:keepLines w:val="0"/>
              <w:suppressLineNumbers w:val="0"/>
              <w:adjustRightInd w:val="0"/>
              <w:spacing w:before="0" w:beforeAutospacing="0" w:after="0" w:afterAutospacing="0" w:line="240" w:lineRule="auto"/>
              <w:ind w:left="0" w:right="0" w:firstLine="48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387"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387" w:type="pct"/>
            <w:noWrap w:val="0"/>
            <w:vAlign w:val="center"/>
          </w:tcPr>
          <w:p>
            <w:pPr>
              <w:keepNext w:val="0"/>
              <w:keepLines w:val="0"/>
              <w:suppressLineNumbers w:val="0"/>
              <w:adjustRightInd w:val="0"/>
              <w:spacing w:before="0" w:beforeAutospacing="0" w:after="0" w:afterAutospacing="0" w:line="240" w:lineRule="auto"/>
              <w:ind w:left="0" w:right="0" w:firstLine="480" w:firstLineChars="0"/>
              <w:jc w:val="center"/>
              <w:rPr>
                <w:rFonts w:hint="default" w:ascii="Times New Roman" w:hAnsi="Times New Roman" w:cs="Times New Roman"/>
                <w:b/>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252"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固</w:t>
            </w:r>
          </w:p>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体</w:t>
            </w:r>
          </w:p>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废</w:t>
            </w:r>
          </w:p>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r>
              <w:rPr>
                <w:rFonts w:hint="default" w:ascii="Times New Roman" w:hAnsi="Times New Roman" w:cs="Times New Roman"/>
                <w:b/>
                <w:sz w:val="21"/>
                <w:szCs w:val="21"/>
              </w:rPr>
              <w:t>物</w:t>
            </w:r>
          </w:p>
        </w:tc>
        <w:tc>
          <w:tcPr>
            <w:tcW w:w="259"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建设阶段</w:t>
            </w:r>
          </w:p>
        </w:tc>
        <w:tc>
          <w:tcPr>
            <w:tcW w:w="282" w:type="pct"/>
            <w:vMerge w:val="restart"/>
            <w:noWrap w:val="0"/>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工程</w:t>
            </w:r>
          </w:p>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施工</w:t>
            </w:r>
          </w:p>
        </w:tc>
        <w:tc>
          <w:tcPr>
            <w:tcW w:w="496" w:type="pct"/>
            <w:noWrap w:val="0"/>
            <w:vAlign w:val="center"/>
          </w:tcPr>
          <w:p>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表土</w:t>
            </w:r>
          </w:p>
        </w:tc>
        <w:tc>
          <w:tcPr>
            <w:tcW w:w="3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val="en-US" w:eastAsia="zh-CN"/>
              </w:rPr>
              <w:t>/</w:t>
            </w:r>
          </w:p>
        </w:tc>
        <w:tc>
          <w:tcPr>
            <w:tcW w:w="2552" w:type="pct"/>
            <w:noWrap w:val="0"/>
            <w:vAlign w:val="center"/>
          </w:tcPr>
          <w:p>
            <w:pPr>
              <w:keepNext w:val="0"/>
              <w:keepLines w:val="0"/>
              <w:suppressLineNumbers w:val="0"/>
              <w:adjustRightInd w:val="0"/>
              <w:spacing w:before="0" w:beforeAutospacing="0" w:after="0" w:afterAutospacing="0" w:line="240" w:lineRule="auto"/>
              <w:ind w:left="0" w:right="0" w:firstLine="480" w:firstLineChars="0"/>
              <w:jc w:val="center"/>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表土集中收集，单独贮存，表土贮存顶部采用编织布覆盖，四周设简易排水沟，防治水土流失；表土用于土方回填使用</w:t>
            </w:r>
            <w:r>
              <w:rPr>
                <w:rFonts w:hint="eastAsia" w:cs="Times New Roman"/>
                <w:sz w:val="21"/>
                <w:szCs w:val="21"/>
                <w:highlight w:val="none"/>
                <w:lang w:eastAsia="zh-CN"/>
              </w:rPr>
              <w:t>。</w:t>
            </w:r>
          </w:p>
        </w:tc>
        <w:tc>
          <w:tcPr>
            <w:tcW w:w="387"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妥善处置</w:t>
            </w:r>
          </w:p>
        </w:tc>
        <w:tc>
          <w:tcPr>
            <w:tcW w:w="387" w:type="pct"/>
            <w:vMerge w:val="restar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252"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p>
        </w:tc>
        <w:tc>
          <w:tcPr>
            <w:tcW w:w="259"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p>
        </w:tc>
        <w:tc>
          <w:tcPr>
            <w:tcW w:w="282" w:type="pct"/>
            <w:vMerge w:val="continue"/>
            <w:noWrap w:val="0"/>
            <w:vAlign w:val="center"/>
          </w:tcPr>
          <w:p>
            <w:pPr>
              <w:keepNext w:val="0"/>
              <w:keepLines w:val="0"/>
              <w:suppressLineNumbers w:val="0"/>
              <w:adjustRightInd w:val="0"/>
              <w:spacing w:before="0" w:beforeAutospacing="0" w:after="0" w:afterAutospacing="0" w:line="240" w:lineRule="auto"/>
              <w:ind w:left="0" w:right="0" w:firstLine="480" w:firstLineChars="0"/>
              <w:jc w:val="center"/>
              <w:rPr>
                <w:rFonts w:hint="default" w:ascii="Times New Roman" w:hAnsi="Times New Roman" w:cs="Times New Roman"/>
                <w:sz w:val="21"/>
                <w:szCs w:val="21"/>
              </w:rPr>
            </w:pPr>
          </w:p>
        </w:tc>
        <w:tc>
          <w:tcPr>
            <w:tcW w:w="496" w:type="pct"/>
            <w:noWrap w:val="0"/>
            <w:vAlign w:val="center"/>
          </w:tcPr>
          <w:p>
            <w:pPr>
              <w:keepNext w:val="0"/>
              <w:keepLines w:val="0"/>
              <w:suppressLineNumbers w:val="0"/>
              <w:spacing w:before="0" w:beforeAutospacing="0" w:after="0" w:afterAutospacing="0" w:line="280" w:lineRule="exact"/>
              <w:ind w:left="0" w:right="0"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工程土石方</w:t>
            </w:r>
          </w:p>
        </w:tc>
        <w:tc>
          <w:tcPr>
            <w:tcW w:w="3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6498.5m</w:t>
            </w:r>
            <w:r>
              <w:rPr>
                <w:rFonts w:hint="default" w:ascii="Times New Roman" w:hAnsi="Times New Roman" w:cs="Times New Roman"/>
                <w:sz w:val="21"/>
                <w:szCs w:val="21"/>
                <w:highlight w:val="none"/>
                <w:vertAlign w:val="superscript"/>
              </w:rPr>
              <w:t>3</w:t>
            </w:r>
          </w:p>
        </w:tc>
        <w:tc>
          <w:tcPr>
            <w:tcW w:w="2552" w:type="pct"/>
            <w:noWrap w:val="0"/>
            <w:vAlign w:val="center"/>
          </w:tcPr>
          <w:p>
            <w:pPr>
              <w:keepNext w:val="0"/>
              <w:keepLines w:val="0"/>
              <w:suppressLineNumbers w:val="0"/>
              <w:adjustRightInd w:val="0"/>
              <w:spacing w:before="0" w:beforeAutospacing="0" w:after="0" w:afterAutospacing="0" w:line="240" w:lineRule="auto"/>
              <w:ind w:left="0" w:right="0" w:firstLine="48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河道淤泥用于河滩地低洼地区回填，河流冲积物用于附近村镇乡路垫道，岸坡垃圾集中收集运至生活垃圾填埋场填埋处置；生态护岸工程不产生弃方；</w:t>
            </w:r>
            <w:r>
              <w:rPr>
                <w:rFonts w:hint="eastAsia" w:cs="Times New Roman"/>
                <w:sz w:val="21"/>
                <w:szCs w:val="21"/>
                <w:highlight w:val="none"/>
                <w:lang w:eastAsia="zh-CN"/>
              </w:rPr>
              <w:t>水生生态植物种植工程不产生弃方；</w:t>
            </w:r>
            <w:r>
              <w:rPr>
                <w:rFonts w:hint="default" w:ascii="Times New Roman" w:hAnsi="Times New Roman" w:cs="Times New Roman"/>
                <w:sz w:val="21"/>
                <w:szCs w:val="21"/>
                <w:highlight w:val="none"/>
              </w:rPr>
              <w:t>生态步道工程不产生弃方</w:t>
            </w:r>
            <w:r>
              <w:rPr>
                <w:rFonts w:hint="eastAsia" w:cs="Times New Roman"/>
                <w:sz w:val="21"/>
                <w:szCs w:val="21"/>
                <w:highlight w:val="none"/>
                <w:lang w:eastAsia="zh-CN"/>
              </w:rPr>
              <w:t>。</w:t>
            </w:r>
          </w:p>
        </w:tc>
        <w:tc>
          <w:tcPr>
            <w:tcW w:w="387"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p>
        </w:tc>
        <w:tc>
          <w:tcPr>
            <w:tcW w:w="387"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252"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p>
        </w:tc>
        <w:tc>
          <w:tcPr>
            <w:tcW w:w="259"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p>
        </w:tc>
        <w:tc>
          <w:tcPr>
            <w:tcW w:w="282" w:type="pct"/>
            <w:vMerge w:val="continue"/>
            <w:noWrap w:val="0"/>
            <w:vAlign w:val="center"/>
          </w:tcPr>
          <w:p>
            <w:pPr>
              <w:keepNext w:val="0"/>
              <w:keepLines w:val="0"/>
              <w:suppressLineNumbers w:val="0"/>
              <w:adjustRightInd w:val="0"/>
              <w:spacing w:before="0" w:beforeAutospacing="0" w:after="0" w:afterAutospacing="0" w:line="240" w:lineRule="auto"/>
              <w:ind w:left="0" w:right="0" w:firstLine="480" w:firstLineChars="0"/>
              <w:jc w:val="center"/>
              <w:rPr>
                <w:rFonts w:hint="default" w:ascii="Times New Roman" w:hAnsi="Times New Roman" w:cs="Times New Roman"/>
                <w:sz w:val="21"/>
                <w:szCs w:val="21"/>
              </w:rPr>
            </w:pPr>
          </w:p>
        </w:tc>
        <w:tc>
          <w:tcPr>
            <w:tcW w:w="496" w:type="pct"/>
            <w:noWrap w:val="0"/>
            <w:vAlign w:val="center"/>
          </w:tcPr>
          <w:p>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沉淀池底泥</w:t>
            </w:r>
          </w:p>
        </w:tc>
        <w:tc>
          <w:tcPr>
            <w:tcW w:w="3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highlight w:val="none"/>
              </w:rPr>
            </w:pPr>
            <w:r>
              <w:rPr>
                <w:rFonts w:hint="eastAsia" w:cs="Times New Roman"/>
                <w:sz w:val="21"/>
                <w:szCs w:val="21"/>
                <w:highlight w:val="none"/>
                <w:lang w:val="en-US" w:eastAsia="zh-CN"/>
              </w:rPr>
              <w:t>10</w:t>
            </w:r>
            <w:r>
              <w:rPr>
                <w:rFonts w:hint="default" w:ascii="Times New Roman" w:hAnsi="Times New Roman" w:cs="Times New Roman"/>
                <w:sz w:val="21"/>
                <w:szCs w:val="21"/>
                <w:highlight w:val="none"/>
              </w:rPr>
              <w:t>t</w:t>
            </w:r>
          </w:p>
        </w:tc>
        <w:tc>
          <w:tcPr>
            <w:tcW w:w="2552" w:type="pct"/>
            <w:noWrap w:val="0"/>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highlight w:val="none"/>
                <w:lang w:eastAsia="zh-CN"/>
              </w:rPr>
            </w:pPr>
            <w:r>
              <w:rPr>
                <w:rFonts w:hint="default" w:ascii="Times New Roman" w:hAnsi="Times New Roman" w:cs="Times New Roman"/>
                <w:bCs/>
                <w:sz w:val="21"/>
                <w:szCs w:val="21"/>
                <w:highlight w:val="none"/>
              </w:rPr>
              <w:t>施工废水沉淀池底泥定期清运至土方回填区</w:t>
            </w:r>
            <w:r>
              <w:rPr>
                <w:rFonts w:hint="eastAsia" w:cs="Times New Roman"/>
                <w:bCs/>
                <w:sz w:val="21"/>
                <w:szCs w:val="21"/>
                <w:highlight w:val="none"/>
                <w:lang w:eastAsia="zh-CN"/>
              </w:rPr>
              <w:t>。</w:t>
            </w:r>
          </w:p>
        </w:tc>
        <w:tc>
          <w:tcPr>
            <w:tcW w:w="387"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p>
        </w:tc>
        <w:tc>
          <w:tcPr>
            <w:tcW w:w="387"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atLeast"/>
        </w:trPr>
        <w:tc>
          <w:tcPr>
            <w:tcW w:w="252"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b/>
                <w:sz w:val="21"/>
                <w:szCs w:val="21"/>
              </w:rPr>
            </w:pPr>
          </w:p>
        </w:tc>
        <w:tc>
          <w:tcPr>
            <w:tcW w:w="259"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p>
        </w:tc>
        <w:tc>
          <w:tcPr>
            <w:tcW w:w="282" w:type="pct"/>
            <w:noWrap w:val="0"/>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施工</w:t>
            </w:r>
          </w:p>
          <w:p>
            <w:pPr>
              <w:keepNext w:val="0"/>
              <w:keepLines w:val="0"/>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人员</w:t>
            </w:r>
          </w:p>
        </w:tc>
        <w:tc>
          <w:tcPr>
            <w:tcW w:w="496" w:type="pct"/>
            <w:noWrap w:val="0"/>
            <w:vAlign w:val="center"/>
          </w:tcPr>
          <w:p>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生活垃圾</w:t>
            </w:r>
          </w:p>
        </w:tc>
        <w:tc>
          <w:tcPr>
            <w:tcW w:w="381" w:type="pct"/>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highlight w:val="none"/>
              </w:rPr>
            </w:pPr>
            <w:r>
              <w:rPr>
                <w:rFonts w:hint="eastAsia" w:cs="Times New Roman"/>
                <w:sz w:val="21"/>
                <w:szCs w:val="21"/>
                <w:highlight w:val="none"/>
                <w:lang w:val="en-US" w:eastAsia="zh-CN"/>
              </w:rPr>
              <w:t>15</w:t>
            </w:r>
            <w:r>
              <w:rPr>
                <w:rFonts w:hint="default" w:ascii="Times New Roman" w:hAnsi="Times New Roman" w:cs="Times New Roman"/>
                <w:sz w:val="21"/>
                <w:szCs w:val="21"/>
                <w:highlight w:val="none"/>
              </w:rPr>
              <w:t>kg/d</w:t>
            </w:r>
          </w:p>
        </w:tc>
        <w:tc>
          <w:tcPr>
            <w:tcW w:w="2552" w:type="pct"/>
            <w:noWrap w:val="0"/>
            <w:vAlign w:val="center"/>
          </w:tcPr>
          <w:p>
            <w:pPr>
              <w:keepNext w:val="0"/>
              <w:keepLines w:val="0"/>
              <w:suppressLineNumbers w:val="0"/>
              <w:spacing w:before="0" w:beforeAutospacing="0" w:after="0" w:afterAutospacing="0" w:line="280" w:lineRule="exact"/>
              <w:ind w:left="0" w:right="0" w:firstLine="48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施工期产生的生活垃圾随河道及两侧清理的垃圾一起运至活垃圾填埋场处置</w:t>
            </w:r>
          </w:p>
        </w:tc>
        <w:tc>
          <w:tcPr>
            <w:tcW w:w="387"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p>
        </w:tc>
        <w:tc>
          <w:tcPr>
            <w:tcW w:w="387" w:type="pct"/>
            <w:vMerge w:val="continue"/>
            <w:noWrap w:val="0"/>
            <w:vAlign w:val="center"/>
          </w:tcPr>
          <w:p>
            <w:pPr>
              <w:keepNext w:val="0"/>
              <w:keepLines w:val="0"/>
              <w:widowControl/>
              <w:suppressLineNumbers w:val="0"/>
              <w:adjustRightInd w:val="0"/>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p>
        </w:tc>
      </w:tr>
    </w:tbl>
    <w:p>
      <w:pPr>
        <w:pStyle w:val="12"/>
        <w:rPr>
          <w:rFonts w:hint="default"/>
          <w:lang w:val="en-US" w:eastAsia="zh-CN"/>
        </w:rPr>
        <w:sectPr>
          <w:pgSz w:w="16838" w:h="11906" w:orient="landscape"/>
          <w:pgMar w:top="1701" w:right="1701" w:bottom="1701" w:left="1701" w:header="1134" w:footer="992" w:gutter="0"/>
          <w:cols w:space="425" w:num="1"/>
          <w:docGrid w:linePitch="326" w:charSpace="0"/>
        </w:sectPr>
      </w:pPr>
    </w:p>
    <w:p>
      <w:pPr>
        <w:pStyle w:val="5"/>
        <w:snapToGrid/>
        <w:rPr>
          <w:szCs w:val="22"/>
        </w:rPr>
      </w:pPr>
      <w:bookmarkStart w:id="720" w:name="_Toc79839538"/>
      <w:bookmarkStart w:id="721" w:name="_Toc15498"/>
      <w:bookmarkStart w:id="722" w:name="_Toc5887"/>
      <w:bookmarkStart w:id="723" w:name="_Toc16259"/>
      <w:r>
        <w:rPr>
          <w:szCs w:val="22"/>
        </w:rPr>
        <w:t>8.3 排污许可衔接</w:t>
      </w:r>
      <w:bookmarkEnd w:id="720"/>
      <w:bookmarkEnd w:id="721"/>
      <w:bookmarkEnd w:id="722"/>
      <w:bookmarkEnd w:id="723"/>
    </w:p>
    <w:p>
      <w:pPr>
        <w:ind w:firstLine="540"/>
        <w:rPr>
          <w:szCs w:val="24"/>
        </w:rPr>
      </w:pPr>
      <w:r>
        <w:rPr>
          <w:szCs w:val="24"/>
        </w:rPr>
        <w:t>根据《固定污染源排污许可分类管理名录（2019年版）》，本项目不需要申请排污许可证。</w:t>
      </w:r>
    </w:p>
    <w:p>
      <w:pPr>
        <w:pStyle w:val="5"/>
        <w:snapToGrid/>
        <w:rPr>
          <w:szCs w:val="22"/>
        </w:rPr>
      </w:pPr>
      <w:bookmarkStart w:id="724" w:name="_Toc470785918"/>
      <w:bookmarkStart w:id="725" w:name="_Toc326755040"/>
      <w:bookmarkStart w:id="726" w:name="_Toc5210"/>
      <w:bookmarkStart w:id="727" w:name="_Toc79839539"/>
      <w:bookmarkStart w:id="728" w:name="_Toc17701"/>
      <w:bookmarkStart w:id="729" w:name="_Toc1668"/>
      <w:bookmarkStart w:id="730" w:name="_Toc25138"/>
      <w:bookmarkStart w:id="731" w:name="_Toc332632636"/>
      <w:r>
        <w:rPr>
          <w:szCs w:val="22"/>
        </w:rPr>
        <w:t>8.4 环保设施“三同时”验收内容</w:t>
      </w:r>
      <w:bookmarkEnd w:id="724"/>
      <w:bookmarkEnd w:id="725"/>
      <w:bookmarkEnd w:id="726"/>
      <w:bookmarkEnd w:id="727"/>
      <w:bookmarkEnd w:id="728"/>
      <w:bookmarkEnd w:id="729"/>
      <w:bookmarkEnd w:id="730"/>
      <w:bookmarkEnd w:id="731"/>
    </w:p>
    <w:p>
      <w:pPr>
        <w:ind w:firstLine="540"/>
        <w:rPr>
          <w:rFonts w:hint="eastAsia"/>
        </w:rPr>
      </w:pPr>
      <w:r>
        <w:rPr>
          <w:rFonts w:hint="eastAsia"/>
          <w:szCs w:val="24"/>
        </w:rPr>
        <w:t>项目环境保护设施“三同时”验收清单如下表所示。</w:t>
      </w:r>
    </w:p>
    <w:p>
      <w:pPr>
        <w:ind w:firstLine="0" w:firstLineChars="0"/>
        <w:jc w:val="center"/>
        <w:rPr>
          <w:b/>
          <w:bCs/>
          <w:snapToGrid w:val="0"/>
          <w:sz w:val="28"/>
          <w:szCs w:val="28"/>
        </w:rPr>
      </w:pPr>
      <w:r>
        <w:rPr>
          <w:rStyle w:val="46"/>
          <w:rFonts w:hint="eastAsia"/>
          <w:szCs w:val="21"/>
        </w:rPr>
        <w:t>表8</w:t>
      </w:r>
      <w:r>
        <w:rPr>
          <w:rStyle w:val="46"/>
          <w:rFonts w:hint="eastAsia"/>
          <w:szCs w:val="21"/>
          <w:lang w:val="en-US" w:eastAsia="zh-CN"/>
        </w:rPr>
        <w:t>.4-1</w:t>
      </w:r>
      <w:r>
        <w:rPr>
          <w:rStyle w:val="46"/>
          <w:szCs w:val="21"/>
        </w:rPr>
        <w:t xml:space="preserve">  项目环保设施“三同时”验收清单</w:t>
      </w:r>
    </w:p>
    <w:tbl>
      <w:tblPr>
        <w:tblStyle w:val="39"/>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556"/>
        <w:gridCol w:w="1520"/>
        <w:gridCol w:w="1800"/>
        <w:gridCol w:w="3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10"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类别</w:t>
            </w:r>
          </w:p>
        </w:tc>
        <w:tc>
          <w:tcPr>
            <w:tcW w:w="1556"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环保设施</w:t>
            </w:r>
          </w:p>
        </w:tc>
        <w:tc>
          <w:tcPr>
            <w:tcW w:w="1520"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数量</w:t>
            </w:r>
          </w:p>
        </w:tc>
        <w:tc>
          <w:tcPr>
            <w:tcW w:w="1800"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功能</w:t>
            </w:r>
          </w:p>
        </w:tc>
        <w:tc>
          <w:tcPr>
            <w:tcW w:w="3203"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10" w:type="dxa"/>
            <w:vMerge w:val="restart"/>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b w:val="0"/>
                <w:bCs/>
                <w:sz w:val="21"/>
                <w:szCs w:val="21"/>
              </w:rPr>
            </w:pPr>
            <w:r>
              <w:rPr>
                <w:rFonts w:hint="eastAsia"/>
                <w:b w:val="0"/>
                <w:bCs/>
                <w:sz w:val="21"/>
                <w:szCs w:val="21"/>
              </w:rPr>
              <w:t>河流生态环境修复工程</w:t>
            </w:r>
          </w:p>
        </w:tc>
        <w:tc>
          <w:tcPr>
            <w:tcW w:w="1556"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eastAsia="宋体"/>
                <w:b w:val="0"/>
                <w:bCs/>
                <w:color w:val="auto"/>
                <w:sz w:val="21"/>
                <w:szCs w:val="21"/>
                <w:lang w:val="en-US" w:eastAsia="zh-CN"/>
              </w:rPr>
            </w:pPr>
            <w:r>
              <w:rPr>
                <w:rFonts w:hint="eastAsia"/>
                <w:b w:val="0"/>
                <w:bCs/>
                <w:color w:val="auto"/>
                <w:sz w:val="21"/>
                <w:szCs w:val="21"/>
                <w:lang w:val="en-US" w:eastAsia="zh-CN"/>
              </w:rPr>
              <w:t>河道疏浚工程</w:t>
            </w:r>
          </w:p>
        </w:tc>
        <w:tc>
          <w:tcPr>
            <w:tcW w:w="1520"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eastAsia" w:eastAsia="宋体"/>
                <w:b/>
                <w:color w:val="auto"/>
                <w:sz w:val="21"/>
                <w:szCs w:val="21"/>
                <w:lang w:eastAsia="zh-CN"/>
              </w:rPr>
            </w:pPr>
            <w:r>
              <w:rPr>
                <w:rFonts w:hint="eastAsia" w:cs="Times New Roman"/>
                <w:color w:val="auto"/>
                <w:sz w:val="21"/>
                <w:szCs w:val="21"/>
                <w:lang w:val="en-US" w:eastAsia="zh-CN"/>
              </w:rPr>
              <w:t>总面积2</w:t>
            </w:r>
            <w:r>
              <w:rPr>
                <w:rFonts w:hint="eastAsia"/>
                <w:color w:val="auto"/>
                <w:kern w:val="44"/>
                <w:sz w:val="21"/>
                <w:szCs w:val="20"/>
                <w:highlight w:val="none"/>
                <w:lang w:val="en-US" w:eastAsia="zh-CN"/>
              </w:rPr>
              <w:t>8853.19</w:t>
            </w:r>
            <w:r>
              <w:rPr>
                <w:rFonts w:hint="eastAsia" w:ascii="Times New Roman" w:hAnsi="Times New Roman" w:cs="Times New Roman"/>
                <w:color w:val="auto"/>
                <w:sz w:val="21"/>
                <w:szCs w:val="21"/>
                <w:highlight w:val="none"/>
              </w:rPr>
              <w:t>m</w:t>
            </w:r>
            <w:r>
              <w:rPr>
                <w:rFonts w:hint="eastAsia" w:ascii="Times New Roman" w:hAnsi="Times New Roman" w:cs="Times New Roman"/>
                <w:color w:val="auto"/>
                <w:sz w:val="21"/>
                <w:szCs w:val="21"/>
                <w:highlight w:val="none"/>
                <w:vertAlign w:val="superscript"/>
              </w:rPr>
              <w:t>2</w:t>
            </w:r>
          </w:p>
        </w:tc>
        <w:tc>
          <w:tcPr>
            <w:tcW w:w="18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ascii="Times New Roman" w:hAnsi="Times New Roman" w:cs="Times New Roman"/>
                <w:color w:val="auto"/>
                <w:sz w:val="21"/>
                <w:szCs w:val="21"/>
              </w:rPr>
              <w:t>改善河流水质</w:t>
            </w:r>
          </w:p>
        </w:tc>
        <w:tc>
          <w:tcPr>
            <w:tcW w:w="3203"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eastAsia" w:eastAsia="宋体"/>
                <w:b/>
                <w:sz w:val="21"/>
                <w:szCs w:val="21"/>
                <w:lang w:eastAsia="zh-CN"/>
              </w:rPr>
            </w:pPr>
            <w:r>
              <w:rPr>
                <w:rFonts w:hint="eastAsia" w:ascii="Times New Roman" w:hAnsi="Times New Roman" w:cs="Times New Roman"/>
                <w:color w:val="000000"/>
                <w:sz w:val="21"/>
                <w:szCs w:val="21"/>
                <w:lang w:val="en-US" w:eastAsia="zh-CN"/>
              </w:rPr>
              <w:t>实施范围为柳河三块石段河道内、北岸及南岸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10" w:type="dxa"/>
            <w:vMerge w:val="continue"/>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b/>
                <w:sz w:val="21"/>
                <w:szCs w:val="21"/>
              </w:rPr>
            </w:pPr>
          </w:p>
        </w:tc>
        <w:tc>
          <w:tcPr>
            <w:tcW w:w="1556"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eastAsia="宋体"/>
                <w:color w:val="000000"/>
                <w:sz w:val="21"/>
                <w:szCs w:val="21"/>
                <w:lang w:val="en-US" w:eastAsia="zh-CN"/>
              </w:rPr>
            </w:pPr>
            <w:r>
              <w:rPr>
                <w:rFonts w:hint="eastAsia"/>
                <w:color w:val="000000"/>
                <w:sz w:val="21"/>
                <w:szCs w:val="21"/>
                <w:lang w:val="en-US" w:eastAsia="zh-CN"/>
              </w:rPr>
              <w:t>生态护岸（石笼生态型护岸）</w:t>
            </w:r>
          </w:p>
        </w:tc>
        <w:tc>
          <w:tcPr>
            <w:tcW w:w="1520"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eastAsia="宋体"/>
                <w:color w:val="000000"/>
                <w:sz w:val="21"/>
                <w:szCs w:val="21"/>
                <w:lang w:val="en-US" w:eastAsia="zh-CN"/>
              </w:rPr>
            </w:pPr>
            <w:r>
              <w:rPr>
                <w:rFonts w:hint="eastAsia"/>
                <w:color w:val="000000"/>
                <w:sz w:val="21"/>
                <w:szCs w:val="21"/>
                <w:lang w:val="en-US" w:eastAsia="zh-CN"/>
              </w:rPr>
              <w:t>240m</w:t>
            </w:r>
          </w:p>
        </w:tc>
        <w:tc>
          <w:tcPr>
            <w:tcW w:w="180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000000"/>
                <w:sz w:val="21"/>
                <w:szCs w:val="21"/>
              </w:rPr>
            </w:pPr>
            <w:r>
              <w:rPr>
                <w:rFonts w:hint="default" w:ascii="Times New Roman" w:hAnsi="Times New Roman" w:cs="Times New Roman"/>
                <w:color w:val="000000"/>
                <w:sz w:val="21"/>
                <w:szCs w:val="21"/>
              </w:rPr>
              <w:t>行洪防护、防范水土流失</w:t>
            </w:r>
            <w:r>
              <w:rPr>
                <w:rFonts w:hint="default" w:ascii="Times New Roman" w:hAnsi="Times New Roman" w:cs="Times New Roman"/>
                <w:sz w:val="21"/>
                <w:szCs w:val="21"/>
              </w:rPr>
              <w:t>提高水生生态环境质量</w:t>
            </w:r>
          </w:p>
        </w:tc>
        <w:tc>
          <w:tcPr>
            <w:tcW w:w="3203"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eastAsia" w:eastAsia="宋体"/>
                <w:color w:val="000000"/>
                <w:sz w:val="21"/>
                <w:szCs w:val="21"/>
                <w:lang w:eastAsia="zh-CN"/>
              </w:rPr>
            </w:pPr>
            <w:r>
              <w:rPr>
                <w:rFonts w:hint="eastAsia"/>
                <w:color w:val="000000"/>
                <w:sz w:val="21"/>
                <w:szCs w:val="21"/>
                <w:lang w:eastAsia="zh-CN"/>
              </w:rPr>
              <w:t>实施范围为柳河三块石段南岸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710" w:type="dxa"/>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rPr>
              <w:t>生态</w:t>
            </w:r>
            <w:r>
              <w:rPr>
                <w:rFonts w:hint="eastAsia" w:ascii="Times New Roman" w:hAnsi="Times New Roman" w:cs="Times New Roman"/>
                <w:color w:val="000000"/>
                <w:sz w:val="21"/>
                <w:szCs w:val="21"/>
                <w:lang w:eastAsia="zh-CN"/>
              </w:rPr>
              <w:t>植物种植工程</w:t>
            </w:r>
          </w:p>
        </w:tc>
        <w:tc>
          <w:tcPr>
            <w:tcW w:w="155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生态植物种植</w:t>
            </w:r>
          </w:p>
        </w:tc>
        <w:tc>
          <w:tcPr>
            <w:tcW w:w="1520"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ascii="Times New Roman" w:hAnsi="Times New Roman" w:cs="Times New Roman"/>
                <w:bCs/>
                <w:sz w:val="21"/>
                <w:szCs w:val="21"/>
              </w:rPr>
            </w:pPr>
            <w:r>
              <w:rPr>
                <w:rFonts w:hint="eastAsia" w:cs="Times New Roman"/>
                <w:color w:val="000000"/>
                <w:sz w:val="21"/>
                <w:szCs w:val="21"/>
                <w:lang w:val="en-US" w:eastAsia="zh-CN"/>
              </w:rPr>
              <w:t>5904</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p>
        </w:tc>
        <w:tc>
          <w:tcPr>
            <w:tcW w:w="1800"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ascii="Times New Roman" w:hAnsi="Times New Roman" w:cs="Times New Roman"/>
                <w:snapToGrid w:val="0"/>
                <w:color w:val="000000"/>
                <w:sz w:val="21"/>
                <w:szCs w:val="21"/>
              </w:rPr>
            </w:pPr>
            <w:r>
              <w:rPr>
                <w:rFonts w:hint="default" w:ascii="Times New Roman" w:hAnsi="Times New Roman" w:cs="Times New Roman"/>
                <w:snapToGrid w:val="0"/>
                <w:color w:val="000000"/>
                <w:sz w:val="21"/>
                <w:szCs w:val="21"/>
              </w:rPr>
              <w:t>提高植被覆盖率，涵养水源</w:t>
            </w:r>
          </w:p>
        </w:tc>
        <w:tc>
          <w:tcPr>
            <w:tcW w:w="3203"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ascii="Times New Roman" w:hAnsi="Times New Roman" w:cs="Times New Roman"/>
                <w:sz w:val="21"/>
                <w:szCs w:val="21"/>
              </w:rPr>
            </w:pPr>
            <w:r>
              <w:rPr>
                <w:rFonts w:hint="eastAsia"/>
                <w:color w:val="000000"/>
                <w:sz w:val="21"/>
                <w:szCs w:val="21"/>
                <w:lang w:eastAsia="zh-CN"/>
              </w:rPr>
              <w:t>实施范围为柳河三块石段南岸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10"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p>
        </w:tc>
        <w:tc>
          <w:tcPr>
            <w:tcW w:w="155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000000"/>
                <w:sz w:val="21"/>
                <w:szCs w:val="21"/>
                <w:lang w:eastAsia="zh-CN"/>
              </w:rPr>
            </w:pPr>
            <w:r>
              <w:rPr>
                <w:rFonts w:hint="eastAsia" w:ascii="Times New Roman" w:hAnsi="Times New Roman" w:cs="Times New Roman"/>
                <w:color w:val="000000"/>
                <w:sz w:val="21"/>
                <w:szCs w:val="21"/>
                <w:lang w:eastAsia="zh-CN"/>
              </w:rPr>
              <w:t>生态步道</w:t>
            </w:r>
          </w:p>
        </w:tc>
        <w:tc>
          <w:tcPr>
            <w:tcW w:w="1520"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color w:val="000000"/>
                <w:sz w:val="21"/>
                <w:szCs w:val="21"/>
              </w:rPr>
            </w:pPr>
            <w:r>
              <w:rPr>
                <w:rFonts w:hint="eastAsia" w:cs="Times New Roman"/>
                <w:color w:val="000000"/>
                <w:sz w:val="21"/>
                <w:szCs w:val="21"/>
                <w:lang w:val="en-US" w:eastAsia="zh-CN"/>
              </w:rPr>
              <w:t>117</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p>
        </w:tc>
        <w:tc>
          <w:tcPr>
            <w:tcW w:w="1800"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snapToGrid w:val="0"/>
                <w:color w:val="000000"/>
                <w:sz w:val="21"/>
                <w:szCs w:val="21"/>
              </w:rPr>
            </w:pPr>
            <w:r>
              <w:rPr>
                <w:rFonts w:hint="eastAsia" w:ascii="Times New Roman" w:hAnsi="Times New Roman" w:cs="Times New Roman"/>
                <w:color w:val="000000"/>
                <w:sz w:val="21"/>
                <w:szCs w:val="21"/>
              </w:rPr>
              <w:t>提升流域内整体的生态景观效果。</w:t>
            </w:r>
          </w:p>
        </w:tc>
        <w:tc>
          <w:tcPr>
            <w:tcW w:w="3203" w:type="dxa"/>
            <w:noWrap w:val="0"/>
            <w:vAlign w:val="center"/>
          </w:tcPr>
          <w:p>
            <w:pPr>
              <w:keepNext w:val="0"/>
              <w:keepLines w:val="0"/>
              <w:suppressLineNumbers w:val="0"/>
              <w:snapToGrid/>
              <w:spacing w:before="0" w:beforeAutospacing="0" w:after="0" w:afterAutospacing="0" w:line="360" w:lineRule="exact"/>
              <w:ind w:left="0" w:right="0" w:firstLine="0" w:firstLineChars="0"/>
              <w:jc w:val="center"/>
              <w:rPr>
                <w:rFonts w:hint="default"/>
                <w:sz w:val="21"/>
                <w:szCs w:val="21"/>
              </w:rPr>
            </w:pPr>
            <w:r>
              <w:rPr>
                <w:rFonts w:hint="eastAsia"/>
                <w:color w:val="000000"/>
                <w:sz w:val="21"/>
                <w:szCs w:val="21"/>
                <w:lang w:eastAsia="zh-CN"/>
              </w:rPr>
              <w:t>实施范围为柳河三块石段南岸</w:t>
            </w:r>
          </w:p>
        </w:tc>
      </w:tr>
    </w:tbl>
    <w:p>
      <w:pPr>
        <w:rPr>
          <w:rFonts w:hint="default"/>
          <w:lang w:val="en-US" w:eastAsia="zh-CN"/>
        </w:rPr>
      </w:pPr>
    </w:p>
    <w:p>
      <w:pPr>
        <w:rPr>
          <w:rFonts w:hint="default"/>
          <w:lang w:val="en-US" w:eastAsia="zh-CN"/>
        </w:rPr>
        <w:sectPr>
          <w:pgSz w:w="11906" w:h="16838"/>
          <w:pgMar w:top="1701" w:right="1701" w:bottom="1701" w:left="1701" w:header="1134" w:footer="992" w:gutter="0"/>
          <w:cols w:space="425" w:num="1"/>
          <w:docGrid w:linePitch="326" w:charSpace="0"/>
        </w:sectPr>
      </w:pPr>
    </w:p>
    <w:bookmarkEnd w:id="709"/>
    <w:bookmarkEnd w:id="710"/>
    <w:bookmarkEnd w:id="711"/>
    <w:bookmarkEnd w:id="712"/>
    <w:bookmarkEnd w:id="713"/>
    <w:bookmarkEnd w:id="714"/>
    <w:bookmarkEnd w:id="715"/>
    <w:p>
      <w:pPr>
        <w:pStyle w:val="3"/>
        <w:rPr>
          <w:rFonts w:ascii="Times New Roman" w:hAnsi="Times New Roman"/>
        </w:rPr>
      </w:pPr>
      <w:bookmarkStart w:id="732" w:name="_Toc470785919"/>
      <w:bookmarkStart w:id="733" w:name="_Toc269200675"/>
      <w:bookmarkStart w:id="734" w:name="_Toc282959771"/>
      <w:bookmarkStart w:id="735" w:name="_Toc286835778"/>
      <w:bookmarkStart w:id="736" w:name="_Toc326755045"/>
      <w:bookmarkStart w:id="737" w:name="_Toc282946201"/>
      <w:bookmarkStart w:id="738" w:name="_Toc286934713"/>
      <w:bookmarkStart w:id="739" w:name="_Toc283110246"/>
      <w:bookmarkStart w:id="740" w:name="_Toc21698"/>
      <w:bookmarkStart w:id="741" w:name="_Toc332632641"/>
      <w:r>
        <w:rPr>
          <w:rFonts w:ascii="Times New Roman" w:hAnsi="Times New Roman"/>
        </w:rPr>
        <w:t>第九章 环境影响评价结论</w:t>
      </w:r>
      <w:bookmarkEnd w:id="732"/>
      <w:bookmarkEnd w:id="733"/>
      <w:bookmarkEnd w:id="734"/>
      <w:bookmarkEnd w:id="735"/>
      <w:bookmarkEnd w:id="736"/>
      <w:bookmarkEnd w:id="737"/>
      <w:bookmarkEnd w:id="738"/>
      <w:bookmarkEnd w:id="739"/>
      <w:bookmarkEnd w:id="740"/>
      <w:bookmarkEnd w:id="741"/>
    </w:p>
    <w:p>
      <w:pPr>
        <w:pStyle w:val="5"/>
      </w:pPr>
      <w:bookmarkStart w:id="742" w:name="_Toc9033"/>
      <w:bookmarkStart w:id="743" w:name="_Toc282946202"/>
      <w:bookmarkStart w:id="744" w:name="_Toc332632642"/>
      <w:bookmarkStart w:id="745" w:name="_Toc269200676"/>
      <w:bookmarkStart w:id="746" w:name="_Toc282959772"/>
      <w:bookmarkStart w:id="747" w:name="_Toc286835779"/>
      <w:bookmarkStart w:id="748" w:name="_Toc470785920"/>
      <w:bookmarkStart w:id="749" w:name="_Toc283110247"/>
      <w:bookmarkStart w:id="750" w:name="_Toc326755046"/>
      <w:bookmarkStart w:id="751" w:name="_Toc286934714"/>
      <w:r>
        <w:t>9.1 结论</w:t>
      </w:r>
      <w:bookmarkEnd w:id="742"/>
      <w:bookmarkEnd w:id="743"/>
      <w:bookmarkEnd w:id="744"/>
      <w:bookmarkEnd w:id="745"/>
      <w:bookmarkEnd w:id="746"/>
      <w:bookmarkEnd w:id="747"/>
      <w:bookmarkEnd w:id="748"/>
      <w:bookmarkEnd w:id="749"/>
      <w:bookmarkEnd w:id="750"/>
      <w:bookmarkEnd w:id="751"/>
    </w:p>
    <w:p>
      <w:pPr>
        <w:pStyle w:val="6"/>
      </w:pPr>
      <w:bookmarkStart w:id="752" w:name="_Toc470785921"/>
      <w:bookmarkStart w:id="753" w:name="_Toc7427"/>
      <w:r>
        <w:t>9.1.1 工程分析</w:t>
      </w:r>
      <w:bookmarkEnd w:id="752"/>
      <w:bookmarkEnd w:id="753"/>
    </w:p>
    <w:p>
      <w:pPr>
        <w:ind w:firstLine="480"/>
      </w:pPr>
      <w:r>
        <w:rPr>
          <w:rFonts w:hint="eastAsia"/>
          <w:lang w:eastAsia="zh-CN"/>
        </w:rPr>
        <w:t>本项目位于兴隆县李家营镇三块石村内，治理河段起点坐标</w:t>
      </w:r>
      <w:r>
        <w:rPr>
          <w:rFonts w:hint="default" w:ascii="Times New Roman" w:hAnsi="Times New Roman" w:cs="Times New Roman"/>
          <w:lang w:eastAsia="zh-CN"/>
        </w:rPr>
        <w:t>为117°45′41.382″</w:t>
      </w:r>
      <w:r>
        <w:rPr>
          <w:rFonts w:hint="eastAsia" w:ascii="Times New Roman" w:hAnsi="Times New Roman" w:cs="Times New Roman"/>
          <w:lang w:eastAsia="zh-CN"/>
        </w:rPr>
        <w:t>，</w:t>
      </w:r>
      <w:r>
        <w:rPr>
          <w:rFonts w:hint="default" w:ascii="Times New Roman" w:hAnsi="Times New Roman" w:cs="Times New Roman"/>
          <w:lang w:eastAsia="zh-CN"/>
        </w:rPr>
        <w:t>40°36′47.634″</w:t>
      </w:r>
      <w:r>
        <w:rPr>
          <w:rFonts w:hint="eastAsia" w:ascii="Times New Roman" w:hAnsi="Times New Roman" w:cs="Times New Roman"/>
          <w:lang w:eastAsia="zh-CN"/>
        </w:rPr>
        <w:t>，</w:t>
      </w:r>
      <w:r>
        <w:rPr>
          <w:rFonts w:hint="eastAsia"/>
          <w:lang w:val="en-US" w:eastAsia="zh-CN"/>
        </w:rPr>
        <w:t>终点坐标为</w:t>
      </w:r>
      <w:r>
        <w:rPr>
          <w:rFonts w:hint="default" w:ascii="Times New Roman" w:hAnsi="Times New Roman" w:cs="Times New Roman"/>
          <w:lang w:val="en-US" w:eastAsia="zh-CN"/>
        </w:rPr>
        <w:t>117°46′2.963″</w:t>
      </w:r>
      <w:r>
        <w:rPr>
          <w:rFonts w:hint="eastAsia" w:ascii="Times New Roman" w:hAnsi="Times New Roman" w:cs="Times New Roman"/>
          <w:lang w:val="en-US" w:eastAsia="zh-CN"/>
        </w:rPr>
        <w:t>，</w:t>
      </w:r>
      <w:r>
        <w:rPr>
          <w:rFonts w:hint="default" w:ascii="Times New Roman" w:hAnsi="Times New Roman" w:cs="Times New Roman"/>
          <w:lang w:val="en-US" w:eastAsia="zh-CN"/>
        </w:rPr>
        <w:t>40°36′42.594″</w:t>
      </w:r>
      <w:r>
        <w:rPr>
          <w:rFonts w:hint="eastAsia"/>
          <w:lang w:val="en-US" w:eastAsia="zh-CN"/>
        </w:rPr>
        <w:t>，全长540m。</w:t>
      </w:r>
      <w:r>
        <w:rPr>
          <w:rFonts w:hint="eastAsia"/>
          <w:color w:val="000000"/>
        </w:rPr>
        <w:t>项目主要工程内容为</w:t>
      </w:r>
      <w:r>
        <w:rPr>
          <w:rFonts w:hint="eastAsia"/>
          <w:color w:val="000000"/>
          <w:lang w:eastAsia="zh-CN"/>
        </w:rPr>
        <w:t>河道疏浚工程</w:t>
      </w:r>
      <w:r>
        <w:rPr>
          <w:rFonts w:hint="eastAsia"/>
          <w:color w:val="000000"/>
        </w:rPr>
        <w:t>、生态植物种植工程</w:t>
      </w:r>
      <w:r>
        <w:rPr>
          <w:rFonts w:hint="eastAsia"/>
          <w:color w:val="000000"/>
          <w:lang w:eastAsia="zh-CN"/>
        </w:rPr>
        <w:t>。其中河道疏浚工程清理河流冲击物3598.5m</w:t>
      </w:r>
      <w:r>
        <w:rPr>
          <w:rFonts w:hint="eastAsia"/>
          <w:color w:val="000000"/>
          <w:vertAlign w:val="superscript"/>
          <w:lang w:eastAsia="zh-CN"/>
        </w:rPr>
        <w:t>3</w:t>
      </w:r>
      <w:r>
        <w:rPr>
          <w:rFonts w:hint="eastAsia"/>
          <w:color w:val="000000"/>
          <w:lang w:eastAsia="zh-CN"/>
        </w:rPr>
        <w:t>、清理河道淤泥7045m</w:t>
      </w:r>
      <w:r>
        <w:rPr>
          <w:rFonts w:hint="eastAsia"/>
          <w:color w:val="000000"/>
          <w:vertAlign w:val="superscript"/>
          <w:lang w:eastAsia="zh-CN"/>
        </w:rPr>
        <w:t>3</w:t>
      </w:r>
      <w:r>
        <w:rPr>
          <w:rFonts w:hint="eastAsia"/>
          <w:color w:val="000000"/>
          <w:lang w:eastAsia="zh-CN"/>
        </w:rPr>
        <w:t>、清理岸坡垃圾1625m</w:t>
      </w:r>
      <w:r>
        <w:rPr>
          <w:rFonts w:hint="eastAsia"/>
          <w:color w:val="000000"/>
          <w:vertAlign w:val="superscript"/>
          <w:lang w:eastAsia="zh-CN"/>
        </w:rPr>
        <w:t>3</w:t>
      </w:r>
      <w:r>
        <w:rPr>
          <w:rFonts w:hint="eastAsia"/>
          <w:color w:val="000000"/>
          <w:vertAlign w:val="baseline"/>
          <w:lang w:eastAsia="zh-CN"/>
        </w:rPr>
        <w:t>，</w:t>
      </w:r>
      <w:r>
        <w:rPr>
          <w:rFonts w:hint="eastAsia"/>
          <w:color w:val="000000"/>
          <w:lang w:eastAsia="zh-CN"/>
        </w:rPr>
        <w:t>新建格宾石笼生态护岸240m；生态植物种植工程种植面积共计</w:t>
      </w:r>
      <w:r>
        <w:rPr>
          <w:rFonts w:hint="eastAsia"/>
          <w:color w:val="000000"/>
          <w:lang w:val="en-US" w:eastAsia="zh-CN"/>
        </w:rPr>
        <w:t>5904</w:t>
      </w:r>
      <w:r>
        <w:rPr>
          <w:rFonts w:hint="eastAsia" w:ascii="Times New Roman" w:hAnsi="Times New Roman" w:cs="Times New Roman"/>
          <w:color w:val="auto"/>
          <w:sz w:val="24"/>
          <w:szCs w:val="24"/>
          <w:lang w:eastAsia="zh-CN"/>
        </w:rPr>
        <w:t>m</w:t>
      </w:r>
      <w:r>
        <w:rPr>
          <w:rFonts w:hint="eastAsia" w:ascii="Times New Roman" w:hAnsi="Times New Roman" w:cs="Times New Roman"/>
          <w:color w:val="auto"/>
          <w:sz w:val="24"/>
          <w:szCs w:val="24"/>
          <w:vertAlign w:val="superscript"/>
          <w:lang w:eastAsia="zh-CN"/>
        </w:rPr>
        <w:t>2</w:t>
      </w:r>
      <w:r>
        <w:rPr>
          <w:rFonts w:hint="eastAsia" w:cs="Times New Roman"/>
          <w:color w:val="auto"/>
          <w:sz w:val="24"/>
          <w:szCs w:val="24"/>
          <w:vertAlign w:val="baseline"/>
          <w:lang w:eastAsia="zh-CN"/>
        </w:rPr>
        <w:t>，新建生态步道</w:t>
      </w:r>
      <w:r>
        <w:rPr>
          <w:rFonts w:hint="eastAsia" w:cs="Times New Roman"/>
          <w:color w:val="auto"/>
          <w:sz w:val="24"/>
          <w:szCs w:val="24"/>
          <w:vertAlign w:val="baseline"/>
          <w:lang w:val="en-US" w:eastAsia="zh-CN"/>
        </w:rPr>
        <w:t>117</w:t>
      </w:r>
      <w:r>
        <w:rPr>
          <w:rFonts w:hint="eastAsia" w:ascii="Times New Roman" w:hAnsi="Times New Roman" w:cs="Times New Roman"/>
          <w:color w:val="auto"/>
          <w:sz w:val="21"/>
          <w:szCs w:val="21"/>
          <w:lang w:eastAsia="zh-CN"/>
        </w:rPr>
        <w:t>m</w:t>
      </w:r>
      <w:r>
        <w:rPr>
          <w:rFonts w:hint="eastAsia" w:ascii="Times New Roman" w:hAnsi="Times New Roman" w:cs="Times New Roman"/>
          <w:color w:val="auto"/>
          <w:sz w:val="21"/>
          <w:szCs w:val="21"/>
          <w:vertAlign w:val="superscript"/>
          <w:lang w:eastAsia="zh-CN"/>
        </w:rPr>
        <w:t>2</w:t>
      </w:r>
      <w:r>
        <w:rPr>
          <w:rFonts w:hint="eastAsia" w:cs="Times New Roman"/>
          <w:color w:val="auto"/>
          <w:sz w:val="21"/>
          <w:szCs w:val="21"/>
          <w:vertAlign w:val="baseline"/>
          <w:lang w:eastAsia="zh-CN"/>
        </w:rPr>
        <w:t>。</w:t>
      </w:r>
    </w:p>
    <w:p>
      <w:pPr>
        <w:pStyle w:val="6"/>
        <w:bidi w:val="0"/>
      </w:pPr>
      <w:bookmarkStart w:id="754" w:name="_Toc470785922"/>
      <w:bookmarkStart w:id="755" w:name="_Toc14357"/>
      <w:r>
        <w:t xml:space="preserve">9.1.2 </w:t>
      </w:r>
      <w:bookmarkEnd w:id="754"/>
      <w:bookmarkStart w:id="756" w:name="_Toc470785923"/>
      <w:r>
        <w:t>环境质量现状调查与评价</w:t>
      </w:r>
      <w:bookmarkEnd w:id="755"/>
      <w:bookmarkEnd w:id="756"/>
    </w:p>
    <w:p>
      <w:pPr>
        <w:bidi w:val="0"/>
      </w:pPr>
      <w:r>
        <w:rPr>
          <w:rFonts w:hint="eastAsia"/>
        </w:rPr>
        <w:t>根据</w:t>
      </w:r>
      <w:r>
        <w:rPr>
          <w:rFonts w:hint="default" w:ascii="Times New Roman" w:hAnsi="Times New Roman" w:cs="Times New Roman"/>
          <w:b w:val="0"/>
          <w:bCs w:val="0"/>
          <w:color w:val="auto"/>
          <w:sz w:val="24"/>
          <w:szCs w:val="24"/>
          <w:highlight w:val="none"/>
        </w:rPr>
        <w:t>《20</w:t>
      </w:r>
      <w:r>
        <w:rPr>
          <w:rFonts w:hint="eastAsia" w:ascii="Times New Roman" w:hAnsi="Times New Roman" w:cs="Times New Roman"/>
          <w:b w:val="0"/>
          <w:bCs w:val="0"/>
          <w:color w:val="auto"/>
          <w:sz w:val="24"/>
          <w:szCs w:val="24"/>
          <w:highlight w:val="none"/>
          <w:lang w:val="en-US" w:eastAsia="zh-CN"/>
        </w:rPr>
        <w:t>2</w:t>
      </w:r>
      <w:r>
        <w:rPr>
          <w:rFonts w:hint="eastAsia"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rPr>
        <w:t>年承德市</w:t>
      </w:r>
      <w:r>
        <w:rPr>
          <w:rFonts w:hint="eastAsia" w:ascii="Times New Roman" w:hAnsi="Times New Roman" w:cs="Times New Roman"/>
          <w:b w:val="0"/>
          <w:bCs w:val="0"/>
          <w:color w:val="auto"/>
          <w:sz w:val="24"/>
          <w:szCs w:val="24"/>
          <w:highlight w:val="none"/>
          <w:lang w:val="en-US" w:eastAsia="zh-CN"/>
        </w:rPr>
        <w:t>生态</w:t>
      </w:r>
      <w:r>
        <w:rPr>
          <w:rFonts w:hint="default" w:ascii="Times New Roman" w:hAnsi="Times New Roman" w:cs="Times New Roman"/>
          <w:b w:val="0"/>
          <w:bCs w:val="0"/>
          <w:color w:val="auto"/>
          <w:sz w:val="24"/>
          <w:szCs w:val="24"/>
          <w:highlight w:val="none"/>
        </w:rPr>
        <w:t>环境状况公报》（202</w:t>
      </w:r>
      <w:r>
        <w:rPr>
          <w:rFonts w:hint="eastAsia"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rPr>
        <w:t>年</w:t>
      </w:r>
      <w:r>
        <w:rPr>
          <w:rFonts w:hint="eastAsia" w:cs="Times New Roman"/>
          <w:b w:val="0"/>
          <w:bCs w:val="0"/>
          <w:color w:val="auto"/>
          <w:sz w:val="24"/>
          <w:szCs w:val="24"/>
          <w:lang w:val="en-US" w:eastAsia="zh-CN"/>
        </w:rPr>
        <w:t>4</w:t>
      </w:r>
      <w:r>
        <w:rPr>
          <w:rFonts w:hint="default" w:ascii="Times New Roman" w:hAnsi="Times New Roman" w:cs="Times New Roman"/>
          <w:b w:val="0"/>
          <w:bCs w:val="0"/>
          <w:color w:val="auto"/>
          <w:sz w:val="24"/>
          <w:szCs w:val="24"/>
        </w:rPr>
        <w:t>月，承德市生态环境</w:t>
      </w:r>
      <w:r>
        <w:rPr>
          <w:rFonts w:hint="eastAsia" w:cs="Times New Roman"/>
          <w:b w:val="0"/>
          <w:bCs w:val="0"/>
          <w:color w:val="auto"/>
          <w:sz w:val="24"/>
          <w:szCs w:val="24"/>
          <w:lang w:val="en-US" w:eastAsia="zh-CN"/>
        </w:rPr>
        <w:t>局</w:t>
      </w:r>
      <w:r>
        <w:rPr>
          <w:rFonts w:hint="default" w:ascii="Times New Roman" w:hAnsi="Times New Roman" w:cs="Times New Roman"/>
          <w:b w:val="0"/>
          <w:bCs w:val="0"/>
          <w:color w:val="auto"/>
          <w:sz w:val="24"/>
          <w:szCs w:val="24"/>
        </w:rPr>
        <w:t>）中</w:t>
      </w:r>
      <w:r>
        <w:rPr>
          <w:rFonts w:hint="eastAsia" w:cs="Times New Roman"/>
          <w:b w:val="0"/>
          <w:bCs w:val="0"/>
          <w:color w:val="auto"/>
          <w:sz w:val="24"/>
          <w:szCs w:val="24"/>
          <w:lang w:val="en-US" w:eastAsia="zh-CN"/>
        </w:rPr>
        <w:t>兴隆县</w:t>
      </w:r>
      <w:r>
        <w:rPr>
          <w:rFonts w:hint="eastAsia"/>
        </w:rPr>
        <w:t>大气常规污染物中的</w:t>
      </w:r>
      <w:r>
        <w:t>PM</w:t>
      </w:r>
      <w:r>
        <w:rPr>
          <w:vertAlign w:val="subscript"/>
        </w:rPr>
        <w:t>10</w:t>
      </w:r>
      <w:r>
        <w:rPr>
          <w:rFonts w:hint="eastAsia"/>
        </w:rPr>
        <w:t>、</w:t>
      </w:r>
      <w:r>
        <w:t>PM</w:t>
      </w:r>
      <w:r>
        <w:rPr>
          <w:rFonts w:hint="eastAsia"/>
          <w:vertAlign w:val="subscript"/>
        </w:rPr>
        <w:t>2.5</w:t>
      </w:r>
      <w:r>
        <w:rPr>
          <w:rFonts w:hint="eastAsia"/>
        </w:rPr>
        <w:t>、</w:t>
      </w:r>
      <w:r>
        <w:t>SO</w:t>
      </w:r>
      <w:r>
        <w:rPr>
          <w:vertAlign w:val="subscript"/>
        </w:rPr>
        <w:t>2</w:t>
      </w:r>
      <w:r>
        <w:rPr>
          <w:rFonts w:hint="eastAsia"/>
        </w:rPr>
        <w:t>、N</w:t>
      </w:r>
      <w:r>
        <w:t>O</w:t>
      </w:r>
      <w:r>
        <w:rPr>
          <w:vertAlign w:val="subscript"/>
        </w:rPr>
        <w:t>2</w:t>
      </w:r>
      <w:r>
        <w:rPr>
          <w:rFonts w:hint="eastAsia"/>
        </w:rPr>
        <w:t>、CO、O</w:t>
      </w:r>
      <w:r>
        <w:rPr>
          <w:rFonts w:hint="eastAsia"/>
          <w:vertAlign w:val="subscript"/>
        </w:rPr>
        <w:t>3</w:t>
      </w:r>
      <w:r>
        <w:rPr>
          <w:rFonts w:hint="eastAsia"/>
        </w:rPr>
        <w:t>现状监测统计资料，</w:t>
      </w:r>
      <w:r>
        <w:t>PM</w:t>
      </w:r>
      <w:r>
        <w:rPr>
          <w:vertAlign w:val="subscript"/>
        </w:rPr>
        <w:t>10</w:t>
      </w:r>
      <w:r>
        <w:rPr>
          <w:rFonts w:hint="eastAsia"/>
        </w:rPr>
        <w:t>、</w:t>
      </w:r>
      <w:r>
        <w:t>PM</w:t>
      </w:r>
      <w:r>
        <w:rPr>
          <w:rFonts w:hint="eastAsia"/>
          <w:vertAlign w:val="subscript"/>
        </w:rPr>
        <w:t>2.5</w:t>
      </w:r>
      <w:r>
        <w:rPr>
          <w:rFonts w:hint="eastAsia"/>
        </w:rPr>
        <w:t>、</w:t>
      </w:r>
      <w:r>
        <w:t>SO</w:t>
      </w:r>
      <w:r>
        <w:rPr>
          <w:vertAlign w:val="subscript"/>
        </w:rPr>
        <w:t>2</w:t>
      </w:r>
      <w:r>
        <w:rPr>
          <w:rFonts w:hint="eastAsia"/>
        </w:rPr>
        <w:t>、N</w:t>
      </w:r>
      <w:r>
        <w:t>O</w:t>
      </w:r>
      <w:r>
        <w:rPr>
          <w:vertAlign w:val="subscript"/>
        </w:rPr>
        <w:t>2</w:t>
      </w:r>
      <w:r>
        <w:rPr>
          <w:rFonts w:hint="eastAsia"/>
        </w:rPr>
        <w:t>、CO、O</w:t>
      </w:r>
      <w:r>
        <w:rPr>
          <w:rFonts w:hint="eastAsia"/>
          <w:vertAlign w:val="subscript"/>
        </w:rPr>
        <w:t>3</w:t>
      </w:r>
      <w:r>
        <w:rPr>
          <w:rFonts w:hint="eastAsia" w:ascii="Times New Roman" w:hAnsi="Times New Roman" w:cs="Times New Roman"/>
          <w:b w:val="0"/>
          <w:bCs w:val="0"/>
          <w:color w:val="auto"/>
          <w:sz w:val="24"/>
          <w:szCs w:val="24"/>
          <w:lang w:val="en-US" w:eastAsia="zh-CN"/>
        </w:rPr>
        <w:t>六项基本污染物浓度</w:t>
      </w:r>
      <w:r>
        <w:rPr>
          <w:rFonts w:hint="default" w:ascii="Times New Roman" w:hAnsi="Times New Roman" w:cs="Times New Roman"/>
          <w:b w:val="0"/>
          <w:bCs w:val="0"/>
          <w:color w:val="auto"/>
          <w:sz w:val="24"/>
          <w:szCs w:val="24"/>
        </w:rPr>
        <w:t>均符合《环境空气质量标准》（GB3095-2012）</w:t>
      </w:r>
      <w:r>
        <w:rPr>
          <w:rFonts w:hint="default" w:ascii="Times New Roman" w:hAnsi="Times New Roman" w:cs="Times New Roman"/>
          <w:b w:val="0"/>
          <w:bCs w:val="0"/>
          <w:color w:val="auto"/>
          <w:sz w:val="24"/>
          <w:szCs w:val="24"/>
          <w:lang w:val="en-US" w:eastAsia="zh-CN"/>
        </w:rPr>
        <w:t>及其修改单中的</w:t>
      </w:r>
      <w:r>
        <w:rPr>
          <w:rFonts w:hint="default" w:ascii="Times New Roman" w:hAnsi="Times New Roman" w:cs="Times New Roman"/>
          <w:b w:val="0"/>
          <w:bCs w:val="0"/>
          <w:color w:val="auto"/>
          <w:sz w:val="24"/>
          <w:szCs w:val="24"/>
        </w:rPr>
        <w:t>二级标准</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项目所在区域</w:t>
      </w:r>
      <w:r>
        <w:rPr>
          <w:rFonts w:hint="eastAsia" w:cs="Times New Roman"/>
          <w:b w:val="0"/>
          <w:bCs w:val="0"/>
          <w:color w:val="auto"/>
          <w:sz w:val="24"/>
          <w:szCs w:val="24"/>
          <w:lang w:val="en-US" w:eastAsia="zh-CN"/>
        </w:rPr>
        <w:t>2021年</w:t>
      </w:r>
      <w:r>
        <w:rPr>
          <w:rFonts w:hint="default" w:ascii="Times New Roman" w:hAnsi="Times New Roman" w:cs="Times New Roman"/>
          <w:b w:val="0"/>
          <w:bCs w:val="0"/>
          <w:color w:val="auto"/>
          <w:sz w:val="24"/>
          <w:szCs w:val="24"/>
        </w:rPr>
        <w:t>为环境空气质量达标区。</w:t>
      </w:r>
    </w:p>
    <w:p>
      <w:pPr>
        <w:rPr>
          <w:rFonts w:hint="default"/>
          <w:sz w:val="24"/>
          <w:szCs w:val="24"/>
        </w:rPr>
      </w:pPr>
      <w:r>
        <w:rPr>
          <w:rFonts w:hint="eastAsia"/>
          <w:snapToGrid w:val="0"/>
          <w:color w:val="000000"/>
          <w:lang w:eastAsia="zh-CN"/>
        </w:rPr>
        <w:t>根据</w:t>
      </w:r>
      <w:r>
        <w:rPr>
          <w:snapToGrid w:val="0"/>
          <w:color w:val="000000"/>
        </w:rPr>
        <w:t>《2021年承德市</w:t>
      </w:r>
      <w:r>
        <w:rPr>
          <w:rFonts w:hint="eastAsia"/>
          <w:snapToGrid w:val="0"/>
          <w:color w:val="000000"/>
        </w:rPr>
        <w:t>生态</w:t>
      </w:r>
      <w:r>
        <w:rPr>
          <w:snapToGrid w:val="0"/>
          <w:color w:val="000000"/>
        </w:rPr>
        <w:t>环境状况公报》</w:t>
      </w:r>
      <w:r>
        <w:rPr>
          <w:rFonts w:hint="eastAsia"/>
          <w:snapToGrid w:val="0"/>
          <w:color w:val="000000"/>
        </w:rPr>
        <w:t>（20</w:t>
      </w:r>
      <w:r>
        <w:rPr>
          <w:snapToGrid w:val="0"/>
          <w:color w:val="000000"/>
        </w:rPr>
        <w:t>22</w:t>
      </w:r>
      <w:r>
        <w:rPr>
          <w:rFonts w:hint="eastAsia"/>
          <w:snapToGrid w:val="0"/>
          <w:color w:val="000000"/>
        </w:rPr>
        <w:t>年</w:t>
      </w:r>
      <w:r>
        <w:rPr>
          <w:snapToGrid w:val="0"/>
          <w:color w:val="000000"/>
        </w:rPr>
        <w:t>4</w:t>
      </w:r>
      <w:r>
        <w:rPr>
          <w:rFonts w:hint="eastAsia"/>
          <w:snapToGrid w:val="0"/>
          <w:color w:val="000000"/>
        </w:rPr>
        <w:t>月，承德市生态环境局）</w:t>
      </w:r>
      <w:r>
        <w:rPr>
          <w:snapToGrid w:val="0"/>
          <w:color w:val="000000"/>
        </w:rPr>
        <w:t>中</w:t>
      </w:r>
      <w:r>
        <w:rPr>
          <w:rFonts w:hint="eastAsia"/>
          <w:snapToGrid w:val="0"/>
          <w:color w:val="000000"/>
          <w:lang w:eastAsia="zh-CN"/>
        </w:rPr>
        <w:t>柳河</w:t>
      </w:r>
      <w:r>
        <w:rPr>
          <w:rFonts w:hint="eastAsia"/>
          <w:snapToGrid w:val="0"/>
          <w:color w:val="000000"/>
        </w:rPr>
        <w:t>水质及常规断面监测数据情况</w:t>
      </w:r>
      <w:r>
        <w:rPr>
          <w:rFonts w:hint="eastAsia"/>
          <w:snapToGrid w:val="0"/>
          <w:color w:val="000000"/>
          <w:lang w:eastAsia="zh-CN"/>
        </w:rPr>
        <w:t>，柳河共布设地表水常规监测断面3个，2021年三块石、大杖子（二）断面水质类别均为I类，26#桥断面水质类别为II类，柳河流域总体水质状况为优，与2020年相比继续保持优的水质。</w:t>
      </w:r>
    </w:p>
    <w:p>
      <w:pPr>
        <w:ind w:firstLine="480"/>
      </w:pPr>
      <w:r>
        <w:rPr>
          <w:rFonts w:hint="eastAsia"/>
        </w:rPr>
        <w:t>根据地下水质量现状监测数据，地下水各项监测因子均满足《地下水质量标准》（GB/T14848-2017）Ⅲ类标准要求，区域地下水环境质量较好。</w:t>
      </w:r>
    </w:p>
    <w:p>
      <w:pPr>
        <w:ind w:firstLine="480"/>
        <w:rPr>
          <w:rFonts w:hint="eastAsia" w:eastAsia="宋体"/>
          <w:color w:val="000000"/>
          <w:lang w:eastAsia="zh-CN"/>
        </w:rPr>
      </w:pPr>
      <w:r>
        <w:rPr>
          <w:rFonts w:hint="eastAsia"/>
        </w:rPr>
        <w:t>根据</w:t>
      </w:r>
      <w:r>
        <w:rPr>
          <w:rFonts w:hint="eastAsia"/>
          <w:lang w:eastAsia="zh-CN"/>
        </w:rPr>
        <w:t>声环境</w:t>
      </w:r>
      <w:r>
        <w:rPr>
          <w:rFonts w:hint="eastAsia"/>
        </w:rPr>
        <w:t>质量现状监测数据</w:t>
      </w:r>
      <w:r>
        <w:t>，</w:t>
      </w:r>
      <w:r>
        <w:rPr>
          <w:rFonts w:hint="eastAsia"/>
          <w:lang w:eastAsia="zh-CN"/>
        </w:rPr>
        <w:t>各</w:t>
      </w:r>
      <w:r>
        <w:rPr>
          <w:rFonts w:hint="eastAsia"/>
          <w:color w:val="000000"/>
        </w:rPr>
        <w:t>土壤监测点各项监测因子均满足《土壤环境质量-农用地土壤污染风险管控标准》（GB15618 -2018）相应标准要求</w:t>
      </w:r>
      <w:r>
        <w:rPr>
          <w:rFonts w:hint="eastAsia"/>
          <w:color w:val="000000"/>
          <w:lang w:eastAsia="zh-CN"/>
        </w:rPr>
        <w:t>，区域农用地土壤污染风险均较低。</w:t>
      </w:r>
    </w:p>
    <w:p>
      <w:pPr>
        <w:ind w:firstLine="480"/>
      </w:pPr>
      <w:r>
        <w:rPr>
          <w:rFonts w:hint="eastAsia"/>
          <w:snapToGrid w:val="0"/>
        </w:rPr>
        <w:t>根据</w:t>
      </w:r>
      <w:r>
        <w:rPr>
          <w:rFonts w:hint="eastAsia"/>
          <w:snapToGrid w:val="0"/>
          <w:lang w:eastAsia="zh-CN"/>
        </w:rPr>
        <w:t>生态环境质量</w:t>
      </w:r>
      <w:r>
        <w:rPr>
          <w:rFonts w:hint="eastAsia"/>
          <w:snapToGrid w:val="0"/>
        </w:rPr>
        <w:t>现状</w:t>
      </w:r>
      <w:r>
        <w:rPr>
          <w:rFonts w:hint="eastAsia"/>
          <w:snapToGrid w:val="0"/>
          <w:lang w:eastAsia="zh-CN"/>
        </w:rPr>
        <w:t>调查</w:t>
      </w:r>
      <w:r>
        <w:rPr>
          <w:rFonts w:hint="eastAsia"/>
          <w:snapToGrid w:val="0"/>
        </w:rPr>
        <w:t>数据</w:t>
      </w:r>
      <w:r>
        <w:rPr>
          <w:rFonts w:hint="eastAsia"/>
          <w:snapToGrid w:val="0"/>
          <w:lang w:eastAsia="zh-CN"/>
        </w:rPr>
        <w:t>，现状评价区为人工生态系统与自然生态系统交互存在的生态系统，人工生态系统以农田生态系统、林地生态系统等为主；自然生态系统以河床、河滩灌草、山坡灌草及河流水水生生态系统为主。区域植被为华北植物区系向内蒙植物区系过渡植被，区域陆生植被差异性较明显：农田以玉米、小麦、高粱、大豆等大田作物为主，河道植被以人工种植的杨树及自然生长的柳树、榆树为主，河滩、堤岸植被以自然生长的杂草、灌木丛为主，村庄周边植被以人工种植的杨树为主，河道两侧山坡植被以人工种植的油松及自然生长的杨树、椴树、灌木、杂草为主。区域内存在的野生动物主要以当地北方山地土著哺乳类、爬行类和鸟类动物为主，如：野兔、蛇、山鸡、麻雀、喜鹊等，项目及周边范围内均无珍稀濒危野生动植物分布。项目所在区域水生生物主要为浮游植物、挺水植物、浮游动物、底栖生物及鱼类，未见重要水生生物。</w:t>
      </w:r>
    </w:p>
    <w:p>
      <w:pPr>
        <w:pStyle w:val="6"/>
      </w:pPr>
      <w:bookmarkStart w:id="757" w:name="_Toc26000"/>
      <w:bookmarkStart w:id="758" w:name="_Toc470785924"/>
      <w:r>
        <w:t>9.1.</w:t>
      </w:r>
      <w:r>
        <w:rPr>
          <w:rFonts w:hint="eastAsia"/>
        </w:rPr>
        <w:t>3</w:t>
      </w:r>
      <w:r>
        <w:t xml:space="preserve"> 环境影响预测与分析和污染防治措施可行性论证</w:t>
      </w:r>
      <w:bookmarkEnd w:id="757"/>
      <w:bookmarkEnd w:id="758"/>
    </w:p>
    <w:p>
      <w:pPr>
        <w:pStyle w:val="58"/>
      </w:pPr>
      <w:r>
        <w:t>9.1.</w:t>
      </w:r>
      <w:r>
        <w:rPr>
          <w:rFonts w:hint="eastAsia"/>
        </w:rPr>
        <w:t>3</w:t>
      </w:r>
      <w:r>
        <w:t>.1 大气环境影响分析和污染防治措施可行性结论</w:t>
      </w:r>
    </w:p>
    <w:p>
      <w:pPr>
        <w:ind w:firstLine="540"/>
      </w:pPr>
      <w:bookmarkStart w:id="759" w:name="_Toc125"/>
      <w:bookmarkStart w:id="760" w:name="_Toc300842233"/>
      <w:r>
        <w:rPr>
          <w:rFonts w:hint="eastAsia"/>
          <w:szCs w:val="24"/>
        </w:rPr>
        <w:t>施工期大气污染物主要为扬尘，包括场地土地平整等施工过程产生的扬尘，建筑物料堆场及建筑垃圾堆存处产生的扬尘，建筑材料、设备的运输及建筑垃圾清运引起的道路扬尘。建设过程中严格落实《河北省扬尘污染防治办法》、《河北省建筑施工扬尘防治强化措施18条》及《承德市人民政府办公室关于印发承德市建筑施工现场管理暂行办法的通知》（承市政办字[2010]150号）相关要求。</w:t>
      </w:r>
    </w:p>
    <w:p>
      <w:pPr>
        <w:pStyle w:val="7"/>
        <w:bidi w:val="0"/>
      </w:pPr>
      <w:r>
        <w:t>9.1.3.2地表水环境影响分析</w:t>
      </w:r>
      <w:bookmarkEnd w:id="759"/>
      <w:bookmarkEnd w:id="760"/>
      <w:r>
        <w:t>和污染防治措施可行性结论</w:t>
      </w:r>
    </w:p>
    <w:p>
      <w:pPr>
        <w:numPr>
          <w:ilvl w:val="0"/>
          <w:numId w:val="12"/>
        </w:numPr>
        <w:bidi w:val="0"/>
      </w:pPr>
      <w:r>
        <w:t>施工期</w:t>
      </w:r>
    </w:p>
    <w:p>
      <w:pPr>
        <w:ind w:firstLine="540"/>
        <w:rPr>
          <w:szCs w:val="24"/>
        </w:rPr>
      </w:pPr>
      <w:r>
        <w:rPr>
          <w:szCs w:val="24"/>
        </w:rPr>
        <w:t>项目建设阶段废水主要为：基坑排水、施工场地雨季地表径流和施工人员生活盥洗污水。针对施工场地雨季地表径流和施工过程产生的基坑排水，</w:t>
      </w:r>
      <w:r>
        <w:rPr>
          <w:rFonts w:hint="eastAsia"/>
          <w:szCs w:val="24"/>
        </w:rPr>
        <w:t>施工单位</w:t>
      </w:r>
      <w:r>
        <w:rPr>
          <w:szCs w:val="24"/>
        </w:rPr>
        <w:t>在河道管理线外设置临时沉淀池，河道内施工产生的基坑排水和施工场地内的雨季地表径流全部集中收集至临时沉淀池内沉淀后用于运输道路洒水降尘和区域绿化使用，污水不进入河流。</w:t>
      </w:r>
      <w:r>
        <w:t>项目不设置施工营地，人员生活污水用于居民区域洒水降尘，对河流水环境质量无明显影响。</w:t>
      </w:r>
    </w:p>
    <w:p>
      <w:pPr>
        <w:ind w:firstLine="540"/>
        <w:rPr>
          <w:szCs w:val="24"/>
        </w:rPr>
      </w:pPr>
      <w:r>
        <w:rPr>
          <w:szCs w:val="24"/>
        </w:rPr>
        <w:t>（2）运营期</w:t>
      </w:r>
    </w:p>
    <w:p>
      <w:pPr>
        <w:ind w:firstLine="540"/>
        <w:rPr>
          <w:szCs w:val="24"/>
        </w:rPr>
      </w:pPr>
      <w:r>
        <w:rPr>
          <w:szCs w:val="24"/>
        </w:rPr>
        <w:t>①地表水水质影响分析结论</w:t>
      </w:r>
    </w:p>
    <w:p>
      <w:pPr>
        <w:ind w:firstLine="540"/>
      </w:pPr>
      <w:r>
        <w:t>本项目为河道治理工程，</w:t>
      </w:r>
      <w:r>
        <w:rPr>
          <w:szCs w:val="24"/>
        </w:rPr>
        <w:t>项目种植的水生植物可有效吸附净化水中的污染物，可有效的改善本段河道及下游水质</w:t>
      </w:r>
      <w:r>
        <w:t>；生态护岸的建设将有效减少居民产生的生活垃圾等面源污染直接进入河流，生态护岸工程将使部分岸线较建设前明确，部分岸线、河道及滩地将不再遭受侵占，水土流失将得到有效控制。上述工程措施正式投运后，河流的水质将直接得到提升，对于维护河流水生生态的长期平衡具有重要意义。</w:t>
      </w:r>
    </w:p>
    <w:p>
      <w:pPr>
        <w:ind w:firstLine="540"/>
        <w:rPr>
          <w:szCs w:val="24"/>
        </w:rPr>
      </w:pPr>
      <w:r>
        <w:rPr>
          <w:szCs w:val="24"/>
        </w:rPr>
        <w:t>②水文要素影响分析结论</w:t>
      </w:r>
    </w:p>
    <w:p>
      <w:pPr>
        <w:ind w:firstLine="540"/>
      </w:pPr>
      <w:r>
        <w:rPr>
          <w:rFonts w:hint="eastAsia"/>
        </w:rPr>
        <w:t>本项目建成后，</w:t>
      </w:r>
      <w:r>
        <w:t>不会导致河道整体纵坡发生明显变化，不会导致河流流速发生明显变化，同时项目河道整治工程依照现有河道宽度进行，不会导致河道水面宽度发生变化。项目对河道进行治理，无拦河建坝工程和取水工程，因此项目的建设运行不会导致河流的水温出现分层，不会导致河道径流流量发生明显变化。</w:t>
      </w:r>
    </w:p>
    <w:p>
      <w:pPr>
        <w:ind w:firstLine="540"/>
      </w:pPr>
      <w:r>
        <w:t>项目河道整治工程实施后，河流流速和流量不会发生改变，河道内径流流量规律不会受本项目的影响，河道径流补充仍为自然降水补充。径流年内的分配和降水的年内分配的一致性不会被打破，河流的丰枯的季节性变化不会发生改变。</w:t>
      </w:r>
    </w:p>
    <w:p>
      <w:pPr>
        <w:pStyle w:val="7"/>
        <w:bidi w:val="0"/>
      </w:pPr>
      <w:r>
        <w:t>9.1.3.3地下水环境影响分析和污染防治措施可行性结论</w:t>
      </w:r>
    </w:p>
    <w:p>
      <w:pPr>
        <w:ind w:firstLine="540"/>
        <w:rPr>
          <w:szCs w:val="24"/>
        </w:rPr>
      </w:pPr>
      <w:r>
        <w:rPr>
          <w:szCs w:val="24"/>
        </w:rPr>
        <w:t>本项目为</w:t>
      </w:r>
      <w:r>
        <w:rPr>
          <w:rFonts w:hint="eastAsia"/>
          <w:szCs w:val="24"/>
        </w:rPr>
        <w:t>河流生态保护工程</w:t>
      </w:r>
      <w:r>
        <w:rPr>
          <w:szCs w:val="24"/>
        </w:rPr>
        <w:t>，施工期占地主要位于河道及河道紧邻的河岸，建设生态护岸</w:t>
      </w:r>
      <w:r>
        <w:rPr>
          <w:rFonts w:hint="eastAsia"/>
          <w:szCs w:val="24"/>
          <w:lang w:eastAsia="zh-CN"/>
        </w:rPr>
        <w:t>并清理河道</w:t>
      </w:r>
      <w:r>
        <w:rPr>
          <w:szCs w:val="24"/>
        </w:rPr>
        <w:t>、水生植物种植</w:t>
      </w:r>
      <w:r>
        <w:rPr>
          <w:rFonts w:hint="eastAsia"/>
          <w:szCs w:val="24"/>
          <w:lang w:eastAsia="zh-CN"/>
        </w:rPr>
        <w:t>及生态步道建设</w:t>
      </w:r>
      <w:r>
        <w:rPr>
          <w:szCs w:val="24"/>
        </w:rPr>
        <w:t>等，故本项目对</w:t>
      </w:r>
      <w:r>
        <w:rPr>
          <w:rFonts w:hint="eastAsia"/>
          <w:szCs w:val="24"/>
        </w:rPr>
        <w:t>柳河</w:t>
      </w:r>
      <w:r>
        <w:rPr>
          <w:szCs w:val="24"/>
        </w:rPr>
        <w:t>及河岸两侧地下水产生影响的污染源主要为临时沉淀池，为防止临时沉淀池影响地下水，沉淀池采取防渗措施（防渗系数K≤1×10</w:t>
      </w:r>
      <w:r>
        <w:rPr>
          <w:szCs w:val="24"/>
          <w:vertAlign w:val="superscript"/>
        </w:rPr>
        <w:t>-7</w:t>
      </w:r>
      <w:r>
        <w:rPr>
          <w:szCs w:val="24"/>
        </w:rPr>
        <w:t>cm/s）</w:t>
      </w:r>
      <w:r>
        <w:rPr>
          <w:rFonts w:hint="eastAsia"/>
          <w:szCs w:val="24"/>
        </w:rPr>
        <w:t>。项目运营期不产生污水，不存在水污染源。根据地下水环境现状调查结果，</w:t>
      </w:r>
      <w:r>
        <w:rPr>
          <w:snapToGrid w:val="0"/>
        </w:rPr>
        <w:t>项目评价范围内地下水各监测点位各项监测因子均满足《地下水质量标准》（GB/T14848-2017）中的Ⅲ类标准要求</w:t>
      </w:r>
      <w:r>
        <w:rPr>
          <w:rFonts w:hint="eastAsia"/>
          <w:snapToGrid w:val="0"/>
        </w:rPr>
        <w:t>。</w:t>
      </w:r>
      <w:r>
        <w:rPr>
          <w:rFonts w:hint="eastAsia"/>
          <w:szCs w:val="24"/>
          <w:lang w:eastAsia="zh-CN"/>
        </w:rPr>
        <w:t>项目地下水污染防治措施可行</w:t>
      </w:r>
      <w:r>
        <w:rPr>
          <w:rFonts w:hint="eastAsia"/>
          <w:szCs w:val="24"/>
        </w:rPr>
        <w:t>。</w:t>
      </w:r>
    </w:p>
    <w:p>
      <w:pPr>
        <w:pStyle w:val="7"/>
        <w:bidi w:val="0"/>
      </w:pPr>
      <w:bookmarkStart w:id="761" w:name="_Toc300842234"/>
      <w:bookmarkStart w:id="762" w:name="_Toc19111"/>
      <w:r>
        <w:t>9.1.3.4声环境影响分析</w:t>
      </w:r>
      <w:bookmarkEnd w:id="761"/>
      <w:bookmarkEnd w:id="762"/>
      <w:r>
        <w:t>和污染防治措施可行性结论</w:t>
      </w:r>
    </w:p>
    <w:p>
      <w:pPr>
        <w:ind w:firstLine="540"/>
        <w:rPr>
          <w:szCs w:val="24"/>
        </w:rPr>
      </w:pPr>
      <w:r>
        <w:rPr>
          <w:szCs w:val="24"/>
        </w:rPr>
        <w:t>项目建设阶段产生的噪声包括设备噪声和运输噪声。建设单位采取选用低噪声设备、规范设备操作、设备定期维护、合理安排时间（夜间禁止施工）、加强施工管理、车辆经过村庄减速慢行、车辆禁鸣等降噪措施，</w:t>
      </w:r>
      <w:r>
        <w:rPr>
          <w:rFonts w:hint="eastAsia"/>
          <w:szCs w:val="24"/>
        </w:rPr>
        <w:t>以降低施工期噪声环境影响。</w:t>
      </w:r>
      <w:r>
        <w:rPr>
          <w:rFonts w:hint="eastAsia"/>
          <w:szCs w:val="24"/>
          <w:lang w:eastAsia="zh-CN"/>
        </w:rPr>
        <w:t>项目噪声污染物防治措施可行</w:t>
      </w:r>
      <w:r>
        <w:rPr>
          <w:rFonts w:hint="eastAsia"/>
          <w:szCs w:val="24"/>
        </w:rPr>
        <w:t>。</w:t>
      </w:r>
    </w:p>
    <w:p>
      <w:pPr>
        <w:pStyle w:val="7"/>
        <w:bidi w:val="0"/>
      </w:pPr>
      <w:bookmarkStart w:id="763" w:name="_Toc300842235"/>
      <w:bookmarkStart w:id="764" w:name="_Toc5676"/>
      <w:r>
        <w:t>9.1.3.5 固体废物环境影响分析结论</w:t>
      </w:r>
      <w:bookmarkEnd w:id="763"/>
      <w:bookmarkEnd w:id="764"/>
    </w:p>
    <w:p>
      <w:pPr>
        <w:ind w:firstLine="540"/>
        <w:rPr>
          <w:rFonts w:hint="eastAsia"/>
          <w:kern w:val="2"/>
          <w:szCs w:val="22"/>
        </w:rPr>
      </w:pPr>
      <w:r>
        <w:rPr>
          <w:szCs w:val="24"/>
        </w:rPr>
        <w:t>项目</w:t>
      </w:r>
      <w:r>
        <w:rPr>
          <w:kern w:val="2"/>
          <w:szCs w:val="22"/>
        </w:rPr>
        <w:t>施工期</w:t>
      </w:r>
      <w:r>
        <w:rPr>
          <w:rFonts w:hint="eastAsia"/>
          <w:kern w:val="2"/>
          <w:szCs w:val="22"/>
        </w:rPr>
        <w:t>产生的固体废物包括河道及两侧清理的垃圾和渣土、河道内生态护岸及生态步道开挖的土石方、施工废水沉淀池底泥、生活垃圾。生活垃圾生活垃圾分类收集，随同河道清理的生活垃圾一同运至生活垃圾填埋场填埋处置。河道清理产生的河道淤泥用于河滩地低洼地区回填，河流冲积物用于附近村镇乡路垫道，岸坡垃圾集中收集运至生活垃圾填埋场填埋处置；生态护岸工程不产生弃方；生态步道工程不产生弃方，项目不产生弃土，因此不设弃土场。临时沉淀池底泥定期清运至土方回填区。</w:t>
      </w:r>
    </w:p>
    <w:p>
      <w:pPr>
        <w:ind w:firstLine="540"/>
        <w:rPr>
          <w:rFonts w:hint="eastAsia" w:eastAsia="宋体"/>
          <w:szCs w:val="24"/>
          <w:lang w:eastAsia="zh-CN"/>
        </w:rPr>
      </w:pPr>
      <w:r>
        <w:rPr>
          <w:rFonts w:hint="eastAsia"/>
          <w:kern w:val="2"/>
          <w:szCs w:val="22"/>
        </w:rPr>
        <w:t>综上，施工期固体废物均可综合利用或妥善处置。</w:t>
      </w:r>
      <w:r>
        <w:rPr>
          <w:rFonts w:hint="eastAsia"/>
          <w:kern w:val="2"/>
          <w:szCs w:val="22"/>
          <w:lang w:eastAsia="zh-CN"/>
        </w:rPr>
        <w:t>项目固体废物污染防治措施可行。</w:t>
      </w:r>
    </w:p>
    <w:p>
      <w:pPr>
        <w:pStyle w:val="7"/>
        <w:bidi w:val="0"/>
      </w:pPr>
      <w:r>
        <w:t>9.1.3.6生态环境影响和保护措施可行性分析结论</w:t>
      </w:r>
    </w:p>
    <w:p>
      <w:pPr>
        <w:adjustRightInd w:val="0"/>
        <w:ind w:firstLine="540"/>
        <w:rPr>
          <w:szCs w:val="24"/>
        </w:rPr>
      </w:pPr>
      <w:r>
        <w:rPr>
          <w:szCs w:val="24"/>
        </w:rPr>
        <w:t>（1）施工期</w:t>
      </w:r>
    </w:p>
    <w:p>
      <w:pPr>
        <w:adjustRightInd w:val="0"/>
        <w:ind w:firstLine="540"/>
        <w:rPr>
          <w:szCs w:val="24"/>
        </w:rPr>
      </w:pPr>
      <w:r>
        <w:rPr>
          <w:szCs w:val="24"/>
        </w:rPr>
        <w:t>①土地利用影响</w:t>
      </w:r>
    </w:p>
    <w:p>
      <w:pPr>
        <w:adjustRightInd w:val="0"/>
        <w:ind w:firstLine="540"/>
      </w:pPr>
      <w:r>
        <w:rPr>
          <w:kern w:val="2"/>
          <w:szCs w:val="22"/>
        </w:rPr>
        <w:t>施工期间工程占地会改变原有土地使用功能，由于作业区内地表层的清理、开挖、碾压、践踏等，导致原地表覆盖层的消失，裸露土地面积增加，开挖造成的土体扰动使土壤的结构、组成及理化特性等发生变化，进而影响土壤的原有使用用途及植被的生长发育等，对原有土地利用形式产生一定影响。</w:t>
      </w:r>
      <w:r>
        <w:t>项目</w:t>
      </w:r>
      <w:r>
        <w:rPr>
          <w:rFonts w:hint="eastAsia"/>
        </w:rPr>
        <w:t>已完成施工，</w:t>
      </w:r>
      <w:r>
        <w:t>对临时占地</w:t>
      </w:r>
      <w:r>
        <w:rPr>
          <w:rFonts w:hint="eastAsia"/>
        </w:rPr>
        <w:t>已</w:t>
      </w:r>
      <w:r>
        <w:t>进行迹地恢复。项目对土地利用格局的改变是临时性的，</w:t>
      </w:r>
      <w:r>
        <w:rPr>
          <w:rFonts w:hint="eastAsia"/>
        </w:rPr>
        <w:t>经恢复后不改变占地性质和功能</w:t>
      </w:r>
      <w:r>
        <w:t>。</w:t>
      </w:r>
    </w:p>
    <w:p>
      <w:pPr>
        <w:ind w:firstLine="540"/>
        <w:rPr>
          <w:szCs w:val="24"/>
        </w:rPr>
      </w:pPr>
      <w:r>
        <w:rPr>
          <w:szCs w:val="24"/>
        </w:rPr>
        <w:t>②对植物影响分析</w:t>
      </w:r>
    </w:p>
    <w:p>
      <w:pPr>
        <w:ind w:firstLine="540"/>
        <w:rPr>
          <w:szCs w:val="24"/>
        </w:rPr>
      </w:pPr>
      <w:r>
        <w:rPr>
          <w:kern w:val="2"/>
        </w:rPr>
        <w:t>本项目临时占地区域主要为河滩地，植被稀疏，主要为杂草灌丛植被和少量农作物，项目临时占地对当地植被破坏程度轻微。</w:t>
      </w:r>
      <w:r>
        <w:rPr>
          <w:kern w:val="2"/>
          <w:szCs w:val="22"/>
        </w:rPr>
        <w:t>施工后期，随着迹地复绿工程的实施，将有利于减小临时占地对植被的不利影响。本工程施工对地表植被影响较小。</w:t>
      </w:r>
    </w:p>
    <w:p>
      <w:pPr>
        <w:ind w:firstLine="540"/>
        <w:rPr>
          <w:szCs w:val="24"/>
        </w:rPr>
      </w:pPr>
      <w:r>
        <w:rPr>
          <w:szCs w:val="24"/>
        </w:rPr>
        <w:t>③对陆生动物的影响</w:t>
      </w:r>
    </w:p>
    <w:p>
      <w:pPr>
        <w:ind w:firstLine="540"/>
        <w:rPr>
          <w:szCs w:val="24"/>
        </w:rPr>
      </w:pPr>
      <w:r>
        <w:t>工程施工期对动物的影响，主要是运输、施工噪声和人为活动，迫使动物离开施工附近区域。因此，在施工过程中应加强对施工人员活动的控制，减少对动物的干扰，夜间尽量减少活动；合理安排施工时间，在动物活动频繁季节停止施工。在此基础上，工程建设对动物的影响小。</w:t>
      </w:r>
    </w:p>
    <w:p>
      <w:pPr>
        <w:ind w:firstLine="540"/>
        <w:rPr>
          <w:szCs w:val="24"/>
        </w:rPr>
      </w:pPr>
      <w:r>
        <w:rPr>
          <w:szCs w:val="24"/>
        </w:rPr>
        <w:t>④对水生生物的影响</w:t>
      </w:r>
    </w:p>
    <w:p>
      <w:pPr>
        <w:ind w:firstLine="540"/>
      </w:pPr>
      <w:r>
        <w:t>施工期拟建工程的建设将扰动局部水体，施工材料若堆放处置不善或受暴雨冲刷将会进入水体，路面开挖、弃土弃渣等在雨水冲刷下形成路面径流也会进入水体，导致</w:t>
      </w:r>
      <w:r>
        <w:rPr>
          <w:rFonts w:hint="eastAsia"/>
        </w:rPr>
        <w:t>柳河</w:t>
      </w:r>
      <w:r>
        <w:t>局部水体浑浊、悬浮物含量高、水体透明度下降、光照强度不充足，可能会使水中溶解氧降低，对浮游植物的光合作用产生一定的不利影响。</w:t>
      </w:r>
      <w:r>
        <w:rPr>
          <w:kern w:val="2"/>
          <w:szCs w:val="22"/>
        </w:rPr>
        <w:t>由于本项目施工期短暂，受影响的区域范围较小，施工期对上游浮游植物不产生影响</w:t>
      </w:r>
      <w:r>
        <w:rPr>
          <w:rFonts w:hint="eastAsia"/>
          <w:kern w:val="2"/>
          <w:szCs w:val="22"/>
        </w:rPr>
        <w:t>。项目施工现已结束，随着</w:t>
      </w:r>
      <w:r>
        <w:rPr>
          <w:kern w:val="2"/>
          <w:szCs w:val="22"/>
        </w:rPr>
        <w:t>河流</w:t>
      </w:r>
      <w:r>
        <w:rPr>
          <w:rFonts w:hint="eastAsia"/>
          <w:kern w:val="2"/>
          <w:szCs w:val="22"/>
        </w:rPr>
        <w:t>水质的恢复</w:t>
      </w:r>
      <w:r>
        <w:rPr>
          <w:kern w:val="2"/>
          <w:szCs w:val="22"/>
        </w:rPr>
        <w:t>，浮游植物的生境通过上游补充等途径</w:t>
      </w:r>
      <w:r>
        <w:rPr>
          <w:rFonts w:hint="eastAsia"/>
          <w:kern w:val="2"/>
          <w:szCs w:val="22"/>
        </w:rPr>
        <w:t>已基本</w:t>
      </w:r>
      <w:r>
        <w:rPr>
          <w:kern w:val="2"/>
          <w:szCs w:val="22"/>
        </w:rPr>
        <w:t>恢复。</w:t>
      </w:r>
    </w:p>
    <w:p>
      <w:pPr>
        <w:ind w:firstLine="540"/>
      </w:pPr>
      <w:r>
        <w:t>施工期造成</w:t>
      </w:r>
      <w:r>
        <w:rPr>
          <w:rFonts w:hint="eastAsia"/>
        </w:rPr>
        <w:t>柳河</w:t>
      </w:r>
      <w:r>
        <w:t>局部悬浮物含量增高，对滤食性浮游动物产生一定影响，过量的悬浮物导致滤食性浮游动物过滤系统和消化系统堵塞的可能，另外，悬浮物附着在浮游动物体表，也会对其生理机能带来一定的影响</w:t>
      </w:r>
      <w:r>
        <w:rPr>
          <w:rFonts w:hint="eastAsia"/>
        </w:rPr>
        <w:t>。</w:t>
      </w:r>
      <w:r>
        <w:t>随着施工</w:t>
      </w:r>
      <w:r>
        <w:rPr>
          <w:rFonts w:hint="eastAsia"/>
          <w:lang w:eastAsia="zh-CN"/>
        </w:rPr>
        <w:t>期</w:t>
      </w:r>
      <w:r>
        <w:t>结束，</w:t>
      </w:r>
      <w:r>
        <w:rPr>
          <w:rFonts w:hint="eastAsia"/>
        </w:rPr>
        <w:t>上述</w:t>
      </w:r>
      <w:r>
        <w:t>影响</w:t>
      </w:r>
      <w:r>
        <w:rPr>
          <w:rFonts w:hint="eastAsia"/>
          <w:lang w:eastAsia="zh-CN"/>
        </w:rPr>
        <w:t>将会</w:t>
      </w:r>
      <w:r>
        <w:t>消失。</w:t>
      </w:r>
    </w:p>
    <w:p>
      <w:pPr>
        <w:ind w:firstLine="540"/>
      </w:pPr>
      <w:r>
        <w:t>项目水生植物种植、生态护岸及</w:t>
      </w:r>
      <w:r>
        <w:rPr>
          <w:rFonts w:hint="eastAsia"/>
        </w:rPr>
        <w:t>渗滤坝</w:t>
      </w:r>
      <w:r>
        <w:t>的建设均会扰动河道底质，对在施工河段内栖息的底栖动物影响显著，但对蜉蝣目等游动类底栖动物影响较小。</w:t>
      </w:r>
    </w:p>
    <w:p>
      <w:pPr>
        <w:ind w:firstLine="540"/>
      </w:pPr>
      <w:r>
        <w:rPr>
          <w:rFonts w:hAnsi="宋体"/>
          <w:szCs w:val="24"/>
        </w:rPr>
        <w:t>工程建设过程对河道的扰动，将使区域内的生物量有一定的减少，</w:t>
      </w:r>
      <w:r>
        <w:rPr>
          <w:rFonts w:hint="eastAsia" w:hAnsi="宋体"/>
          <w:szCs w:val="24"/>
        </w:rPr>
        <w:t>待工程完成后，水域水量充沛，水质逐渐清洁，原有的鱼类资源及其生息环境不会有太大的变化，评价范围鱼类种类、数量的影响不大</w:t>
      </w:r>
      <w:r>
        <w:rPr>
          <w:rFonts w:hAnsi="宋体"/>
          <w:szCs w:val="24"/>
        </w:rPr>
        <w:t>。</w:t>
      </w:r>
      <w:r>
        <w:rPr>
          <w:szCs w:val="24"/>
        </w:rPr>
        <w:t>总体来说</w:t>
      </w:r>
      <w:r>
        <w:rPr>
          <w:rFonts w:hint="eastAsia"/>
          <w:szCs w:val="24"/>
        </w:rPr>
        <w:t>本项目的建设期</w:t>
      </w:r>
      <w:r>
        <w:rPr>
          <w:szCs w:val="24"/>
        </w:rPr>
        <w:t>对水质的影响是暂时的，不会导致严重的水质恶化，对</w:t>
      </w:r>
      <w:r>
        <w:rPr>
          <w:rFonts w:hint="eastAsia"/>
          <w:szCs w:val="24"/>
        </w:rPr>
        <w:t>水生生态环境影响可接受</w:t>
      </w:r>
      <w:r>
        <w:rPr>
          <w:szCs w:val="24"/>
        </w:rPr>
        <w:t>。</w:t>
      </w:r>
    </w:p>
    <w:p>
      <w:pPr>
        <w:ind w:firstLine="540"/>
      </w:pPr>
      <w:r>
        <w:t>（2）运营期</w:t>
      </w:r>
    </w:p>
    <w:p>
      <w:pPr>
        <w:ind w:firstLine="540"/>
        <w:rPr>
          <w:szCs w:val="24"/>
        </w:rPr>
      </w:pPr>
      <w:r>
        <w:rPr>
          <w:szCs w:val="24"/>
        </w:rPr>
        <w:t>①对陆生植物的影响</w:t>
      </w:r>
    </w:p>
    <w:p>
      <w:pPr>
        <w:ind w:firstLine="540"/>
        <w:rPr>
          <w:szCs w:val="24"/>
        </w:rPr>
      </w:pPr>
      <w:r>
        <w:rPr>
          <w:szCs w:val="24"/>
        </w:rPr>
        <w:t>项目生态护岸的建设，增加了地表植被的覆盖面积，有效地恢复和缓解了施工期临时占地对植被的不利影响，有效的增加了区域内的总体生物量，使区域内的生物多样性增加，食物链趋向复杂，有效的提升了区域内自然生态系统的整体稳定性。</w:t>
      </w:r>
    </w:p>
    <w:p>
      <w:pPr>
        <w:ind w:firstLine="540"/>
        <w:rPr>
          <w:szCs w:val="24"/>
        </w:rPr>
      </w:pPr>
      <w:r>
        <w:rPr>
          <w:szCs w:val="24"/>
        </w:rPr>
        <w:t>运营期间河道水域面积的增加和水体流速的减缓，有利于营养物质的截流，对水中的浮游生物的生长有利。由于地表水质不断向善向好发展，底栖生态系统将迅速恢复，达到新的平衡状态，底栖生物多样性也将得到恢复，河道</w:t>
      </w:r>
      <w:r>
        <w:rPr>
          <w:rFonts w:hint="eastAsia"/>
          <w:szCs w:val="24"/>
          <w:lang w:eastAsia="zh-CN"/>
        </w:rPr>
        <w:t>疏浚</w:t>
      </w:r>
      <w:r>
        <w:rPr>
          <w:szCs w:val="24"/>
        </w:rPr>
        <w:t>工程的实施将导致底栖生物河底生境面积的扩大和水流环境的改善，有利于底栖生物多样性的增加。</w:t>
      </w:r>
    </w:p>
    <w:p>
      <w:pPr>
        <w:ind w:firstLine="540"/>
        <w:rPr>
          <w:szCs w:val="24"/>
        </w:rPr>
      </w:pPr>
      <w:r>
        <w:rPr>
          <w:rFonts w:hint="eastAsia"/>
          <w:szCs w:val="24"/>
        </w:rPr>
        <w:t>生态护岸为格宾石笼结构，属于岸坡工程，不会影响水流行洪能力，对水中低级鱼类的巡游、索饵影响较小。河道清理后，浮游生物、沉水植物的多样性将会增加，为仔幼鱼的索饵创造了良好条件；</w:t>
      </w:r>
      <w:r>
        <w:rPr>
          <w:szCs w:val="24"/>
        </w:rPr>
        <w:t>河道清理和</w:t>
      </w:r>
      <w:r>
        <w:rPr>
          <w:rFonts w:hint="eastAsia"/>
          <w:szCs w:val="24"/>
          <w:lang w:eastAsia="zh-CN"/>
        </w:rPr>
        <w:t>生态护岸</w:t>
      </w:r>
      <w:r>
        <w:rPr>
          <w:szCs w:val="24"/>
        </w:rPr>
        <w:t>的建设将会重新构建一些鱼类的结构化的栖息地，相对工程建设前，增加了不同深度的结构化栖息地，会使得鱼类更加多样化；新的生态系统一旦建立，河流生态系统将更加开放，鱼类生境的片段化将会得到改善，不同种群基因交流加强，有利于鱼类多样性的增加。</w:t>
      </w:r>
    </w:p>
    <w:p>
      <w:pPr>
        <w:ind w:firstLine="540"/>
      </w:pPr>
      <w:r>
        <w:rPr>
          <w:szCs w:val="24"/>
        </w:rPr>
        <w:t>本工程实施后，水质变清，水生生境得到改善，为水生生物创造了良好的生存条件，将有利于浮游植物的繁殖和发展；随着浮游植物丰度和生物量的不断增加，浮游动物的丰度和生物量也会逐渐恢复；治理后的河流运行后底质会有所改善，同时一些绿化植被、水生植物的生长，可以为底栖动物提供更为丰富的栖息环境，从而增加底栖动物的多样性和数量，特别是腹足类的种类和数量会增加；河流治理后水面加宽，水流增加，鱼类生境得以恢复，特别是作为鱼类天然饵料的浮游植物和浮游动物逐渐发展起来，为鱼类生存和生长创造了较有利的条件。</w:t>
      </w:r>
    </w:p>
    <w:p>
      <w:pPr>
        <w:pStyle w:val="6"/>
        <w:bidi w:val="0"/>
      </w:pPr>
      <w:bookmarkStart w:id="765" w:name="_Toc23225"/>
      <w:bookmarkStart w:id="766" w:name="_Toc470785927"/>
      <w:r>
        <w:t>9.1.4 环境影响经济损益结论</w:t>
      </w:r>
      <w:bookmarkEnd w:id="765"/>
    </w:p>
    <w:p>
      <w:pPr>
        <w:adjustRightInd w:val="0"/>
        <w:ind w:firstLine="540"/>
        <w:rPr>
          <w:color w:val="000000"/>
          <w:kern w:val="0"/>
          <w:szCs w:val="24"/>
          <w:lang w:val="zh-CN"/>
        </w:rPr>
      </w:pPr>
      <w:r>
        <w:rPr>
          <w:rFonts w:hint="eastAsia"/>
          <w:szCs w:val="24"/>
          <w:highlight w:val="none"/>
          <w:lang w:val="zh-CN"/>
        </w:rPr>
        <w:t>本项目的建设</w:t>
      </w:r>
      <w:r>
        <w:rPr>
          <w:szCs w:val="24"/>
          <w:highlight w:val="none"/>
          <w:lang w:val="zh-CN"/>
        </w:rPr>
        <w:t>在带来</w:t>
      </w:r>
      <w:r>
        <w:rPr>
          <w:szCs w:val="24"/>
          <w:lang w:val="zh-CN"/>
        </w:rPr>
        <w:t>社会、经济效益的同时，也造成了一定的环境损失，本项目建设的损失主要表现为工程施工带来的环境损失，</w:t>
      </w:r>
      <w:r>
        <w:rPr>
          <w:rFonts w:hint="eastAsia"/>
          <w:szCs w:val="24"/>
          <w:lang w:val="zh-CN"/>
        </w:rPr>
        <w:t>但</w:t>
      </w:r>
      <w:r>
        <w:rPr>
          <w:szCs w:val="24"/>
          <w:lang w:val="zh-CN"/>
        </w:rPr>
        <w:t>本工程</w:t>
      </w:r>
      <w:r>
        <w:rPr>
          <w:rFonts w:hint="eastAsia"/>
          <w:szCs w:val="24"/>
          <w:lang w:val="zh-CN"/>
        </w:rPr>
        <w:t>施工期</w:t>
      </w:r>
      <w:r>
        <w:rPr>
          <w:szCs w:val="24"/>
          <w:lang w:val="zh-CN"/>
        </w:rPr>
        <w:t>产生的损失为局部的、短期的，</w:t>
      </w:r>
      <w:r>
        <w:rPr>
          <w:rFonts w:hint="eastAsia"/>
          <w:szCs w:val="24"/>
          <w:lang w:val="zh-CN"/>
        </w:rPr>
        <w:t>本项目</w:t>
      </w:r>
      <w:r>
        <w:rPr>
          <w:szCs w:val="24"/>
          <w:lang w:val="zh-CN"/>
        </w:rPr>
        <w:t>的建设将有效改善</w:t>
      </w:r>
      <w:r>
        <w:rPr>
          <w:rFonts w:hint="eastAsia"/>
          <w:szCs w:val="24"/>
          <w:lang w:val="zh-CN"/>
        </w:rPr>
        <w:t>柳河</w:t>
      </w:r>
      <w:r>
        <w:t>地表水</w:t>
      </w:r>
      <w:r>
        <w:rPr>
          <w:rFonts w:hint="eastAsia"/>
          <w:lang w:eastAsia="zh-CN"/>
        </w:rPr>
        <w:t>生态环境</w:t>
      </w:r>
      <w:r>
        <w:t>质量</w:t>
      </w:r>
      <w:r>
        <w:rPr>
          <w:szCs w:val="24"/>
          <w:lang w:val="zh-CN"/>
        </w:rPr>
        <w:t>，</w:t>
      </w:r>
      <w:r>
        <w:rPr>
          <w:rFonts w:hint="eastAsia"/>
          <w:szCs w:val="24"/>
          <w:lang w:val="zh-CN"/>
        </w:rPr>
        <w:t>且有利于提高区段水源涵养能力，有利于维护河流水生生态的长期平衡，环境效益显著。</w:t>
      </w:r>
    </w:p>
    <w:p>
      <w:pPr>
        <w:pStyle w:val="6"/>
        <w:bidi w:val="0"/>
      </w:pPr>
      <w:bookmarkStart w:id="767" w:name="_Toc79839546"/>
      <w:bookmarkStart w:id="768" w:name="_Toc21861"/>
      <w:r>
        <w:t>9.1.</w:t>
      </w:r>
      <w:r>
        <w:rPr>
          <w:rFonts w:hint="eastAsia"/>
          <w:lang w:val="en-US" w:eastAsia="zh-CN"/>
        </w:rPr>
        <w:t>5</w:t>
      </w:r>
      <w:r>
        <w:t xml:space="preserve"> 总量控制分析结论</w:t>
      </w:r>
      <w:bookmarkEnd w:id="767"/>
      <w:bookmarkEnd w:id="768"/>
    </w:p>
    <w:p>
      <w:pPr>
        <w:autoSpaceDE w:val="0"/>
        <w:autoSpaceDN w:val="0"/>
        <w:adjustRightInd w:val="0"/>
        <w:ind w:firstLine="540"/>
        <w:rPr>
          <w:szCs w:val="24"/>
        </w:rPr>
      </w:pPr>
      <w:r>
        <w:rPr>
          <w:szCs w:val="24"/>
        </w:rPr>
        <w:t>根据国家主要污染物总量控制指标要求，并结合本项目的排污状况核算，本项目不给出总量控制指标。</w:t>
      </w:r>
    </w:p>
    <w:p>
      <w:pPr>
        <w:pStyle w:val="6"/>
        <w:bidi w:val="0"/>
      </w:pPr>
      <w:bookmarkStart w:id="769" w:name="_Toc32360"/>
      <w:bookmarkStart w:id="770" w:name="_Toc7705"/>
      <w:bookmarkStart w:id="771" w:name="_Toc79839547"/>
      <w:r>
        <w:t>9.1.</w:t>
      </w:r>
      <w:r>
        <w:rPr>
          <w:rFonts w:hint="eastAsia"/>
          <w:lang w:val="en-US" w:eastAsia="zh-CN"/>
        </w:rPr>
        <w:t>6</w:t>
      </w:r>
      <w:r>
        <w:t xml:space="preserve"> </w:t>
      </w:r>
      <w:bookmarkEnd w:id="769"/>
      <w:r>
        <w:t>建设项目可行性结论</w:t>
      </w:r>
      <w:bookmarkEnd w:id="770"/>
      <w:bookmarkEnd w:id="771"/>
    </w:p>
    <w:p>
      <w:pPr>
        <w:ind w:firstLine="480"/>
      </w:pPr>
      <w:bookmarkStart w:id="772" w:name="_Toc269200677"/>
      <w:r>
        <w:rPr>
          <w:rFonts w:hint="eastAsia"/>
        </w:rPr>
        <w:t>项目符合国家和地方有关环境保护法律法规、标准、政策、规范要求，符合“三线一单”控制要求，符合国家及地方相关的产业政策要求。通过</w:t>
      </w:r>
      <w:r>
        <w:t>采用各项污染防治措施，各类污染物可实现达标排放，对区域环境质量影响较轻。从环境保护的角度分析，该项目可行。</w:t>
      </w:r>
      <w:bookmarkEnd w:id="772"/>
      <w:r>
        <w:rPr>
          <w:rFonts w:hint="eastAsia"/>
        </w:rPr>
        <w:t>项目为水质提升及生态修复类工程，可有效改善柳河生态环境质量，减少了水污染物面源污染，有利于柳河水质提升，环境效益显著，</w:t>
      </w:r>
      <w:r>
        <w:t>项目具有环境可行性。</w:t>
      </w:r>
    </w:p>
    <w:p>
      <w:pPr>
        <w:pStyle w:val="5"/>
        <w:bidi w:val="0"/>
      </w:pPr>
      <w:bookmarkStart w:id="773" w:name="_Toc17171"/>
      <w:bookmarkStart w:id="774" w:name="_Toc453570874"/>
      <w:bookmarkStart w:id="775" w:name="_Toc450830888"/>
      <w:bookmarkStart w:id="776" w:name="_Toc79839548"/>
      <w:bookmarkStart w:id="777" w:name="_Toc1092"/>
      <w:bookmarkStart w:id="778" w:name="_Toc4451"/>
      <w:r>
        <w:t>9.2 建议</w:t>
      </w:r>
      <w:bookmarkEnd w:id="773"/>
      <w:bookmarkEnd w:id="774"/>
      <w:bookmarkEnd w:id="775"/>
      <w:bookmarkEnd w:id="776"/>
      <w:bookmarkEnd w:id="777"/>
      <w:bookmarkEnd w:id="778"/>
    </w:p>
    <w:p>
      <w:pPr>
        <w:adjustRightInd w:val="0"/>
        <w:ind w:firstLine="540"/>
        <w:rPr>
          <w:snapToGrid w:val="0"/>
          <w:szCs w:val="24"/>
        </w:rPr>
      </w:pPr>
      <w:r>
        <w:rPr>
          <w:snapToGrid w:val="0"/>
          <w:szCs w:val="24"/>
        </w:rPr>
        <w:t>（1）严格管理，切实落实各项环保措施。</w:t>
      </w:r>
    </w:p>
    <w:p>
      <w:pPr>
        <w:adjustRightInd w:val="0"/>
        <w:ind w:firstLine="540"/>
        <w:rPr>
          <w:snapToGrid w:val="0"/>
          <w:szCs w:val="24"/>
        </w:rPr>
      </w:pPr>
      <w:r>
        <w:rPr>
          <w:snapToGrid w:val="0"/>
          <w:szCs w:val="24"/>
        </w:rPr>
        <w:t>（2）</w:t>
      </w:r>
      <w:r>
        <w:rPr>
          <w:rFonts w:hint="eastAsia"/>
          <w:szCs w:val="24"/>
        </w:rPr>
        <w:t>做好生态环境保护宣传教育工作</w:t>
      </w:r>
      <w:r>
        <w:rPr>
          <w:snapToGrid w:val="0"/>
          <w:szCs w:val="24"/>
        </w:rPr>
        <w:t>。</w:t>
      </w:r>
    </w:p>
    <w:bookmarkEnd w:id="766"/>
    <w:p>
      <w:pPr>
        <w:pStyle w:val="51"/>
        <w:ind w:left="480" w:firstLine="503"/>
      </w:pPr>
    </w:p>
    <w:sectPr>
      <w:pgSz w:w="11906" w:h="16838"/>
      <w:pgMar w:top="1701" w:right="1701" w:bottom="1701" w:left="1701" w:header="1134" w:footer="992" w:gutter="0"/>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隶书">
    <w:altName w:val="微软雅黑"/>
    <w:panose1 w:val="0201050906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420"/>
      <w:rPr>
        <w:sz w:val="21"/>
        <w:szCs w:val="2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firstLine="360"/>
                            <w:jc w:val="center"/>
                          </w:pPr>
                          <w:r>
                            <w:fldChar w:fldCharType="begin"/>
                          </w:r>
                          <w:r>
                            <w:instrText xml:space="preserve">PAGE   \* MERGEFORMAT</w:instrText>
                          </w:r>
                          <w:r>
                            <w:fldChar w:fldCharType="separate"/>
                          </w:r>
                          <w:r>
                            <w:rPr>
                              <w:lang w:val="zh-CN"/>
                            </w:rPr>
                            <w:t>236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m/bMtAgAAWQ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dm/bMtAgAAWQQAAA4AAAAAAAAAAQAgAAAAHwEAAGRycy9lMm9Eb2MueG1sUEsFBgAAAAAG&#10;AAYAWQEAAL4FAAAAAA==&#10;">
              <v:fill on="f" focussize="0,0"/>
              <v:stroke on="f" weight="0.5pt"/>
              <v:imagedata o:title=""/>
              <o:lock v:ext="edit" aspectratio="f"/>
              <v:textbox inset="0mm,0mm,0mm,0mm" style="mso-fit-shape-to-text:t;">
                <w:txbxContent>
                  <w:p>
                    <w:pPr>
                      <w:pStyle w:val="25"/>
                      <w:ind w:firstLine="360"/>
                      <w:jc w:val="center"/>
                    </w:pPr>
                    <w:r>
                      <w:fldChar w:fldCharType="begin"/>
                    </w:r>
                    <w:r>
                      <w:instrText xml:space="preserve">PAGE   \* MERGEFORMAT</w:instrText>
                    </w:r>
                    <w:r>
                      <w:fldChar w:fldCharType="separate"/>
                    </w:r>
                    <w:r>
                      <w:rPr>
                        <w:lang w:val="zh-CN"/>
                      </w:rPr>
                      <w:t>236</w:t>
                    </w:r>
                    <w:r>
                      <w:fldChar w:fldCharType="end"/>
                    </w:r>
                  </w:p>
                </w:txbxContent>
              </v:textbox>
            </v:shape>
          </w:pict>
        </mc:Fallback>
      </mc:AlternateContent>
    </w:r>
  </w:p>
  <w:p>
    <w:pPr>
      <w:pStyle w:val="25"/>
      <w:ind w:firstLine="0" w:firstLineChars="0"/>
      <w:rPr>
        <w:sz w:val="21"/>
        <w:szCs w:val="2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firstLine="360"/>
                            <w:jc w:val="center"/>
                          </w:pPr>
                          <w:r>
                            <w:fldChar w:fldCharType="begin"/>
                          </w:r>
                          <w:r>
                            <w:instrText xml:space="preserve">PAGE   \* MERGEFORMAT</w:instrText>
                          </w:r>
                          <w:r>
                            <w:fldChar w:fldCharType="separate"/>
                          </w:r>
                          <w:r>
                            <w:rPr>
                              <w:lang w:val="zh-CN"/>
                            </w:rPr>
                            <w:t>251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m3dMtAgAAWQ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ym3dMtAgAAWQQAAA4AAAAAAAAAAQAgAAAAHwEAAGRycy9lMm9Eb2MueG1sUEsFBgAAAAAG&#10;AAYAWQEAAL4FAAAAAA==&#10;">
              <v:fill on="f" focussize="0,0"/>
              <v:stroke on="f" weight="0.5pt"/>
              <v:imagedata o:title=""/>
              <o:lock v:ext="edit" aspectratio="f"/>
              <v:textbox inset="0mm,0mm,0mm,0mm" style="mso-fit-shape-to-text:t;">
                <w:txbxContent>
                  <w:p>
                    <w:pPr>
                      <w:pStyle w:val="25"/>
                      <w:ind w:firstLine="360"/>
                      <w:jc w:val="center"/>
                    </w:pPr>
                    <w:r>
                      <w:fldChar w:fldCharType="begin"/>
                    </w:r>
                    <w:r>
                      <w:instrText xml:space="preserve">PAGE   \* MERGEFORMAT</w:instrText>
                    </w:r>
                    <w:r>
                      <w:fldChar w:fldCharType="separate"/>
                    </w:r>
                    <w:r>
                      <w:rPr>
                        <w:lang w:val="zh-CN"/>
                      </w:rPr>
                      <w:t>251</w:t>
                    </w:r>
                    <w:r>
                      <w:fldChar w:fldCharType="end"/>
                    </w:r>
                  </w:p>
                </w:txbxContent>
              </v:textbox>
            </v:shape>
          </w:pict>
        </mc:Fallback>
      </mc:AlternateContent>
    </w:r>
  </w:p>
  <w:p>
    <w:pPr>
      <w:pStyle w:val="25"/>
      <w:ind w:firstLine="0" w:firstLineChars="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0" w:firstLineChars="0"/>
    </w:pPr>
    <w: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-108585</wp:posOffset>
              </wp:positionV>
              <wp:extent cx="5387340" cy="0"/>
              <wp:effectExtent l="0" t="0" r="22860" b="19050"/>
              <wp:wrapNone/>
              <wp:docPr id="255" name="直接连接符 255"/>
              <wp:cNvGraphicFramePr/>
              <a:graphic xmlns:a="http://schemas.openxmlformats.org/drawingml/2006/main">
                <a:graphicData uri="http://schemas.microsoft.com/office/word/2010/wordprocessingShape">
                  <wps:wsp>
                    <wps:cNvCnPr>
                      <a:cxnSpLocks noChangeShapeType="1"/>
                    </wps:cNvCnPr>
                    <wps:spPr bwMode="auto">
                      <a:xfrm>
                        <a:off x="0" y="0"/>
                        <a:ext cx="538734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0.75pt;margin-top:-8.55pt;height:0pt;width:424.2pt;z-index:251661312;mso-width-relative:page;mso-height-relative:page;" filled="f" stroked="t" coordsize="21600,21600" o:gfxdata="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4CNV31gAA&#10;AAkBAAAPAAAAAAAAAAEAIAAAACIAAABkcnMvZG93bnJldi54bWxQSwECFAAUAAAACACHTuJAE9Ly&#10;IecBAACuAwAADgAAAAAAAAABACAAAAAlAQAAZHJzL2Uyb0RvYy54bWxQSwUGAAAAAAYABgBZAQAA&#10;fgUAAAAA&#10;">
              <v:fill on="f" focussize="0,0"/>
              <v:stroke color="#000000" joinstyle="round"/>
              <v:imagedata o:title=""/>
              <o:lock v:ext="edit" aspectratio="f"/>
            </v:line>
          </w:pict>
        </mc:Fallback>
      </mc:AlternateContent>
    </w:r>
    <w:r>
      <w:rPr>
        <w:rStyle w:val="44"/>
        <w:rFonts w:hint="eastAsia"/>
        <w:sz w:val="21"/>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420"/>
      <w:rPr>
        <w:sz w:val="21"/>
        <w:szCs w:val="21"/>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firstLine="36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firstLine="360"/>
                            <w:jc w:val="center"/>
                          </w:pPr>
                          <w:r>
                            <w:fldChar w:fldCharType="begin"/>
                          </w:r>
                          <w:r>
                            <w:instrText xml:space="preserve">PAGE   \* MERGEFORMAT</w:instrText>
                          </w:r>
                          <w:r>
                            <w:fldChar w:fldCharType="separate"/>
                          </w:r>
                          <w:r>
                            <w:rPr>
                              <w:lang w:val="zh-CN"/>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25"/>
                      <w:ind w:firstLine="360"/>
                      <w:jc w:val="center"/>
                    </w:pPr>
                    <w:r>
                      <w:fldChar w:fldCharType="begin"/>
                    </w:r>
                    <w:r>
                      <w:instrText xml:space="preserve">PAGE   \* MERGEFORMAT</w:instrText>
                    </w:r>
                    <w:r>
                      <w:fldChar w:fldCharType="separate"/>
                    </w:r>
                    <w:r>
                      <w:rPr>
                        <w:lang w:val="zh-CN"/>
                      </w:rPr>
                      <w:t>10</w:t>
                    </w:r>
                    <w:r>
                      <w:fldChar w:fldCharType="end"/>
                    </w:r>
                  </w:p>
                </w:txbxContent>
              </v:textbox>
            </v:shape>
          </w:pict>
        </mc:Fallback>
      </mc:AlternateContent>
    </w:r>
  </w:p>
  <w:p>
    <w:pPr>
      <w:pStyle w:val="25"/>
      <w:ind w:firstLine="0" w:firstLineChars="0"/>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firstLine="360"/>
                            <w:jc w:val="center"/>
                          </w:pPr>
                          <w:r>
                            <w:fldChar w:fldCharType="begin"/>
                          </w:r>
                          <w:r>
                            <w:instrText xml:space="preserve">PAGE   \* MERGEFORMAT</w:instrText>
                          </w:r>
                          <w:r>
                            <w:fldChar w:fldCharType="separate"/>
                          </w:r>
                          <w:r>
                            <w:rPr>
                              <w:lang w:val="zh-CN"/>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5"/>
                      <w:ind w:firstLine="360"/>
                      <w:jc w:val="center"/>
                    </w:pPr>
                    <w:r>
                      <w:fldChar w:fldCharType="begin"/>
                    </w:r>
                    <w:r>
                      <w:instrText xml:space="preserve">PAGE   \* MERGEFORMAT</w:instrText>
                    </w:r>
                    <w:r>
                      <w:fldChar w:fldCharType="separate"/>
                    </w:r>
                    <w:r>
                      <w:rPr>
                        <w:lang w:val="zh-CN"/>
                      </w:rPr>
                      <w:t>10</w:t>
                    </w:r>
                    <w:r>
                      <w:fldChar w:fldCharType="end"/>
                    </w:r>
                  </w:p>
                </w:txbxContent>
              </v:textbox>
            </v:shape>
          </w:pict>
        </mc:Fallback>
      </mc:AlternateContent>
    </w:r>
  </w:p>
  <w:p>
    <w:pPr>
      <w:pStyle w:val="25"/>
      <w:ind w:firstLine="0" w:firstLineChars="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firstLine="360"/>
                            <w:jc w:val="center"/>
                          </w:pPr>
                          <w:r>
                            <w:fldChar w:fldCharType="begin"/>
                          </w:r>
                          <w:r>
                            <w:instrText xml:space="preserve">PAGE   \* MERGEFORMAT</w:instrText>
                          </w:r>
                          <w:r>
                            <w:fldChar w:fldCharType="separate"/>
                          </w:r>
                          <w:r>
                            <w:rPr>
                              <w:lang w:val="zh-CN"/>
                            </w:rPr>
                            <w:t>219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5"/>
                      <w:ind w:firstLine="360"/>
                      <w:jc w:val="center"/>
                    </w:pPr>
                    <w:r>
                      <w:fldChar w:fldCharType="begin"/>
                    </w:r>
                    <w:r>
                      <w:instrText xml:space="preserve">PAGE   \* MERGEFORMAT</w:instrText>
                    </w:r>
                    <w:r>
                      <w:fldChar w:fldCharType="separate"/>
                    </w:r>
                    <w:r>
                      <w:rPr>
                        <w:lang w:val="zh-CN"/>
                      </w:rPr>
                      <w:t>219</w:t>
                    </w:r>
                    <w:r>
                      <w:fldChar w:fldCharType="end"/>
                    </w:r>
                  </w:p>
                </w:txbxContent>
              </v:textbox>
            </v:shape>
          </w:pict>
        </mc:Fallback>
      </mc:AlternateContent>
    </w:r>
  </w:p>
  <w:p>
    <w:pPr>
      <w:pStyle w:val="25"/>
      <w:ind w:firstLine="0" w:firstLineChars="0"/>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firstLine="360"/>
                            <w:jc w:val="center"/>
                          </w:pPr>
                          <w:r>
                            <w:fldChar w:fldCharType="begin"/>
                          </w:r>
                          <w:r>
                            <w:instrText xml:space="preserve">PAGE   \* MERGEFORMAT</w:instrText>
                          </w:r>
                          <w:r>
                            <w:fldChar w:fldCharType="separate"/>
                          </w:r>
                          <w:r>
                            <w:rPr>
                              <w:lang w:val="zh-CN"/>
                            </w:rPr>
                            <w:t>219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DKzo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kDKzotAgAAVwQAAA4AAAAAAAAAAQAgAAAAHwEAAGRycy9lMm9Eb2MueG1sUEsFBgAAAAAG&#10;AAYAWQEAAL4FAAAAAA==&#10;">
              <v:fill on="f" focussize="0,0"/>
              <v:stroke on="f" weight="0.5pt"/>
              <v:imagedata o:title=""/>
              <o:lock v:ext="edit" aspectratio="f"/>
              <v:textbox inset="0mm,0mm,0mm,0mm" style="mso-fit-shape-to-text:t;">
                <w:txbxContent>
                  <w:p>
                    <w:pPr>
                      <w:pStyle w:val="25"/>
                      <w:ind w:firstLine="360"/>
                      <w:jc w:val="center"/>
                    </w:pPr>
                    <w:r>
                      <w:fldChar w:fldCharType="begin"/>
                    </w:r>
                    <w:r>
                      <w:instrText xml:space="preserve">PAGE   \* MERGEFORMAT</w:instrText>
                    </w:r>
                    <w:r>
                      <w:fldChar w:fldCharType="separate"/>
                    </w:r>
                    <w:r>
                      <w:rPr>
                        <w:lang w:val="zh-CN"/>
                      </w:rPr>
                      <w:t>219</w:t>
                    </w:r>
                    <w:r>
                      <w:fldChar w:fldCharType="end"/>
                    </w:r>
                  </w:p>
                </w:txbxContent>
              </v:textbox>
            </v:shape>
          </w:pict>
        </mc:Fallback>
      </mc:AlternateContent>
    </w:r>
  </w:p>
  <w:p>
    <w:pPr>
      <w:pStyle w:val="25"/>
      <w:ind w:firstLine="0" w:firstLineChars="0"/>
      <w:rPr>
        <w:sz w:val="21"/>
        <w:szCs w:val="21"/>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after="0" w:line="14" w:lineRule="auto"/>
      <w:ind w:left="0" w:right="0"/>
      <w:jc w:val="left"/>
      <w:rPr>
        <w:rFonts w:ascii="宋体" w:hAnsi="宋体" w:eastAsia="宋体" w:cs="宋体"/>
        <w:sz w:val="20"/>
        <w:szCs w:val="24"/>
        <w:lang w:val="zh-CN" w:eastAsia="zh-CN" w:bidi="zh-CN"/>
      </w:rPr>
    </w:pPr>
    <w:r>
      <w:rPr>
        <w:rFonts w:ascii="宋体" w:hAnsi="宋体" w:eastAsia="宋体" w:cs="宋体"/>
        <w:sz w:val="24"/>
        <w:szCs w:val="24"/>
        <w:lang w:val="zh-CN" w:eastAsia="zh-CN" w:bidi="zh-CN"/>
      </w:rPr>
      <mc:AlternateContent>
        <mc:Choice Requires="wps">
          <w:drawing>
            <wp:anchor distT="0" distB="0" distL="114300" distR="114300" simplePos="0" relativeHeight="251660288" behindDoc="1" locked="0" layoutInCell="1" allowOverlap="1">
              <wp:simplePos x="0" y="0"/>
              <wp:positionH relativeFrom="page">
                <wp:posOffset>3694430</wp:posOffset>
              </wp:positionH>
              <wp:positionV relativeFrom="page">
                <wp:posOffset>9921240</wp:posOffset>
              </wp:positionV>
              <wp:extent cx="247015" cy="1524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247015" cy="152400"/>
                      </a:xfrm>
                      <a:prstGeom prst="rect">
                        <a:avLst/>
                      </a:prstGeom>
                      <a:noFill/>
                      <a:ln>
                        <a:noFill/>
                      </a:ln>
                    </wps:spPr>
                    <wps:txbx>
                      <w:txbxContent>
                        <w:p>
                          <w:pPr>
                            <w:autoSpaceDE w:val="0"/>
                            <w:autoSpaceDN w:val="0"/>
                            <w:adjustRightInd/>
                            <w:snapToGrid/>
                            <w:spacing w:before="12" w:after="0" w:line="240" w:lineRule="auto"/>
                            <w:ind w:left="40" w:right="0" w:firstLine="0" w:firstLineChars="0"/>
                            <w:jc w:val="left"/>
                            <w:rPr>
                              <w:rFonts w:hint="default" w:ascii="Times New Roman" w:hAnsi="Times New Roman" w:eastAsia="宋体" w:cs="Times New Roman"/>
                              <w:kern w:val="0"/>
                              <w:sz w:val="18"/>
                              <w:szCs w:val="22"/>
                              <w:lang w:val="zh-CN" w:bidi="zh-CN"/>
                            </w:rPr>
                          </w:pPr>
                          <w:r>
                            <w:rPr>
                              <w:rFonts w:hint="default" w:ascii="Times New Roman" w:hAnsi="Times New Roman" w:eastAsia="宋体" w:cs="Times New Roman"/>
                              <w:kern w:val="0"/>
                              <w:sz w:val="22"/>
                              <w:szCs w:val="22"/>
                              <w:lang w:val="zh-CN" w:bidi="zh-CN"/>
                            </w:rPr>
                            <w:fldChar w:fldCharType="begin"/>
                          </w:r>
                          <w:r>
                            <w:rPr>
                              <w:rFonts w:hint="default" w:ascii="Times New Roman" w:hAnsi="Times New Roman" w:eastAsia="宋体" w:cs="Times New Roman"/>
                              <w:kern w:val="0"/>
                              <w:sz w:val="18"/>
                              <w:szCs w:val="22"/>
                              <w:lang w:val="zh-CN" w:bidi="zh-CN"/>
                            </w:rPr>
                            <w:instrText xml:space="preserve"> PAGE </w:instrText>
                          </w:r>
                          <w:r>
                            <w:rPr>
                              <w:rFonts w:hint="default" w:ascii="Times New Roman" w:hAnsi="Times New Roman" w:eastAsia="宋体" w:cs="Times New Roman"/>
                              <w:kern w:val="0"/>
                              <w:sz w:val="22"/>
                              <w:szCs w:val="22"/>
                              <w:lang w:val="zh-CN" w:bidi="zh-CN"/>
                            </w:rPr>
                            <w:fldChar w:fldCharType="separate"/>
                          </w:r>
                          <w:r>
                            <w:rPr>
                              <w:rFonts w:hint="default" w:ascii="Times New Roman" w:hAnsi="Times New Roman" w:eastAsia="宋体" w:cs="Times New Roman"/>
                              <w:kern w:val="0"/>
                              <w:sz w:val="22"/>
                              <w:szCs w:val="22"/>
                              <w:lang w:val="zh-CN" w:bidi="zh-CN"/>
                            </w:rPr>
                            <w:t>70</w:t>
                          </w:r>
                          <w:r>
                            <w:rPr>
                              <w:rFonts w:hint="default" w:ascii="Times New Roman" w:hAnsi="Times New Roman" w:eastAsia="宋体" w:cs="Times New Roman"/>
                              <w:kern w:val="0"/>
                              <w:sz w:val="22"/>
                              <w:szCs w:val="22"/>
                              <w:lang w:val="zh-CN" w:bidi="zh-CN"/>
                            </w:rPr>
                            <w:fldChar w:fldCharType="end"/>
                          </w:r>
                        </w:p>
                      </w:txbxContent>
                    </wps:txbx>
                    <wps:bodyPr lIns="0" tIns="0" rIns="0" bIns="0" upright="1"/>
                  </wps:wsp>
                </a:graphicData>
              </a:graphic>
            </wp:anchor>
          </w:drawing>
        </mc:Choice>
        <mc:Fallback>
          <w:pict>
            <v:shape id="_x0000_s1026" o:spid="_x0000_s1026" o:spt="202" type="#_x0000_t202" style="position:absolute;left:0pt;margin-left:290.9pt;margin-top:781.2pt;height:12pt;width:19.45pt;mso-position-horizontal-relative:page;mso-position-vertical-relative:page;z-index:-251656192;mso-width-relative:page;mso-height-relative:page;" filled="f" stroked="f" coordsize="21600,21600" o:gfxdata="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618wNsAAAANAQAADwAAAAAAAAABACAAAAAiAAAAZHJzL2Rvd25yZXYueG1s&#10;UEsBAhQAFAAAAAgAh07iQNm0KLy8AQAAcwMAAA4AAAAAAAAAAQAgAAAAKgEAAGRycy9lMm9Eb2Mu&#10;eG1sUEsFBgAAAAAGAAYAWQEAAFgFAAAAAA==&#10;">
              <v:fill on="f" focussize="0,0"/>
              <v:stroke on="f"/>
              <v:imagedata o:title=""/>
              <o:lock v:ext="edit" aspectratio="f"/>
              <v:textbox inset="0mm,0mm,0mm,0mm">
                <w:txbxContent>
                  <w:p>
                    <w:pPr>
                      <w:autoSpaceDE w:val="0"/>
                      <w:autoSpaceDN w:val="0"/>
                      <w:adjustRightInd/>
                      <w:snapToGrid/>
                      <w:spacing w:before="12" w:after="0" w:line="240" w:lineRule="auto"/>
                      <w:ind w:left="40" w:right="0" w:firstLine="0" w:firstLineChars="0"/>
                      <w:jc w:val="left"/>
                      <w:rPr>
                        <w:rFonts w:hint="default" w:ascii="Times New Roman" w:hAnsi="Times New Roman" w:eastAsia="宋体" w:cs="Times New Roman"/>
                        <w:kern w:val="0"/>
                        <w:sz w:val="18"/>
                        <w:szCs w:val="22"/>
                        <w:lang w:val="zh-CN" w:bidi="zh-CN"/>
                      </w:rPr>
                    </w:pPr>
                    <w:r>
                      <w:rPr>
                        <w:rFonts w:hint="default" w:ascii="Times New Roman" w:hAnsi="Times New Roman" w:eastAsia="宋体" w:cs="Times New Roman"/>
                        <w:kern w:val="0"/>
                        <w:sz w:val="22"/>
                        <w:szCs w:val="22"/>
                        <w:lang w:val="zh-CN" w:bidi="zh-CN"/>
                      </w:rPr>
                      <w:fldChar w:fldCharType="begin"/>
                    </w:r>
                    <w:r>
                      <w:rPr>
                        <w:rFonts w:hint="default" w:ascii="Times New Roman" w:hAnsi="Times New Roman" w:eastAsia="宋体" w:cs="Times New Roman"/>
                        <w:kern w:val="0"/>
                        <w:sz w:val="18"/>
                        <w:szCs w:val="22"/>
                        <w:lang w:val="zh-CN" w:bidi="zh-CN"/>
                      </w:rPr>
                      <w:instrText xml:space="preserve"> PAGE </w:instrText>
                    </w:r>
                    <w:r>
                      <w:rPr>
                        <w:rFonts w:hint="default" w:ascii="Times New Roman" w:hAnsi="Times New Roman" w:eastAsia="宋体" w:cs="Times New Roman"/>
                        <w:kern w:val="0"/>
                        <w:sz w:val="22"/>
                        <w:szCs w:val="22"/>
                        <w:lang w:val="zh-CN" w:bidi="zh-CN"/>
                      </w:rPr>
                      <w:fldChar w:fldCharType="separate"/>
                    </w:r>
                    <w:r>
                      <w:rPr>
                        <w:rFonts w:hint="default" w:ascii="Times New Roman" w:hAnsi="Times New Roman" w:eastAsia="宋体" w:cs="Times New Roman"/>
                        <w:kern w:val="0"/>
                        <w:sz w:val="22"/>
                        <w:szCs w:val="22"/>
                        <w:lang w:val="zh-CN" w:bidi="zh-CN"/>
                      </w:rPr>
                      <w:t>70</w:t>
                    </w:r>
                    <w:r>
                      <w:rPr>
                        <w:rFonts w:hint="default" w:ascii="Times New Roman" w:hAnsi="Times New Roman" w:eastAsia="宋体" w:cs="Times New Roman"/>
                        <w:kern w:val="0"/>
                        <w:sz w:val="22"/>
                        <w:szCs w:val="22"/>
                        <w:lang w:val="zh-CN" w:bidi="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firstLine="420"/>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420"/>
      <w:rPr>
        <w:sz w:val="21"/>
        <w:szCs w:val="21"/>
      </w:rPr>
    </w:pPr>
    <w:r>
      <w:rPr>
        <w:rFonts w:hint="eastAsia"/>
        <w:sz w:val="21"/>
        <w:szCs w:val="21"/>
      </w:rPr>
      <w:t>平泉县富有铁选有限公司</w:t>
    </w:r>
    <w:r>
      <w:rPr>
        <w:sz w:val="21"/>
        <w:szCs w:val="21"/>
      </w:rPr>
      <w:t>55万吨铁</w:t>
    </w:r>
    <w:r>
      <w:rPr>
        <w:rFonts w:hint="eastAsia"/>
        <w:sz w:val="21"/>
        <w:szCs w:val="21"/>
      </w:rPr>
      <w:t>选厂整合</w:t>
    </w:r>
    <w:r>
      <w:rPr>
        <w:sz w:val="21"/>
        <w:szCs w:val="21"/>
      </w:rPr>
      <w:t>迁建项目</w:t>
    </w:r>
    <w:r>
      <w:rPr>
        <w:rFonts w:hint="eastAsia"/>
        <w:sz w:val="21"/>
        <w:szCs w:val="21"/>
      </w:rPr>
      <w:t>环境影响评价报告书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420"/>
    </w:pPr>
    <w:r>
      <w:rPr>
        <w:rFonts w:hint="eastAsia"/>
        <w:sz w:val="21"/>
        <w:szCs w:val="21"/>
        <w:lang w:eastAsia="zh-CN"/>
      </w:rPr>
      <w:t>承德新源矿业有限公司</w:t>
    </w:r>
    <w:r>
      <w:rPr>
        <w:rFonts w:hint="eastAsia"/>
        <w:sz w:val="21"/>
        <w:szCs w:val="21"/>
      </w:rPr>
      <w:t>水渣堆存场项目</w:t>
    </w:r>
    <w:r>
      <w:rPr>
        <w:sz w:val="21"/>
        <w:szCs w:val="21"/>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420"/>
      <w:rPr>
        <w:sz w:val="21"/>
        <w:szCs w:val="21"/>
      </w:rPr>
    </w:pPr>
    <w:r>
      <w:rPr>
        <w:rFonts w:hint="eastAsia"/>
        <w:sz w:val="21"/>
        <w:szCs w:val="21"/>
        <w:lang w:eastAsia="zh-CN"/>
      </w:rPr>
      <w:t>三块石国考断面周边环境综合整治工程</w:t>
    </w:r>
    <w:r>
      <w:rPr>
        <w:sz w:val="21"/>
        <w:szCs w:val="21"/>
      </w:rPr>
      <w:t>环境影响评价报告书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420"/>
      <w:rPr>
        <w:sz w:val="21"/>
        <w:szCs w:val="21"/>
      </w:rPr>
    </w:pPr>
    <w:r>
      <w:rPr>
        <w:rFonts w:hint="eastAsia"/>
        <w:sz w:val="21"/>
        <w:szCs w:val="21"/>
        <w:lang w:eastAsia="zh-CN"/>
      </w:rPr>
      <w:t>三块石国考断面周边环境综合整治工程</w:t>
    </w:r>
    <w:r>
      <w:rPr>
        <w:sz w:val="21"/>
        <w:szCs w:val="21"/>
      </w:rPr>
      <w:t>环境影响评价报告书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420"/>
      <w:rPr>
        <w:sz w:val="21"/>
        <w:szCs w:val="21"/>
      </w:rPr>
    </w:pPr>
    <w:r>
      <w:rPr>
        <w:rFonts w:hint="eastAsia"/>
        <w:sz w:val="21"/>
        <w:szCs w:val="21"/>
        <w:lang w:eastAsia="zh-CN"/>
      </w:rPr>
      <w:t>三块石国考断面周边环境综合整治工程</w:t>
    </w:r>
    <w:r>
      <w:rPr>
        <w:sz w:val="21"/>
        <w:szCs w:val="21"/>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420"/>
    </w:pPr>
    <w:r>
      <w:rPr>
        <w:rFonts w:hint="eastAsia"/>
        <w:sz w:val="21"/>
        <w:szCs w:val="21"/>
        <w:lang w:eastAsia="zh-CN"/>
      </w:rPr>
      <w:t>三块石国考断面周边环境综合整治工程</w:t>
    </w:r>
    <w:r>
      <w:rPr>
        <w:sz w:val="21"/>
        <w:szCs w:val="21"/>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ind w:firstLine="420"/>
    </w:pPr>
    <w:r>
      <w:rPr>
        <w:rFonts w:hint="eastAsia"/>
        <w:sz w:val="21"/>
        <w:szCs w:val="21"/>
        <w:lang w:eastAsia="zh-CN"/>
      </w:rPr>
      <w:t>三块石国考断面周边环境综合整治工程</w:t>
    </w:r>
    <w:r>
      <w:rPr>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6ABFE7"/>
    <w:multiLevelType w:val="singleLevel"/>
    <w:tmpl w:val="9A6ABFE7"/>
    <w:lvl w:ilvl="0" w:tentative="0">
      <w:start w:val="1"/>
      <w:numFmt w:val="decimal"/>
      <w:pStyle w:val="11"/>
      <w:lvlText w:val="%1."/>
      <w:lvlJc w:val="left"/>
      <w:pPr>
        <w:tabs>
          <w:tab w:val="left" w:pos="360"/>
        </w:tabs>
        <w:ind w:left="360" w:hanging="360"/>
      </w:pPr>
    </w:lvl>
  </w:abstractNum>
  <w:abstractNum w:abstractNumId="1">
    <w:nsid w:val="A780E790"/>
    <w:multiLevelType w:val="singleLevel"/>
    <w:tmpl w:val="A780E790"/>
    <w:lvl w:ilvl="0" w:tentative="0">
      <w:start w:val="2"/>
      <w:numFmt w:val="decimal"/>
      <w:suff w:val="nothing"/>
      <w:lvlText w:val="%1、"/>
      <w:lvlJc w:val="left"/>
    </w:lvl>
  </w:abstractNum>
  <w:abstractNum w:abstractNumId="2">
    <w:nsid w:val="EF58D351"/>
    <w:multiLevelType w:val="singleLevel"/>
    <w:tmpl w:val="EF58D351"/>
    <w:lvl w:ilvl="0" w:tentative="0">
      <w:start w:val="1"/>
      <w:numFmt w:val="decimal"/>
      <w:suff w:val="nothing"/>
      <w:lvlText w:val="（%1）"/>
      <w:lvlJc w:val="left"/>
      <w:pPr>
        <w:ind w:left="280"/>
      </w:pPr>
    </w:lvl>
  </w:abstractNum>
  <w:abstractNum w:abstractNumId="3">
    <w:nsid w:val="FD9F9E7B"/>
    <w:multiLevelType w:val="singleLevel"/>
    <w:tmpl w:val="FD9F9E7B"/>
    <w:lvl w:ilvl="0" w:tentative="0">
      <w:start w:val="4"/>
      <w:numFmt w:val="decimal"/>
      <w:suff w:val="nothing"/>
      <w:lvlText w:val="（%1）"/>
      <w:lvlJc w:val="left"/>
    </w:lvl>
  </w:abstractNum>
  <w:abstractNum w:abstractNumId="4">
    <w:nsid w:val="FE4F690F"/>
    <w:multiLevelType w:val="singleLevel"/>
    <w:tmpl w:val="FE4F690F"/>
    <w:lvl w:ilvl="0" w:tentative="0">
      <w:start w:val="1"/>
      <w:numFmt w:val="decimal"/>
      <w:suff w:val="nothing"/>
      <w:lvlText w:val="（%1）"/>
      <w:lvlJc w:val="left"/>
    </w:lvl>
  </w:abstractNum>
  <w:abstractNum w:abstractNumId="5">
    <w:nsid w:val="1827B3EA"/>
    <w:multiLevelType w:val="singleLevel"/>
    <w:tmpl w:val="1827B3EA"/>
    <w:lvl w:ilvl="0" w:tentative="0">
      <w:start w:val="5"/>
      <w:numFmt w:val="decimal"/>
      <w:suff w:val="nothing"/>
      <w:lvlText w:val="%1、"/>
      <w:lvlJc w:val="left"/>
    </w:lvl>
  </w:abstractNum>
  <w:abstractNum w:abstractNumId="6">
    <w:nsid w:val="1AC40B97"/>
    <w:multiLevelType w:val="multilevel"/>
    <w:tmpl w:val="1AC40B97"/>
    <w:lvl w:ilvl="0" w:tentative="0">
      <w:start w:val="1"/>
      <w:numFmt w:val="decimal"/>
      <w:suff w:val="nothing"/>
      <w:lvlText w:val="（%1）"/>
      <w:lvlJc w:val="left"/>
      <w:pPr>
        <w:ind w:left="480" w:firstLine="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429DF4D0"/>
    <w:multiLevelType w:val="singleLevel"/>
    <w:tmpl w:val="429DF4D0"/>
    <w:lvl w:ilvl="0" w:tentative="0">
      <w:start w:val="2"/>
      <w:numFmt w:val="decimal"/>
      <w:suff w:val="nothing"/>
      <w:lvlText w:val="（%1）"/>
      <w:lvlJc w:val="left"/>
    </w:lvl>
  </w:abstractNum>
  <w:abstractNum w:abstractNumId="8">
    <w:nsid w:val="58A381BD"/>
    <w:multiLevelType w:val="singleLevel"/>
    <w:tmpl w:val="58A381BD"/>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9">
    <w:nsid w:val="58DE0BE5"/>
    <w:multiLevelType w:val="multilevel"/>
    <w:tmpl w:val="58DE0BE5"/>
    <w:lvl w:ilvl="0" w:tentative="0">
      <w:start w:val="1"/>
      <w:numFmt w:val="decimal"/>
      <w:suff w:val="space"/>
      <w:lvlText w:val="%1"/>
      <w:lvlJc w:val="left"/>
      <w:pPr>
        <w:ind w:left="0" w:firstLine="0"/>
      </w:pPr>
      <w:rPr>
        <w:rFonts w:hint="default" w:ascii="宋体" w:hAnsi="宋体" w:eastAsia="宋体" w:cs="宋体"/>
      </w:rPr>
    </w:lvl>
    <w:lvl w:ilvl="1" w:tentative="0">
      <w:start w:val="1"/>
      <w:numFmt w:val="decimal"/>
      <w:suff w:val="space"/>
      <w:lvlText w:val="%1.%2"/>
      <w:lvlJc w:val="left"/>
      <w:pPr>
        <w:tabs>
          <w:tab w:val="left" w:pos="0"/>
        </w:tabs>
        <w:ind w:left="0" w:firstLine="0"/>
      </w:pPr>
      <w:rPr>
        <w:rFonts w:hint="default" w:ascii="宋体" w:hAnsi="宋体" w:eastAsia="宋体" w:cs="宋体"/>
      </w:rPr>
    </w:lvl>
    <w:lvl w:ilvl="2" w:tentative="0">
      <w:start w:val="1"/>
      <w:numFmt w:val="decimal"/>
      <w:isLgl/>
      <w:suff w:val="space"/>
      <w:lvlText w:val="%1.%2.%3"/>
      <w:lvlJc w:val="left"/>
      <w:pPr>
        <w:tabs>
          <w:tab w:val="left" w:pos="420"/>
        </w:tabs>
        <w:ind w:left="0" w:firstLine="0"/>
      </w:pPr>
      <w:rPr>
        <w:rFonts w:hint="default" w:ascii="宋体" w:hAnsi="宋体" w:eastAsia="宋体" w:cs="宋体"/>
      </w:rPr>
    </w:lvl>
    <w:lvl w:ilvl="3" w:tentative="0">
      <w:start w:val="1"/>
      <w:numFmt w:val="decimal"/>
      <w:pStyle w:val="141"/>
      <w:suff w:val="nothing"/>
      <w:lvlText w:val="（%4）"/>
      <w:lvlJc w:val="left"/>
      <w:pPr>
        <w:tabs>
          <w:tab w:val="left" w:pos="1271"/>
        </w:tabs>
        <w:ind w:left="1701" w:hanging="850"/>
      </w:pPr>
      <w:rPr>
        <w:rFonts w:hint="default" w:ascii="宋体" w:hAnsi="宋体" w:eastAsia="宋体" w:cs="宋体"/>
        <w:lang w:val="en-US"/>
      </w:rPr>
    </w:lvl>
    <w:lvl w:ilvl="4" w:tentative="0">
      <w:start w:val="1"/>
      <w:numFmt w:val="none"/>
      <w:lvlText w:val=""/>
      <w:lvlJc w:val="left"/>
      <w:pPr>
        <w:tabs>
          <w:tab w:val="left" w:pos="420"/>
        </w:tabs>
        <w:ind w:left="991" w:hanging="991"/>
      </w:pPr>
      <w:rPr>
        <w:rFonts w:hint="default" w:ascii="宋体" w:hAnsi="宋体" w:eastAsia="宋体" w:cs="宋体"/>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70FE1A12"/>
    <w:multiLevelType w:val="multilevel"/>
    <w:tmpl w:val="70FE1A12"/>
    <w:lvl w:ilvl="0" w:tentative="0">
      <w:start w:val="1"/>
      <w:numFmt w:val="decimal"/>
      <w:suff w:val="nothing"/>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6991436"/>
    <w:multiLevelType w:val="multilevel"/>
    <w:tmpl w:val="76991436"/>
    <w:lvl w:ilvl="0" w:tentative="0">
      <w:start w:val="1"/>
      <w:numFmt w:val="decimal"/>
      <w:suff w:val="nothing"/>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8"/>
  </w:num>
  <w:num w:numId="3">
    <w:abstractNumId w:val="9"/>
  </w:num>
  <w:num w:numId="4">
    <w:abstractNumId w:val="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7"/>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hOTY0ZWI3NTcyYzEyOTY4YTllYTIwODlmNDE2MGUifQ=="/>
  </w:docVars>
  <w:rsids>
    <w:rsidRoot w:val="00172A27"/>
    <w:rsid w:val="00000D17"/>
    <w:rsid w:val="00000D9D"/>
    <w:rsid w:val="0000101E"/>
    <w:rsid w:val="000011DE"/>
    <w:rsid w:val="00001237"/>
    <w:rsid w:val="00001370"/>
    <w:rsid w:val="00001452"/>
    <w:rsid w:val="00001515"/>
    <w:rsid w:val="00001A72"/>
    <w:rsid w:val="00002009"/>
    <w:rsid w:val="000020A2"/>
    <w:rsid w:val="000022F2"/>
    <w:rsid w:val="000026FD"/>
    <w:rsid w:val="0000295F"/>
    <w:rsid w:val="00002BDF"/>
    <w:rsid w:val="00003485"/>
    <w:rsid w:val="000035C2"/>
    <w:rsid w:val="000036B4"/>
    <w:rsid w:val="000038F5"/>
    <w:rsid w:val="0000398A"/>
    <w:rsid w:val="00003B19"/>
    <w:rsid w:val="00003C76"/>
    <w:rsid w:val="00003DE0"/>
    <w:rsid w:val="00003EE3"/>
    <w:rsid w:val="00004073"/>
    <w:rsid w:val="00004248"/>
    <w:rsid w:val="000044F9"/>
    <w:rsid w:val="000047EC"/>
    <w:rsid w:val="000049BE"/>
    <w:rsid w:val="00004C4A"/>
    <w:rsid w:val="00004EF3"/>
    <w:rsid w:val="00005D3E"/>
    <w:rsid w:val="00005E3C"/>
    <w:rsid w:val="00005E45"/>
    <w:rsid w:val="00006347"/>
    <w:rsid w:val="00006432"/>
    <w:rsid w:val="00006A70"/>
    <w:rsid w:val="00006AF5"/>
    <w:rsid w:val="00006DFD"/>
    <w:rsid w:val="00006EF8"/>
    <w:rsid w:val="00006FF5"/>
    <w:rsid w:val="00007068"/>
    <w:rsid w:val="00007289"/>
    <w:rsid w:val="00007409"/>
    <w:rsid w:val="0000796F"/>
    <w:rsid w:val="00007A81"/>
    <w:rsid w:val="00007BA7"/>
    <w:rsid w:val="00010996"/>
    <w:rsid w:val="00010AE0"/>
    <w:rsid w:val="00010C03"/>
    <w:rsid w:val="00011159"/>
    <w:rsid w:val="000111CA"/>
    <w:rsid w:val="000119B6"/>
    <w:rsid w:val="00011AB9"/>
    <w:rsid w:val="00011B75"/>
    <w:rsid w:val="00011C2D"/>
    <w:rsid w:val="00011C58"/>
    <w:rsid w:val="00011C6A"/>
    <w:rsid w:val="00011D78"/>
    <w:rsid w:val="00012480"/>
    <w:rsid w:val="0001256C"/>
    <w:rsid w:val="00012691"/>
    <w:rsid w:val="00012F43"/>
    <w:rsid w:val="00012F8F"/>
    <w:rsid w:val="0001313B"/>
    <w:rsid w:val="000132DE"/>
    <w:rsid w:val="000138E8"/>
    <w:rsid w:val="000139B5"/>
    <w:rsid w:val="00013DC9"/>
    <w:rsid w:val="000148E8"/>
    <w:rsid w:val="000153DC"/>
    <w:rsid w:val="0001544D"/>
    <w:rsid w:val="0001551D"/>
    <w:rsid w:val="000156DF"/>
    <w:rsid w:val="0001592E"/>
    <w:rsid w:val="0001596A"/>
    <w:rsid w:val="00015BD2"/>
    <w:rsid w:val="00015C4D"/>
    <w:rsid w:val="000160EC"/>
    <w:rsid w:val="00016A29"/>
    <w:rsid w:val="00016A3C"/>
    <w:rsid w:val="00016CE1"/>
    <w:rsid w:val="00016D45"/>
    <w:rsid w:val="00016F6C"/>
    <w:rsid w:val="00017005"/>
    <w:rsid w:val="00017096"/>
    <w:rsid w:val="0001732E"/>
    <w:rsid w:val="000176A5"/>
    <w:rsid w:val="0001778B"/>
    <w:rsid w:val="00017BEC"/>
    <w:rsid w:val="00017C4C"/>
    <w:rsid w:val="00017D31"/>
    <w:rsid w:val="000201F4"/>
    <w:rsid w:val="00020274"/>
    <w:rsid w:val="0002044A"/>
    <w:rsid w:val="00020886"/>
    <w:rsid w:val="00020908"/>
    <w:rsid w:val="00020A3C"/>
    <w:rsid w:val="00020F60"/>
    <w:rsid w:val="00021768"/>
    <w:rsid w:val="00021798"/>
    <w:rsid w:val="00021DF5"/>
    <w:rsid w:val="00021F7B"/>
    <w:rsid w:val="00022559"/>
    <w:rsid w:val="0002266B"/>
    <w:rsid w:val="00022711"/>
    <w:rsid w:val="00022848"/>
    <w:rsid w:val="00022BA1"/>
    <w:rsid w:val="00022C99"/>
    <w:rsid w:val="00022D3E"/>
    <w:rsid w:val="00022F83"/>
    <w:rsid w:val="00023000"/>
    <w:rsid w:val="000233CC"/>
    <w:rsid w:val="0002343F"/>
    <w:rsid w:val="00023492"/>
    <w:rsid w:val="000234E2"/>
    <w:rsid w:val="000236E2"/>
    <w:rsid w:val="00023996"/>
    <w:rsid w:val="00023B90"/>
    <w:rsid w:val="00023FCF"/>
    <w:rsid w:val="00024AB7"/>
    <w:rsid w:val="00024C1D"/>
    <w:rsid w:val="00025086"/>
    <w:rsid w:val="0002508B"/>
    <w:rsid w:val="0002516D"/>
    <w:rsid w:val="00025207"/>
    <w:rsid w:val="00025408"/>
    <w:rsid w:val="0002558D"/>
    <w:rsid w:val="000255D3"/>
    <w:rsid w:val="00025884"/>
    <w:rsid w:val="00025AEB"/>
    <w:rsid w:val="00025DC8"/>
    <w:rsid w:val="00025E74"/>
    <w:rsid w:val="000263B6"/>
    <w:rsid w:val="000263F2"/>
    <w:rsid w:val="000264A9"/>
    <w:rsid w:val="0002683C"/>
    <w:rsid w:val="00026A15"/>
    <w:rsid w:val="00026CE3"/>
    <w:rsid w:val="00026CF4"/>
    <w:rsid w:val="00026E6C"/>
    <w:rsid w:val="00026EDC"/>
    <w:rsid w:val="0002703B"/>
    <w:rsid w:val="00027135"/>
    <w:rsid w:val="0002743E"/>
    <w:rsid w:val="0002753F"/>
    <w:rsid w:val="0002756B"/>
    <w:rsid w:val="000275A4"/>
    <w:rsid w:val="000276D6"/>
    <w:rsid w:val="0002790A"/>
    <w:rsid w:val="00027C0B"/>
    <w:rsid w:val="00027F61"/>
    <w:rsid w:val="00027FB2"/>
    <w:rsid w:val="00030065"/>
    <w:rsid w:val="00030427"/>
    <w:rsid w:val="0003058E"/>
    <w:rsid w:val="00030E1A"/>
    <w:rsid w:val="00030FA6"/>
    <w:rsid w:val="00031247"/>
    <w:rsid w:val="0003125C"/>
    <w:rsid w:val="00031264"/>
    <w:rsid w:val="000312D4"/>
    <w:rsid w:val="00031320"/>
    <w:rsid w:val="0003132B"/>
    <w:rsid w:val="0003146C"/>
    <w:rsid w:val="00031605"/>
    <w:rsid w:val="00031736"/>
    <w:rsid w:val="000318E2"/>
    <w:rsid w:val="00031931"/>
    <w:rsid w:val="00031D8C"/>
    <w:rsid w:val="00031EA3"/>
    <w:rsid w:val="00031F23"/>
    <w:rsid w:val="000320BC"/>
    <w:rsid w:val="000323CB"/>
    <w:rsid w:val="00032429"/>
    <w:rsid w:val="000325A0"/>
    <w:rsid w:val="0003284B"/>
    <w:rsid w:val="00032B1E"/>
    <w:rsid w:val="00032E93"/>
    <w:rsid w:val="000335C4"/>
    <w:rsid w:val="00033BCB"/>
    <w:rsid w:val="00033DD2"/>
    <w:rsid w:val="00034130"/>
    <w:rsid w:val="00034207"/>
    <w:rsid w:val="00034309"/>
    <w:rsid w:val="0003438C"/>
    <w:rsid w:val="00034556"/>
    <w:rsid w:val="00034767"/>
    <w:rsid w:val="00034AFB"/>
    <w:rsid w:val="00034CA9"/>
    <w:rsid w:val="00034D79"/>
    <w:rsid w:val="00034E7C"/>
    <w:rsid w:val="00035116"/>
    <w:rsid w:val="0003559A"/>
    <w:rsid w:val="0003579F"/>
    <w:rsid w:val="00035B30"/>
    <w:rsid w:val="00035C93"/>
    <w:rsid w:val="00035CA2"/>
    <w:rsid w:val="00035CDD"/>
    <w:rsid w:val="0003612B"/>
    <w:rsid w:val="0003642A"/>
    <w:rsid w:val="00036552"/>
    <w:rsid w:val="000367A3"/>
    <w:rsid w:val="00036968"/>
    <w:rsid w:val="000370D2"/>
    <w:rsid w:val="00037409"/>
    <w:rsid w:val="0003750A"/>
    <w:rsid w:val="00037565"/>
    <w:rsid w:val="000375E8"/>
    <w:rsid w:val="00037C6C"/>
    <w:rsid w:val="00037D48"/>
    <w:rsid w:val="00040413"/>
    <w:rsid w:val="000404F4"/>
    <w:rsid w:val="00040539"/>
    <w:rsid w:val="0004053D"/>
    <w:rsid w:val="00040629"/>
    <w:rsid w:val="00040A70"/>
    <w:rsid w:val="00040AA3"/>
    <w:rsid w:val="00040DC4"/>
    <w:rsid w:val="00041050"/>
    <w:rsid w:val="00041B6E"/>
    <w:rsid w:val="00042120"/>
    <w:rsid w:val="000423CA"/>
    <w:rsid w:val="000425F3"/>
    <w:rsid w:val="00042757"/>
    <w:rsid w:val="00042775"/>
    <w:rsid w:val="000427EC"/>
    <w:rsid w:val="00042AC4"/>
    <w:rsid w:val="00042B82"/>
    <w:rsid w:val="0004308C"/>
    <w:rsid w:val="00043548"/>
    <w:rsid w:val="00043CC9"/>
    <w:rsid w:val="00043DA3"/>
    <w:rsid w:val="00043DB1"/>
    <w:rsid w:val="000447DB"/>
    <w:rsid w:val="0004499C"/>
    <w:rsid w:val="000449B0"/>
    <w:rsid w:val="00045326"/>
    <w:rsid w:val="00045D47"/>
    <w:rsid w:val="00046145"/>
    <w:rsid w:val="00046170"/>
    <w:rsid w:val="000461E2"/>
    <w:rsid w:val="00046251"/>
    <w:rsid w:val="000463F5"/>
    <w:rsid w:val="0004648F"/>
    <w:rsid w:val="000465AA"/>
    <w:rsid w:val="00046871"/>
    <w:rsid w:val="00046D79"/>
    <w:rsid w:val="000471FB"/>
    <w:rsid w:val="000473DE"/>
    <w:rsid w:val="0004796D"/>
    <w:rsid w:val="00047E15"/>
    <w:rsid w:val="000502FA"/>
    <w:rsid w:val="00050699"/>
    <w:rsid w:val="00050984"/>
    <w:rsid w:val="00050C80"/>
    <w:rsid w:val="00050E38"/>
    <w:rsid w:val="000514C5"/>
    <w:rsid w:val="0005178A"/>
    <w:rsid w:val="000517B3"/>
    <w:rsid w:val="00051D89"/>
    <w:rsid w:val="000520D7"/>
    <w:rsid w:val="000521B9"/>
    <w:rsid w:val="000522B8"/>
    <w:rsid w:val="000523D8"/>
    <w:rsid w:val="00052461"/>
    <w:rsid w:val="000525EA"/>
    <w:rsid w:val="00052B11"/>
    <w:rsid w:val="00052CC8"/>
    <w:rsid w:val="00052EE6"/>
    <w:rsid w:val="00052F23"/>
    <w:rsid w:val="00052F2E"/>
    <w:rsid w:val="0005317B"/>
    <w:rsid w:val="00053225"/>
    <w:rsid w:val="0005337A"/>
    <w:rsid w:val="0005340B"/>
    <w:rsid w:val="000534A6"/>
    <w:rsid w:val="00053633"/>
    <w:rsid w:val="00053785"/>
    <w:rsid w:val="000539BE"/>
    <w:rsid w:val="00053D00"/>
    <w:rsid w:val="0005421E"/>
    <w:rsid w:val="00054270"/>
    <w:rsid w:val="0005439D"/>
    <w:rsid w:val="00054A58"/>
    <w:rsid w:val="00054B02"/>
    <w:rsid w:val="00054F51"/>
    <w:rsid w:val="0005512C"/>
    <w:rsid w:val="000551BA"/>
    <w:rsid w:val="0005528E"/>
    <w:rsid w:val="0005577F"/>
    <w:rsid w:val="00055897"/>
    <w:rsid w:val="00055D0E"/>
    <w:rsid w:val="00056089"/>
    <w:rsid w:val="00056275"/>
    <w:rsid w:val="000563C0"/>
    <w:rsid w:val="00056485"/>
    <w:rsid w:val="0005651B"/>
    <w:rsid w:val="0005666E"/>
    <w:rsid w:val="00056E3F"/>
    <w:rsid w:val="00057055"/>
    <w:rsid w:val="0005732D"/>
    <w:rsid w:val="00057640"/>
    <w:rsid w:val="0005775D"/>
    <w:rsid w:val="000577EA"/>
    <w:rsid w:val="0005782C"/>
    <w:rsid w:val="000578B7"/>
    <w:rsid w:val="00057A5A"/>
    <w:rsid w:val="00057C22"/>
    <w:rsid w:val="00057D3C"/>
    <w:rsid w:val="00060011"/>
    <w:rsid w:val="00060321"/>
    <w:rsid w:val="00060775"/>
    <w:rsid w:val="000608CB"/>
    <w:rsid w:val="000609DC"/>
    <w:rsid w:val="00060BFF"/>
    <w:rsid w:val="00060CA9"/>
    <w:rsid w:val="00060FCD"/>
    <w:rsid w:val="00060FE2"/>
    <w:rsid w:val="0006123B"/>
    <w:rsid w:val="000612FF"/>
    <w:rsid w:val="0006154F"/>
    <w:rsid w:val="00061CCB"/>
    <w:rsid w:val="00061EB3"/>
    <w:rsid w:val="000620B2"/>
    <w:rsid w:val="0006212B"/>
    <w:rsid w:val="00062567"/>
    <w:rsid w:val="000625E0"/>
    <w:rsid w:val="00062666"/>
    <w:rsid w:val="0006267E"/>
    <w:rsid w:val="000626A8"/>
    <w:rsid w:val="00062933"/>
    <w:rsid w:val="00062DBD"/>
    <w:rsid w:val="000635E1"/>
    <w:rsid w:val="00063A36"/>
    <w:rsid w:val="00063D0B"/>
    <w:rsid w:val="000641A9"/>
    <w:rsid w:val="0006493E"/>
    <w:rsid w:val="00064AA1"/>
    <w:rsid w:val="00064C73"/>
    <w:rsid w:val="00065014"/>
    <w:rsid w:val="000650A0"/>
    <w:rsid w:val="00065729"/>
    <w:rsid w:val="0006581A"/>
    <w:rsid w:val="00065993"/>
    <w:rsid w:val="00065C12"/>
    <w:rsid w:val="0006629F"/>
    <w:rsid w:val="000663C6"/>
    <w:rsid w:val="0006648A"/>
    <w:rsid w:val="000669AA"/>
    <w:rsid w:val="00066C8E"/>
    <w:rsid w:val="00066DA4"/>
    <w:rsid w:val="00066F37"/>
    <w:rsid w:val="00067672"/>
    <w:rsid w:val="0006795C"/>
    <w:rsid w:val="0007011C"/>
    <w:rsid w:val="00070132"/>
    <w:rsid w:val="00070A55"/>
    <w:rsid w:val="00070C2A"/>
    <w:rsid w:val="00070F80"/>
    <w:rsid w:val="000712FE"/>
    <w:rsid w:val="00071754"/>
    <w:rsid w:val="00071C6A"/>
    <w:rsid w:val="00071E63"/>
    <w:rsid w:val="0007219B"/>
    <w:rsid w:val="000722CF"/>
    <w:rsid w:val="000722D4"/>
    <w:rsid w:val="00072427"/>
    <w:rsid w:val="00072477"/>
    <w:rsid w:val="000726B2"/>
    <w:rsid w:val="000726C5"/>
    <w:rsid w:val="00072771"/>
    <w:rsid w:val="0007291B"/>
    <w:rsid w:val="00072DAF"/>
    <w:rsid w:val="00072FE5"/>
    <w:rsid w:val="00073042"/>
    <w:rsid w:val="0007323B"/>
    <w:rsid w:val="000732A8"/>
    <w:rsid w:val="00073333"/>
    <w:rsid w:val="0007346B"/>
    <w:rsid w:val="00073E6A"/>
    <w:rsid w:val="000743D0"/>
    <w:rsid w:val="00074747"/>
    <w:rsid w:val="00074809"/>
    <w:rsid w:val="00074DAB"/>
    <w:rsid w:val="0007518B"/>
    <w:rsid w:val="00075609"/>
    <w:rsid w:val="000757D2"/>
    <w:rsid w:val="00075E7D"/>
    <w:rsid w:val="00075F8B"/>
    <w:rsid w:val="00075F9F"/>
    <w:rsid w:val="0007640E"/>
    <w:rsid w:val="00076789"/>
    <w:rsid w:val="0007687B"/>
    <w:rsid w:val="00076A59"/>
    <w:rsid w:val="00076AE0"/>
    <w:rsid w:val="00076D4A"/>
    <w:rsid w:val="00076FE4"/>
    <w:rsid w:val="000772DC"/>
    <w:rsid w:val="00077748"/>
    <w:rsid w:val="000778F0"/>
    <w:rsid w:val="00077BBE"/>
    <w:rsid w:val="0008011B"/>
    <w:rsid w:val="00080285"/>
    <w:rsid w:val="00080641"/>
    <w:rsid w:val="00080858"/>
    <w:rsid w:val="00080950"/>
    <w:rsid w:val="00080A12"/>
    <w:rsid w:val="00080BB7"/>
    <w:rsid w:val="00080C88"/>
    <w:rsid w:val="00080DF3"/>
    <w:rsid w:val="00081025"/>
    <w:rsid w:val="00081330"/>
    <w:rsid w:val="0008160B"/>
    <w:rsid w:val="0008171A"/>
    <w:rsid w:val="000818DB"/>
    <w:rsid w:val="00081F84"/>
    <w:rsid w:val="00082734"/>
    <w:rsid w:val="00082863"/>
    <w:rsid w:val="00082C09"/>
    <w:rsid w:val="00082D1C"/>
    <w:rsid w:val="00082DE1"/>
    <w:rsid w:val="0008367C"/>
    <w:rsid w:val="000838BF"/>
    <w:rsid w:val="00083AFD"/>
    <w:rsid w:val="00083B08"/>
    <w:rsid w:val="00083C59"/>
    <w:rsid w:val="00083C61"/>
    <w:rsid w:val="00083DD1"/>
    <w:rsid w:val="00084209"/>
    <w:rsid w:val="000843D1"/>
    <w:rsid w:val="00084418"/>
    <w:rsid w:val="00084AC9"/>
    <w:rsid w:val="00084C56"/>
    <w:rsid w:val="00084CD8"/>
    <w:rsid w:val="00084DE2"/>
    <w:rsid w:val="000850F9"/>
    <w:rsid w:val="000851AB"/>
    <w:rsid w:val="0008525F"/>
    <w:rsid w:val="00085359"/>
    <w:rsid w:val="000856F6"/>
    <w:rsid w:val="00085766"/>
    <w:rsid w:val="00085A75"/>
    <w:rsid w:val="00085ECB"/>
    <w:rsid w:val="00085F8B"/>
    <w:rsid w:val="00085FB3"/>
    <w:rsid w:val="000861C5"/>
    <w:rsid w:val="0008635D"/>
    <w:rsid w:val="000864AA"/>
    <w:rsid w:val="0008664E"/>
    <w:rsid w:val="000866A8"/>
    <w:rsid w:val="00086ACF"/>
    <w:rsid w:val="00086C9B"/>
    <w:rsid w:val="00086ECC"/>
    <w:rsid w:val="00087066"/>
    <w:rsid w:val="00087324"/>
    <w:rsid w:val="00087395"/>
    <w:rsid w:val="00087C7E"/>
    <w:rsid w:val="00090001"/>
    <w:rsid w:val="000902A8"/>
    <w:rsid w:val="000904C4"/>
    <w:rsid w:val="00090A2D"/>
    <w:rsid w:val="00090DE8"/>
    <w:rsid w:val="00090ECF"/>
    <w:rsid w:val="00091129"/>
    <w:rsid w:val="000912F6"/>
    <w:rsid w:val="000912FD"/>
    <w:rsid w:val="00091372"/>
    <w:rsid w:val="00091C76"/>
    <w:rsid w:val="00091D4C"/>
    <w:rsid w:val="00091DEC"/>
    <w:rsid w:val="0009208A"/>
    <w:rsid w:val="00092454"/>
    <w:rsid w:val="0009294D"/>
    <w:rsid w:val="000930B4"/>
    <w:rsid w:val="000932DE"/>
    <w:rsid w:val="000932FB"/>
    <w:rsid w:val="00093661"/>
    <w:rsid w:val="0009371A"/>
    <w:rsid w:val="00093BC2"/>
    <w:rsid w:val="00093BE7"/>
    <w:rsid w:val="00093C65"/>
    <w:rsid w:val="00093CA0"/>
    <w:rsid w:val="000942BB"/>
    <w:rsid w:val="000943E7"/>
    <w:rsid w:val="00094675"/>
    <w:rsid w:val="0009477D"/>
    <w:rsid w:val="000948DF"/>
    <w:rsid w:val="00094933"/>
    <w:rsid w:val="00095524"/>
    <w:rsid w:val="000956D4"/>
    <w:rsid w:val="00095864"/>
    <w:rsid w:val="00095A63"/>
    <w:rsid w:val="00095BCC"/>
    <w:rsid w:val="0009670E"/>
    <w:rsid w:val="0009686A"/>
    <w:rsid w:val="0009691F"/>
    <w:rsid w:val="00096B3C"/>
    <w:rsid w:val="000971BC"/>
    <w:rsid w:val="000972E1"/>
    <w:rsid w:val="00097761"/>
    <w:rsid w:val="00097944"/>
    <w:rsid w:val="00097953"/>
    <w:rsid w:val="00097DA5"/>
    <w:rsid w:val="000A00DE"/>
    <w:rsid w:val="000A00E0"/>
    <w:rsid w:val="000A0169"/>
    <w:rsid w:val="000A0606"/>
    <w:rsid w:val="000A0647"/>
    <w:rsid w:val="000A084B"/>
    <w:rsid w:val="000A0BDE"/>
    <w:rsid w:val="000A0D6B"/>
    <w:rsid w:val="000A0D77"/>
    <w:rsid w:val="000A0DAB"/>
    <w:rsid w:val="000A0EAB"/>
    <w:rsid w:val="000A1029"/>
    <w:rsid w:val="000A1713"/>
    <w:rsid w:val="000A194A"/>
    <w:rsid w:val="000A19F5"/>
    <w:rsid w:val="000A1D8C"/>
    <w:rsid w:val="000A2080"/>
    <w:rsid w:val="000A2330"/>
    <w:rsid w:val="000A2535"/>
    <w:rsid w:val="000A27A1"/>
    <w:rsid w:val="000A29D8"/>
    <w:rsid w:val="000A2DFA"/>
    <w:rsid w:val="000A2FB6"/>
    <w:rsid w:val="000A324D"/>
    <w:rsid w:val="000A332E"/>
    <w:rsid w:val="000A33FE"/>
    <w:rsid w:val="000A344C"/>
    <w:rsid w:val="000A3544"/>
    <w:rsid w:val="000A3A34"/>
    <w:rsid w:val="000A3D92"/>
    <w:rsid w:val="000A3E1B"/>
    <w:rsid w:val="000A414F"/>
    <w:rsid w:val="000A430A"/>
    <w:rsid w:val="000A43A9"/>
    <w:rsid w:val="000A448C"/>
    <w:rsid w:val="000A48E6"/>
    <w:rsid w:val="000A4DA7"/>
    <w:rsid w:val="000A4DF3"/>
    <w:rsid w:val="000A4FA7"/>
    <w:rsid w:val="000A514C"/>
    <w:rsid w:val="000A5155"/>
    <w:rsid w:val="000A540D"/>
    <w:rsid w:val="000A543B"/>
    <w:rsid w:val="000A57ED"/>
    <w:rsid w:val="000A5F76"/>
    <w:rsid w:val="000A6129"/>
    <w:rsid w:val="000A63A6"/>
    <w:rsid w:val="000A6945"/>
    <w:rsid w:val="000A69DB"/>
    <w:rsid w:val="000A6E55"/>
    <w:rsid w:val="000A7656"/>
    <w:rsid w:val="000A76E4"/>
    <w:rsid w:val="000A78DA"/>
    <w:rsid w:val="000A796D"/>
    <w:rsid w:val="000A797F"/>
    <w:rsid w:val="000A7B5D"/>
    <w:rsid w:val="000A7CAA"/>
    <w:rsid w:val="000A7EB4"/>
    <w:rsid w:val="000B0310"/>
    <w:rsid w:val="000B0368"/>
    <w:rsid w:val="000B071F"/>
    <w:rsid w:val="000B077A"/>
    <w:rsid w:val="000B095A"/>
    <w:rsid w:val="000B0A12"/>
    <w:rsid w:val="000B0C67"/>
    <w:rsid w:val="000B0E2C"/>
    <w:rsid w:val="000B0FD4"/>
    <w:rsid w:val="000B1D57"/>
    <w:rsid w:val="000B1DD5"/>
    <w:rsid w:val="000B1ED5"/>
    <w:rsid w:val="000B1F99"/>
    <w:rsid w:val="000B219B"/>
    <w:rsid w:val="000B2D8A"/>
    <w:rsid w:val="000B2EA9"/>
    <w:rsid w:val="000B2F8F"/>
    <w:rsid w:val="000B304A"/>
    <w:rsid w:val="000B3301"/>
    <w:rsid w:val="000B33F4"/>
    <w:rsid w:val="000B36CF"/>
    <w:rsid w:val="000B397D"/>
    <w:rsid w:val="000B3A38"/>
    <w:rsid w:val="000B3C5E"/>
    <w:rsid w:val="000B3EE5"/>
    <w:rsid w:val="000B401F"/>
    <w:rsid w:val="000B40F8"/>
    <w:rsid w:val="000B4243"/>
    <w:rsid w:val="000B44BC"/>
    <w:rsid w:val="000B49CC"/>
    <w:rsid w:val="000B4AAE"/>
    <w:rsid w:val="000B4F3E"/>
    <w:rsid w:val="000B54C7"/>
    <w:rsid w:val="000B5BAD"/>
    <w:rsid w:val="000B5DD1"/>
    <w:rsid w:val="000B5F34"/>
    <w:rsid w:val="000B6046"/>
    <w:rsid w:val="000B61AC"/>
    <w:rsid w:val="000B6524"/>
    <w:rsid w:val="000B6DC4"/>
    <w:rsid w:val="000B6FE4"/>
    <w:rsid w:val="000B7222"/>
    <w:rsid w:val="000B7392"/>
    <w:rsid w:val="000B78D6"/>
    <w:rsid w:val="000B7990"/>
    <w:rsid w:val="000B79B6"/>
    <w:rsid w:val="000B7B8B"/>
    <w:rsid w:val="000C0075"/>
    <w:rsid w:val="000C0248"/>
    <w:rsid w:val="000C030E"/>
    <w:rsid w:val="000C11F8"/>
    <w:rsid w:val="000C1217"/>
    <w:rsid w:val="000C140F"/>
    <w:rsid w:val="000C1438"/>
    <w:rsid w:val="000C1713"/>
    <w:rsid w:val="000C1CA9"/>
    <w:rsid w:val="000C2005"/>
    <w:rsid w:val="000C22E7"/>
    <w:rsid w:val="000C2394"/>
    <w:rsid w:val="000C2ACB"/>
    <w:rsid w:val="000C2C8D"/>
    <w:rsid w:val="000C2DD1"/>
    <w:rsid w:val="000C2E80"/>
    <w:rsid w:val="000C2E86"/>
    <w:rsid w:val="000C2F6D"/>
    <w:rsid w:val="000C2F90"/>
    <w:rsid w:val="000C3084"/>
    <w:rsid w:val="000C30B0"/>
    <w:rsid w:val="000C3A1F"/>
    <w:rsid w:val="000C3A73"/>
    <w:rsid w:val="000C3BB4"/>
    <w:rsid w:val="000C4011"/>
    <w:rsid w:val="000C41E4"/>
    <w:rsid w:val="000C42E7"/>
    <w:rsid w:val="000C47A3"/>
    <w:rsid w:val="000C4A99"/>
    <w:rsid w:val="000C4C31"/>
    <w:rsid w:val="000C4C91"/>
    <w:rsid w:val="000C4F75"/>
    <w:rsid w:val="000C55C8"/>
    <w:rsid w:val="000C5B73"/>
    <w:rsid w:val="000C5F19"/>
    <w:rsid w:val="000C6205"/>
    <w:rsid w:val="000C62D6"/>
    <w:rsid w:val="000C6498"/>
    <w:rsid w:val="000C6ADC"/>
    <w:rsid w:val="000C6BFD"/>
    <w:rsid w:val="000C6C37"/>
    <w:rsid w:val="000C6F28"/>
    <w:rsid w:val="000C7564"/>
    <w:rsid w:val="000C7593"/>
    <w:rsid w:val="000C777D"/>
    <w:rsid w:val="000C778A"/>
    <w:rsid w:val="000C7824"/>
    <w:rsid w:val="000D0249"/>
    <w:rsid w:val="000D14C1"/>
    <w:rsid w:val="000D1690"/>
    <w:rsid w:val="000D1FAD"/>
    <w:rsid w:val="000D264C"/>
    <w:rsid w:val="000D2903"/>
    <w:rsid w:val="000D2B6A"/>
    <w:rsid w:val="000D2C64"/>
    <w:rsid w:val="000D307C"/>
    <w:rsid w:val="000D3456"/>
    <w:rsid w:val="000D35C7"/>
    <w:rsid w:val="000D39E3"/>
    <w:rsid w:val="000D3C21"/>
    <w:rsid w:val="000D3F4F"/>
    <w:rsid w:val="000D3F83"/>
    <w:rsid w:val="000D4027"/>
    <w:rsid w:val="000D40EC"/>
    <w:rsid w:val="000D4AEF"/>
    <w:rsid w:val="000D4B93"/>
    <w:rsid w:val="000D4EC8"/>
    <w:rsid w:val="000D50B9"/>
    <w:rsid w:val="000D51F3"/>
    <w:rsid w:val="000D5611"/>
    <w:rsid w:val="000D5804"/>
    <w:rsid w:val="000D5AEF"/>
    <w:rsid w:val="000D5B3B"/>
    <w:rsid w:val="000D63D7"/>
    <w:rsid w:val="000D697A"/>
    <w:rsid w:val="000D6F1F"/>
    <w:rsid w:val="000D7071"/>
    <w:rsid w:val="000D7189"/>
    <w:rsid w:val="000D7320"/>
    <w:rsid w:val="000E0B5E"/>
    <w:rsid w:val="000E0D36"/>
    <w:rsid w:val="000E0E3E"/>
    <w:rsid w:val="000E0E5B"/>
    <w:rsid w:val="000E16B6"/>
    <w:rsid w:val="000E1822"/>
    <w:rsid w:val="000E1B3B"/>
    <w:rsid w:val="000E21BE"/>
    <w:rsid w:val="000E2292"/>
    <w:rsid w:val="000E23C2"/>
    <w:rsid w:val="000E2606"/>
    <w:rsid w:val="000E26F1"/>
    <w:rsid w:val="000E2734"/>
    <w:rsid w:val="000E2B87"/>
    <w:rsid w:val="000E2D19"/>
    <w:rsid w:val="000E2E31"/>
    <w:rsid w:val="000E31E1"/>
    <w:rsid w:val="000E3307"/>
    <w:rsid w:val="000E33CC"/>
    <w:rsid w:val="000E34AA"/>
    <w:rsid w:val="000E3754"/>
    <w:rsid w:val="000E3C1A"/>
    <w:rsid w:val="000E3E74"/>
    <w:rsid w:val="000E40CE"/>
    <w:rsid w:val="000E4177"/>
    <w:rsid w:val="000E4340"/>
    <w:rsid w:val="000E455B"/>
    <w:rsid w:val="000E4975"/>
    <w:rsid w:val="000E4B3D"/>
    <w:rsid w:val="000E4C48"/>
    <w:rsid w:val="000E4DD1"/>
    <w:rsid w:val="000E4E69"/>
    <w:rsid w:val="000E51D9"/>
    <w:rsid w:val="000E5272"/>
    <w:rsid w:val="000E527D"/>
    <w:rsid w:val="000E5504"/>
    <w:rsid w:val="000E58F3"/>
    <w:rsid w:val="000E5C6D"/>
    <w:rsid w:val="000E635D"/>
    <w:rsid w:val="000E6583"/>
    <w:rsid w:val="000E6608"/>
    <w:rsid w:val="000E6D57"/>
    <w:rsid w:val="000E751D"/>
    <w:rsid w:val="000E7AE1"/>
    <w:rsid w:val="000E7E7D"/>
    <w:rsid w:val="000E7EE4"/>
    <w:rsid w:val="000F000D"/>
    <w:rsid w:val="000F04D7"/>
    <w:rsid w:val="000F059D"/>
    <w:rsid w:val="000F072E"/>
    <w:rsid w:val="000F08F3"/>
    <w:rsid w:val="000F0B68"/>
    <w:rsid w:val="000F0CAA"/>
    <w:rsid w:val="000F0E3A"/>
    <w:rsid w:val="000F0FE5"/>
    <w:rsid w:val="000F10A3"/>
    <w:rsid w:val="000F12AB"/>
    <w:rsid w:val="000F14A3"/>
    <w:rsid w:val="000F1603"/>
    <w:rsid w:val="000F17ED"/>
    <w:rsid w:val="000F1EFF"/>
    <w:rsid w:val="000F2537"/>
    <w:rsid w:val="000F2599"/>
    <w:rsid w:val="000F25FA"/>
    <w:rsid w:val="000F26E6"/>
    <w:rsid w:val="000F270C"/>
    <w:rsid w:val="000F2C27"/>
    <w:rsid w:val="000F2D44"/>
    <w:rsid w:val="000F3209"/>
    <w:rsid w:val="000F3220"/>
    <w:rsid w:val="000F32E8"/>
    <w:rsid w:val="000F352B"/>
    <w:rsid w:val="000F35AD"/>
    <w:rsid w:val="000F39AE"/>
    <w:rsid w:val="000F3B1D"/>
    <w:rsid w:val="000F3BAB"/>
    <w:rsid w:val="000F3CD7"/>
    <w:rsid w:val="000F3CFD"/>
    <w:rsid w:val="000F3FDA"/>
    <w:rsid w:val="000F4097"/>
    <w:rsid w:val="000F43B0"/>
    <w:rsid w:val="000F4B9E"/>
    <w:rsid w:val="000F4F2D"/>
    <w:rsid w:val="000F51F0"/>
    <w:rsid w:val="000F57CD"/>
    <w:rsid w:val="000F584D"/>
    <w:rsid w:val="000F5B4B"/>
    <w:rsid w:val="000F5D71"/>
    <w:rsid w:val="000F5E50"/>
    <w:rsid w:val="000F6027"/>
    <w:rsid w:val="000F605D"/>
    <w:rsid w:val="000F6439"/>
    <w:rsid w:val="000F6578"/>
    <w:rsid w:val="000F6923"/>
    <w:rsid w:val="000F72A7"/>
    <w:rsid w:val="000F76D6"/>
    <w:rsid w:val="001005B9"/>
    <w:rsid w:val="00100836"/>
    <w:rsid w:val="00100B8F"/>
    <w:rsid w:val="00101048"/>
    <w:rsid w:val="0010104A"/>
    <w:rsid w:val="00101425"/>
    <w:rsid w:val="00101592"/>
    <w:rsid w:val="0010160F"/>
    <w:rsid w:val="0010194B"/>
    <w:rsid w:val="00101DD2"/>
    <w:rsid w:val="00101E98"/>
    <w:rsid w:val="00101F2C"/>
    <w:rsid w:val="00102437"/>
    <w:rsid w:val="0010274E"/>
    <w:rsid w:val="00102792"/>
    <w:rsid w:val="00102DDB"/>
    <w:rsid w:val="00102EFB"/>
    <w:rsid w:val="0010310A"/>
    <w:rsid w:val="00103195"/>
    <w:rsid w:val="00103653"/>
    <w:rsid w:val="00103A47"/>
    <w:rsid w:val="00103BD3"/>
    <w:rsid w:val="00103D07"/>
    <w:rsid w:val="00104116"/>
    <w:rsid w:val="00104193"/>
    <w:rsid w:val="00104283"/>
    <w:rsid w:val="00104337"/>
    <w:rsid w:val="00104659"/>
    <w:rsid w:val="00104938"/>
    <w:rsid w:val="00104ADE"/>
    <w:rsid w:val="00104E0D"/>
    <w:rsid w:val="00104FEF"/>
    <w:rsid w:val="00105013"/>
    <w:rsid w:val="00105280"/>
    <w:rsid w:val="001053BC"/>
    <w:rsid w:val="001053F6"/>
    <w:rsid w:val="00105470"/>
    <w:rsid w:val="00105533"/>
    <w:rsid w:val="00105646"/>
    <w:rsid w:val="0010580A"/>
    <w:rsid w:val="00105DAD"/>
    <w:rsid w:val="0010615B"/>
    <w:rsid w:val="00106201"/>
    <w:rsid w:val="00106897"/>
    <w:rsid w:val="00106B25"/>
    <w:rsid w:val="00106D1F"/>
    <w:rsid w:val="001076DA"/>
    <w:rsid w:val="00107794"/>
    <w:rsid w:val="0010787B"/>
    <w:rsid w:val="00107B08"/>
    <w:rsid w:val="00107D78"/>
    <w:rsid w:val="001103D3"/>
    <w:rsid w:val="0011064D"/>
    <w:rsid w:val="00110BCB"/>
    <w:rsid w:val="00111242"/>
    <w:rsid w:val="001112A3"/>
    <w:rsid w:val="00111881"/>
    <w:rsid w:val="001118A8"/>
    <w:rsid w:val="001119B3"/>
    <w:rsid w:val="00111B76"/>
    <w:rsid w:val="00111D69"/>
    <w:rsid w:val="00111DD3"/>
    <w:rsid w:val="001122BA"/>
    <w:rsid w:val="0011238B"/>
    <w:rsid w:val="00112FA2"/>
    <w:rsid w:val="001132A1"/>
    <w:rsid w:val="001134EC"/>
    <w:rsid w:val="00113500"/>
    <w:rsid w:val="00113720"/>
    <w:rsid w:val="001137E4"/>
    <w:rsid w:val="001137F8"/>
    <w:rsid w:val="0011398B"/>
    <w:rsid w:val="00113D5E"/>
    <w:rsid w:val="00114628"/>
    <w:rsid w:val="00114CB3"/>
    <w:rsid w:val="00114D7D"/>
    <w:rsid w:val="00114DE2"/>
    <w:rsid w:val="00114E3A"/>
    <w:rsid w:val="00115115"/>
    <w:rsid w:val="0011534F"/>
    <w:rsid w:val="00115934"/>
    <w:rsid w:val="00115992"/>
    <w:rsid w:val="00115B3C"/>
    <w:rsid w:val="00115F06"/>
    <w:rsid w:val="00115F08"/>
    <w:rsid w:val="00115FD3"/>
    <w:rsid w:val="00116066"/>
    <w:rsid w:val="0011631F"/>
    <w:rsid w:val="00116386"/>
    <w:rsid w:val="00116B6E"/>
    <w:rsid w:val="00116C83"/>
    <w:rsid w:val="00116E0E"/>
    <w:rsid w:val="00117198"/>
    <w:rsid w:val="0011728F"/>
    <w:rsid w:val="001173A6"/>
    <w:rsid w:val="001174A1"/>
    <w:rsid w:val="00117627"/>
    <w:rsid w:val="001177E3"/>
    <w:rsid w:val="001178E1"/>
    <w:rsid w:val="001178E6"/>
    <w:rsid w:val="00117B24"/>
    <w:rsid w:val="00117C68"/>
    <w:rsid w:val="00120198"/>
    <w:rsid w:val="0012025C"/>
    <w:rsid w:val="001206F4"/>
    <w:rsid w:val="00120B95"/>
    <w:rsid w:val="00120CAD"/>
    <w:rsid w:val="00120E7C"/>
    <w:rsid w:val="001211B8"/>
    <w:rsid w:val="001211D0"/>
    <w:rsid w:val="00121411"/>
    <w:rsid w:val="001218F0"/>
    <w:rsid w:val="00121FCE"/>
    <w:rsid w:val="0012277B"/>
    <w:rsid w:val="001227CF"/>
    <w:rsid w:val="001227D6"/>
    <w:rsid w:val="00122A36"/>
    <w:rsid w:val="00122D07"/>
    <w:rsid w:val="0012339E"/>
    <w:rsid w:val="001234D0"/>
    <w:rsid w:val="0012361A"/>
    <w:rsid w:val="0012386B"/>
    <w:rsid w:val="001238D2"/>
    <w:rsid w:val="001239A2"/>
    <w:rsid w:val="00124000"/>
    <w:rsid w:val="00124065"/>
    <w:rsid w:val="00124489"/>
    <w:rsid w:val="00124677"/>
    <w:rsid w:val="00124EC6"/>
    <w:rsid w:val="00125258"/>
    <w:rsid w:val="001253FF"/>
    <w:rsid w:val="0012548B"/>
    <w:rsid w:val="00125683"/>
    <w:rsid w:val="0012585E"/>
    <w:rsid w:val="001258D2"/>
    <w:rsid w:val="00125957"/>
    <w:rsid w:val="00125AF6"/>
    <w:rsid w:val="00125D8B"/>
    <w:rsid w:val="00125EB9"/>
    <w:rsid w:val="00125FE2"/>
    <w:rsid w:val="00126049"/>
    <w:rsid w:val="00126198"/>
    <w:rsid w:val="00126478"/>
    <w:rsid w:val="00126576"/>
    <w:rsid w:val="0012676E"/>
    <w:rsid w:val="00126792"/>
    <w:rsid w:val="00126AFC"/>
    <w:rsid w:val="00127039"/>
    <w:rsid w:val="001270BD"/>
    <w:rsid w:val="00127437"/>
    <w:rsid w:val="001278C9"/>
    <w:rsid w:val="00127B79"/>
    <w:rsid w:val="00127FCF"/>
    <w:rsid w:val="00127FEF"/>
    <w:rsid w:val="00130BB6"/>
    <w:rsid w:val="00130BBE"/>
    <w:rsid w:val="00130DE4"/>
    <w:rsid w:val="001312CA"/>
    <w:rsid w:val="00131485"/>
    <w:rsid w:val="001314E7"/>
    <w:rsid w:val="0013160E"/>
    <w:rsid w:val="001319BC"/>
    <w:rsid w:val="00131A54"/>
    <w:rsid w:val="00131AA0"/>
    <w:rsid w:val="00131CB5"/>
    <w:rsid w:val="0013264A"/>
    <w:rsid w:val="001326BD"/>
    <w:rsid w:val="00132A8E"/>
    <w:rsid w:val="00132B28"/>
    <w:rsid w:val="00133123"/>
    <w:rsid w:val="00133EE8"/>
    <w:rsid w:val="00133F46"/>
    <w:rsid w:val="00134AF2"/>
    <w:rsid w:val="00134C75"/>
    <w:rsid w:val="00134CD0"/>
    <w:rsid w:val="00134EA2"/>
    <w:rsid w:val="00135374"/>
    <w:rsid w:val="00135512"/>
    <w:rsid w:val="001355C5"/>
    <w:rsid w:val="0013563C"/>
    <w:rsid w:val="00135864"/>
    <w:rsid w:val="00135908"/>
    <w:rsid w:val="00135B54"/>
    <w:rsid w:val="00135C5D"/>
    <w:rsid w:val="00135DFF"/>
    <w:rsid w:val="0013616D"/>
    <w:rsid w:val="0013679E"/>
    <w:rsid w:val="00136864"/>
    <w:rsid w:val="0013687A"/>
    <w:rsid w:val="00136A9F"/>
    <w:rsid w:val="00136C80"/>
    <w:rsid w:val="00136F9C"/>
    <w:rsid w:val="00137125"/>
    <w:rsid w:val="0013712D"/>
    <w:rsid w:val="0013751F"/>
    <w:rsid w:val="0013780B"/>
    <w:rsid w:val="00137821"/>
    <w:rsid w:val="0013785B"/>
    <w:rsid w:val="00137BB2"/>
    <w:rsid w:val="00137F11"/>
    <w:rsid w:val="00140150"/>
    <w:rsid w:val="001401F6"/>
    <w:rsid w:val="0014060F"/>
    <w:rsid w:val="0014069F"/>
    <w:rsid w:val="001406A5"/>
    <w:rsid w:val="001408E2"/>
    <w:rsid w:val="00140C4D"/>
    <w:rsid w:val="00140D7C"/>
    <w:rsid w:val="0014125C"/>
    <w:rsid w:val="001412CA"/>
    <w:rsid w:val="00141373"/>
    <w:rsid w:val="00141911"/>
    <w:rsid w:val="00141EC4"/>
    <w:rsid w:val="00142062"/>
    <w:rsid w:val="001421FC"/>
    <w:rsid w:val="001427C3"/>
    <w:rsid w:val="0014297F"/>
    <w:rsid w:val="00142993"/>
    <w:rsid w:val="00142E39"/>
    <w:rsid w:val="0014331D"/>
    <w:rsid w:val="001436BA"/>
    <w:rsid w:val="001437E7"/>
    <w:rsid w:val="00143AEC"/>
    <w:rsid w:val="00143B3E"/>
    <w:rsid w:val="00143C43"/>
    <w:rsid w:val="00143E8D"/>
    <w:rsid w:val="0014465B"/>
    <w:rsid w:val="001446E4"/>
    <w:rsid w:val="00144C76"/>
    <w:rsid w:val="00144D89"/>
    <w:rsid w:val="00144D95"/>
    <w:rsid w:val="00144EDE"/>
    <w:rsid w:val="00145C62"/>
    <w:rsid w:val="00145CEF"/>
    <w:rsid w:val="00145E74"/>
    <w:rsid w:val="00146059"/>
    <w:rsid w:val="00146081"/>
    <w:rsid w:val="0014625B"/>
    <w:rsid w:val="00146881"/>
    <w:rsid w:val="001468BD"/>
    <w:rsid w:val="00146950"/>
    <w:rsid w:val="00146B3E"/>
    <w:rsid w:val="0014739E"/>
    <w:rsid w:val="0014755A"/>
    <w:rsid w:val="001476BE"/>
    <w:rsid w:val="00147B05"/>
    <w:rsid w:val="00147B5B"/>
    <w:rsid w:val="00147EE9"/>
    <w:rsid w:val="00147FFE"/>
    <w:rsid w:val="0015082B"/>
    <w:rsid w:val="001508B3"/>
    <w:rsid w:val="001510B3"/>
    <w:rsid w:val="00151441"/>
    <w:rsid w:val="001516F4"/>
    <w:rsid w:val="00151A21"/>
    <w:rsid w:val="00151A47"/>
    <w:rsid w:val="001520A0"/>
    <w:rsid w:val="00152247"/>
    <w:rsid w:val="00152257"/>
    <w:rsid w:val="001523D0"/>
    <w:rsid w:val="001524D4"/>
    <w:rsid w:val="001528C5"/>
    <w:rsid w:val="00152BA6"/>
    <w:rsid w:val="00152E54"/>
    <w:rsid w:val="001532F4"/>
    <w:rsid w:val="001536E1"/>
    <w:rsid w:val="001539D8"/>
    <w:rsid w:val="00154C3C"/>
    <w:rsid w:val="00154E84"/>
    <w:rsid w:val="00154F3A"/>
    <w:rsid w:val="00155159"/>
    <w:rsid w:val="001551A2"/>
    <w:rsid w:val="00156237"/>
    <w:rsid w:val="0015631F"/>
    <w:rsid w:val="001564EA"/>
    <w:rsid w:val="0015651B"/>
    <w:rsid w:val="0015668F"/>
    <w:rsid w:val="001567F9"/>
    <w:rsid w:val="00156BF4"/>
    <w:rsid w:val="001575AE"/>
    <w:rsid w:val="001576B4"/>
    <w:rsid w:val="001576E1"/>
    <w:rsid w:val="00157B19"/>
    <w:rsid w:val="00160034"/>
    <w:rsid w:val="0016057B"/>
    <w:rsid w:val="001605F0"/>
    <w:rsid w:val="0016063D"/>
    <w:rsid w:val="001607B9"/>
    <w:rsid w:val="00160B61"/>
    <w:rsid w:val="00161016"/>
    <w:rsid w:val="0016106F"/>
    <w:rsid w:val="001611BF"/>
    <w:rsid w:val="00161543"/>
    <w:rsid w:val="00161A5A"/>
    <w:rsid w:val="00161A8A"/>
    <w:rsid w:val="0016204C"/>
    <w:rsid w:val="00162525"/>
    <w:rsid w:val="00162526"/>
    <w:rsid w:val="001626F3"/>
    <w:rsid w:val="001626F9"/>
    <w:rsid w:val="001628A6"/>
    <w:rsid w:val="00162AF8"/>
    <w:rsid w:val="00162B1D"/>
    <w:rsid w:val="00162B4C"/>
    <w:rsid w:val="00162C15"/>
    <w:rsid w:val="0016309B"/>
    <w:rsid w:val="00163111"/>
    <w:rsid w:val="001631E3"/>
    <w:rsid w:val="00163604"/>
    <w:rsid w:val="00163A50"/>
    <w:rsid w:val="00163A79"/>
    <w:rsid w:val="00163B40"/>
    <w:rsid w:val="00163E3F"/>
    <w:rsid w:val="00163F59"/>
    <w:rsid w:val="001643FF"/>
    <w:rsid w:val="001646E1"/>
    <w:rsid w:val="001649E3"/>
    <w:rsid w:val="00164BD6"/>
    <w:rsid w:val="0016517D"/>
    <w:rsid w:val="001652FB"/>
    <w:rsid w:val="00166068"/>
    <w:rsid w:val="0016663D"/>
    <w:rsid w:val="001669BA"/>
    <w:rsid w:val="00166A89"/>
    <w:rsid w:val="00166CFF"/>
    <w:rsid w:val="00167825"/>
    <w:rsid w:val="00167A63"/>
    <w:rsid w:val="00167C0F"/>
    <w:rsid w:val="00167CC3"/>
    <w:rsid w:val="00167D8E"/>
    <w:rsid w:val="00167DA8"/>
    <w:rsid w:val="001701DE"/>
    <w:rsid w:val="00170477"/>
    <w:rsid w:val="00170D6D"/>
    <w:rsid w:val="00171731"/>
    <w:rsid w:val="00171735"/>
    <w:rsid w:val="0017175E"/>
    <w:rsid w:val="00171C9D"/>
    <w:rsid w:val="0017246A"/>
    <w:rsid w:val="0017256A"/>
    <w:rsid w:val="00172881"/>
    <w:rsid w:val="00172A27"/>
    <w:rsid w:val="0017302E"/>
    <w:rsid w:val="001730A3"/>
    <w:rsid w:val="001733B6"/>
    <w:rsid w:val="00173507"/>
    <w:rsid w:val="0017373B"/>
    <w:rsid w:val="00173A76"/>
    <w:rsid w:val="00173AC6"/>
    <w:rsid w:val="00173FBC"/>
    <w:rsid w:val="00174132"/>
    <w:rsid w:val="00174601"/>
    <w:rsid w:val="00174767"/>
    <w:rsid w:val="00174E9A"/>
    <w:rsid w:val="0017520B"/>
    <w:rsid w:val="0017528F"/>
    <w:rsid w:val="0017554E"/>
    <w:rsid w:val="00175579"/>
    <w:rsid w:val="0017559D"/>
    <w:rsid w:val="00175710"/>
    <w:rsid w:val="001757F5"/>
    <w:rsid w:val="00175A68"/>
    <w:rsid w:val="00175D08"/>
    <w:rsid w:val="00175D23"/>
    <w:rsid w:val="00175D46"/>
    <w:rsid w:val="00175E52"/>
    <w:rsid w:val="00175F0C"/>
    <w:rsid w:val="00175FEE"/>
    <w:rsid w:val="00176025"/>
    <w:rsid w:val="0017678C"/>
    <w:rsid w:val="001769BD"/>
    <w:rsid w:val="00176DFE"/>
    <w:rsid w:val="00176F87"/>
    <w:rsid w:val="001770BB"/>
    <w:rsid w:val="001775DF"/>
    <w:rsid w:val="00177623"/>
    <w:rsid w:val="00177914"/>
    <w:rsid w:val="00177E7F"/>
    <w:rsid w:val="00177F65"/>
    <w:rsid w:val="00180101"/>
    <w:rsid w:val="001803AC"/>
    <w:rsid w:val="001806BA"/>
    <w:rsid w:val="001806E2"/>
    <w:rsid w:val="001806F6"/>
    <w:rsid w:val="001809F4"/>
    <w:rsid w:val="00180B19"/>
    <w:rsid w:val="00180DAD"/>
    <w:rsid w:val="00180FB7"/>
    <w:rsid w:val="00181088"/>
    <w:rsid w:val="001810CC"/>
    <w:rsid w:val="001811B2"/>
    <w:rsid w:val="00181920"/>
    <w:rsid w:val="001819DF"/>
    <w:rsid w:val="00181CE0"/>
    <w:rsid w:val="00181DC5"/>
    <w:rsid w:val="001821C0"/>
    <w:rsid w:val="001821C2"/>
    <w:rsid w:val="001822DC"/>
    <w:rsid w:val="00182538"/>
    <w:rsid w:val="00182581"/>
    <w:rsid w:val="00182672"/>
    <w:rsid w:val="0018279C"/>
    <w:rsid w:val="00182C93"/>
    <w:rsid w:val="00182D0E"/>
    <w:rsid w:val="00182D68"/>
    <w:rsid w:val="00183028"/>
    <w:rsid w:val="00183240"/>
    <w:rsid w:val="00183440"/>
    <w:rsid w:val="0018352C"/>
    <w:rsid w:val="00183756"/>
    <w:rsid w:val="0018388B"/>
    <w:rsid w:val="001839CE"/>
    <w:rsid w:val="00183AC5"/>
    <w:rsid w:val="00183F7F"/>
    <w:rsid w:val="001841C1"/>
    <w:rsid w:val="001845FF"/>
    <w:rsid w:val="00184F6B"/>
    <w:rsid w:val="00184FCB"/>
    <w:rsid w:val="00184FED"/>
    <w:rsid w:val="001851CC"/>
    <w:rsid w:val="0018534F"/>
    <w:rsid w:val="00185510"/>
    <w:rsid w:val="00185753"/>
    <w:rsid w:val="00185FF6"/>
    <w:rsid w:val="0018613C"/>
    <w:rsid w:val="00186387"/>
    <w:rsid w:val="001866EA"/>
    <w:rsid w:val="001868B4"/>
    <w:rsid w:val="001869E2"/>
    <w:rsid w:val="00186E85"/>
    <w:rsid w:val="00186F69"/>
    <w:rsid w:val="00186F8B"/>
    <w:rsid w:val="0018731C"/>
    <w:rsid w:val="00187908"/>
    <w:rsid w:val="00187C9B"/>
    <w:rsid w:val="0019041B"/>
    <w:rsid w:val="00190744"/>
    <w:rsid w:val="00190AB3"/>
    <w:rsid w:val="00190D47"/>
    <w:rsid w:val="001910A2"/>
    <w:rsid w:val="00191349"/>
    <w:rsid w:val="00191832"/>
    <w:rsid w:val="001918C2"/>
    <w:rsid w:val="00191901"/>
    <w:rsid w:val="00191BA8"/>
    <w:rsid w:val="001920D1"/>
    <w:rsid w:val="001922C4"/>
    <w:rsid w:val="001927FA"/>
    <w:rsid w:val="00192AAD"/>
    <w:rsid w:val="00192DD9"/>
    <w:rsid w:val="00192E66"/>
    <w:rsid w:val="0019375E"/>
    <w:rsid w:val="00193926"/>
    <w:rsid w:val="00193B02"/>
    <w:rsid w:val="00193B8A"/>
    <w:rsid w:val="00193BDF"/>
    <w:rsid w:val="00193E0A"/>
    <w:rsid w:val="001940D2"/>
    <w:rsid w:val="00194505"/>
    <w:rsid w:val="00194A2D"/>
    <w:rsid w:val="00194B59"/>
    <w:rsid w:val="00194E25"/>
    <w:rsid w:val="001950AE"/>
    <w:rsid w:val="00195854"/>
    <w:rsid w:val="00195873"/>
    <w:rsid w:val="001958FF"/>
    <w:rsid w:val="00195D0B"/>
    <w:rsid w:val="00195F84"/>
    <w:rsid w:val="00195FD8"/>
    <w:rsid w:val="001960D0"/>
    <w:rsid w:val="00196230"/>
    <w:rsid w:val="00196802"/>
    <w:rsid w:val="001968D0"/>
    <w:rsid w:val="001969C4"/>
    <w:rsid w:val="00196C0C"/>
    <w:rsid w:val="00196CD6"/>
    <w:rsid w:val="00196D47"/>
    <w:rsid w:val="00197175"/>
    <w:rsid w:val="001974BF"/>
    <w:rsid w:val="0019788D"/>
    <w:rsid w:val="00197974"/>
    <w:rsid w:val="001A039F"/>
    <w:rsid w:val="001A077C"/>
    <w:rsid w:val="001A08B4"/>
    <w:rsid w:val="001A0F2A"/>
    <w:rsid w:val="001A11DE"/>
    <w:rsid w:val="001A13F0"/>
    <w:rsid w:val="001A159C"/>
    <w:rsid w:val="001A1BA2"/>
    <w:rsid w:val="001A1EED"/>
    <w:rsid w:val="001A2188"/>
    <w:rsid w:val="001A254E"/>
    <w:rsid w:val="001A2AD7"/>
    <w:rsid w:val="001A2E15"/>
    <w:rsid w:val="001A3162"/>
    <w:rsid w:val="001A3848"/>
    <w:rsid w:val="001A3F73"/>
    <w:rsid w:val="001A3FF3"/>
    <w:rsid w:val="001A4371"/>
    <w:rsid w:val="001A45FD"/>
    <w:rsid w:val="001A4825"/>
    <w:rsid w:val="001A4C0A"/>
    <w:rsid w:val="001A532B"/>
    <w:rsid w:val="001A5773"/>
    <w:rsid w:val="001A5B7A"/>
    <w:rsid w:val="001A5C79"/>
    <w:rsid w:val="001A5E54"/>
    <w:rsid w:val="001A61E3"/>
    <w:rsid w:val="001A6629"/>
    <w:rsid w:val="001A6679"/>
    <w:rsid w:val="001A69C7"/>
    <w:rsid w:val="001A6B61"/>
    <w:rsid w:val="001A6B89"/>
    <w:rsid w:val="001A7181"/>
    <w:rsid w:val="001A7405"/>
    <w:rsid w:val="001A770F"/>
    <w:rsid w:val="001A7797"/>
    <w:rsid w:val="001B0133"/>
    <w:rsid w:val="001B0265"/>
    <w:rsid w:val="001B0374"/>
    <w:rsid w:val="001B0387"/>
    <w:rsid w:val="001B03FB"/>
    <w:rsid w:val="001B04CD"/>
    <w:rsid w:val="001B0593"/>
    <w:rsid w:val="001B0DB4"/>
    <w:rsid w:val="001B0DBA"/>
    <w:rsid w:val="001B124C"/>
    <w:rsid w:val="001B132D"/>
    <w:rsid w:val="001B1763"/>
    <w:rsid w:val="001B18E6"/>
    <w:rsid w:val="001B1C3C"/>
    <w:rsid w:val="001B1C7E"/>
    <w:rsid w:val="001B1FCB"/>
    <w:rsid w:val="001B2084"/>
    <w:rsid w:val="001B251F"/>
    <w:rsid w:val="001B2666"/>
    <w:rsid w:val="001B2B35"/>
    <w:rsid w:val="001B313D"/>
    <w:rsid w:val="001B35E5"/>
    <w:rsid w:val="001B36F2"/>
    <w:rsid w:val="001B3B49"/>
    <w:rsid w:val="001B3E8C"/>
    <w:rsid w:val="001B3FB9"/>
    <w:rsid w:val="001B401A"/>
    <w:rsid w:val="001B4374"/>
    <w:rsid w:val="001B43F5"/>
    <w:rsid w:val="001B4437"/>
    <w:rsid w:val="001B4526"/>
    <w:rsid w:val="001B4B5B"/>
    <w:rsid w:val="001B517D"/>
    <w:rsid w:val="001B5BF7"/>
    <w:rsid w:val="001B6070"/>
    <w:rsid w:val="001B60E8"/>
    <w:rsid w:val="001B64D0"/>
    <w:rsid w:val="001B6760"/>
    <w:rsid w:val="001B68D3"/>
    <w:rsid w:val="001B6C74"/>
    <w:rsid w:val="001B6DF7"/>
    <w:rsid w:val="001B6E4F"/>
    <w:rsid w:val="001B6ED3"/>
    <w:rsid w:val="001B712F"/>
    <w:rsid w:val="001B72F1"/>
    <w:rsid w:val="001B742F"/>
    <w:rsid w:val="001B75A1"/>
    <w:rsid w:val="001B7824"/>
    <w:rsid w:val="001B79A0"/>
    <w:rsid w:val="001B7A9E"/>
    <w:rsid w:val="001B7B59"/>
    <w:rsid w:val="001B7CF6"/>
    <w:rsid w:val="001B7EA5"/>
    <w:rsid w:val="001C034A"/>
    <w:rsid w:val="001C0A71"/>
    <w:rsid w:val="001C0B72"/>
    <w:rsid w:val="001C0BE8"/>
    <w:rsid w:val="001C0DC8"/>
    <w:rsid w:val="001C0F96"/>
    <w:rsid w:val="001C1926"/>
    <w:rsid w:val="001C1A88"/>
    <w:rsid w:val="001C1BE9"/>
    <w:rsid w:val="001C1C0B"/>
    <w:rsid w:val="001C1C14"/>
    <w:rsid w:val="001C1D04"/>
    <w:rsid w:val="001C1D25"/>
    <w:rsid w:val="001C2528"/>
    <w:rsid w:val="001C2801"/>
    <w:rsid w:val="001C29D6"/>
    <w:rsid w:val="001C2C3F"/>
    <w:rsid w:val="001C2CFF"/>
    <w:rsid w:val="001C3518"/>
    <w:rsid w:val="001C3AE0"/>
    <w:rsid w:val="001C3E0C"/>
    <w:rsid w:val="001C435D"/>
    <w:rsid w:val="001C43EB"/>
    <w:rsid w:val="001C484B"/>
    <w:rsid w:val="001C4909"/>
    <w:rsid w:val="001C4EEC"/>
    <w:rsid w:val="001C50AC"/>
    <w:rsid w:val="001C557C"/>
    <w:rsid w:val="001C57C5"/>
    <w:rsid w:val="001C582D"/>
    <w:rsid w:val="001C5A9D"/>
    <w:rsid w:val="001C5E89"/>
    <w:rsid w:val="001C5F7A"/>
    <w:rsid w:val="001C64FE"/>
    <w:rsid w:val="001C6BC0"/>
    <w:rsid w:val="001C6D05"/>
    <w:rsid w:val="001C725F"/>
    <w:rsid w:val="001C776E"/>
    <w:rsid w:val="001C777D"/>
    <w:rsid w:val="001C78BB"/>
    <w:rsid w:val="001C795C"/>
    <w:rsid w:val="001C7A5A"/>
    <w:rsid w:val="001C7B74"/>
    <w:rsid w:val="001C7C5E"/>
    <w:rsid w:val="001C7C8F"/>
    <w:rsid w:val="001C7D2B"/>
    <w:rsid w:val="001C7D6B"/>
    <w:rsid w:val="001D0152"/>
    <w:rsid w:val="001D0194"/>
    <w:rsid w:val="001D03BA"/>
    <w:rsid w:val="001D0403"/>
    <w:rsid w:val="001D06FB"/>
    <w:rsid w:val="001D072F"/>
    <w:rsid w:val="001D073D"/>
    <w:rsid w:val="001D0878"/>
    <w:rsid w:val="001D0B0D"/>
    <w:rsid w:val="001D0B6D"/>
    <w:rsid w:val="001D0E78"/>
    <w:rsid w:val="001D11C4"/>
    <w:rsid w:val="001D13F6"/>
    <w:rsid w:val="001D1459"/>
    <w:rsid w:val="001D1616"/>
    <w:rsid w:val="001D16D1"/>
    <w:rsid w:val="001D1852"/>
    <w:rsid w:val="001D18FA"/>
    <w:rsid w:val="001D19A1"/>
    <w:rsid w:val="001D19E3"/>
    <w:rsid w:val="001D1B07"/>
    <w:rsid w:val="001D1E26"/>
    <w:rsid w:val="001D21A3"/>
    <w:rsid w:val="001D237F"/>
    <w:rsid w:val="001D242C"/>
    <w:rsid w:val="001D251B"/>
    <w:rsid w:val="001D257A"/>
    <w:rsid w:val="001D25FA"/>
    <w:rsid w:val="001D26A0"/>
    <w:rsid w:val="001D2A2C"/>
    <w:rsid w:val="001D2CBA"/>
    <w:rsid w:val="001D2CF1"/>
    <w:rsid w:val="001D2EF5"/>
    <w:rsid w:val="001D2FFD"/>
    <w:rsid w:val="001D302F"/>
    <w:rsid w:val="001D392C"/>
    <w:rsid w:val="001D3A9E"/>
    <w:rsid w:val="001D3AE8"/>
    <w:rsid w:val="001D3DA7"/>
    <w:rsid w:val="001D3E95"/>
    <w:rsid w:val="001D3F50"/>
    <w:rsid w:val="001D429C"/>
    <w:rsid w:val="001D42C9"/>
    <w:rsid w:val="001D4AAD"/>
    <w:rsid w:val="001D4CB9"/>
    <w:rsid w:val="001D4D41"/>
    <w:rsid w:val="001D4E5F"/>
    <w:rsid w:val="001D4EBE"/>
    <w:rsid w:val="001D53AB"/>
    <w:rsid w:val="001D570F"/>
    <w:rsid w:val="001D57B0"/>
    <w:rsid w:val="001D5851"/>
    <w:rsid w:val="001D5CD5"/>
    <w:rsid w:val="001D6415"/>
    <w:rsid w:val="001D643A"/>
    <w:rsid w:val="001D6720"/>
    <w:rsid w:val="001D6AEE"/>
    <w:rsid w:val="001D6C09"/>
    <w:rsid w:val="001D6DCE"/>
    <w:rsid w:val="001D6E51"/>
    <w:rsid w:val="001D6F25"/>
    <w:rsid w:val="001D7186"/>
    <w:rsid w:val="001D71B6"/>
    <w:rsid w:val="001D7C74"/>
    <w:rsid w:val="001D7E71"/>
    <w:rsid w:val="001E0199"/>
    <w:rsid w:val="001E02B0"/>
    <w:rsid w:val="001E05D8"/>
    <w:rsid w:val="001E072B"/>
    <w:rsid w:val="001E0844"/>
    <w:rsid w:val="001E0A19"/>
    <w:rsid w:val="001E0A65"/>
    <w:rsid w:val="001E0BF2"/>
    <w:rsid w:val="001E0CA3"/>
    <w:rsid w:val="001E10C2"/>
    <w:rsid w:val="001E10CE"/>
    <w:rsid w:val="001E10F3"/>
    <w:rsid w:val="001E1169"/>
    <w:rsid w:val="001E11EA"/>
    <w:rsid w:val="001E1262"/>
    <w:rsid w:val="001E1440"/>
    <w:rsid w:val="001E1482"/>
    <w:rsid w:val="001E175B"/>
    <w:rsid w:val="001E1BC3"/>
    <w:rsid w:val="001E1D12"/>
    <w:rsid w:val="001E212D"/>
    <w:rsid w:val="001E2133"/>
    <w:rsid w:val="001E232C"/>
    <w:rsid w:val="001E2598"/>
    <w:rsid w:val="001E27B0"/>
    <w:rsid w:val="001E2E56"/>
    <w:rsid w:val="001E2F6A"/>
    <w:rsid w:val="001E3014"/>
    <w:rsid w:val="001E38DE"/>
    <w:rsid w:val="001E39CF"/>
    <w:rsid w:val="001E3D59"/>
    <w:rsid w:val="001E43BC"/>
    <w:rsid w:val="001E4D08"/>
    <w:rsid w:val="001E4EBF"/>
    <w:rsid w:val="001E4FC8"/>
    <w:rsid w:val="001E5157"/>
    <w:rsid w:val="001E5329"/>
    <w:rsid w:val="001E53C1"/>
    <w:rsid w:val="001E54AF"/>
    <w:rsid w:val="001E5EEF"/>
    <w:rsid w:val="001E6259"/>
    <w:rsid w:val="001E65A9"/>
    <w:rsid w:val="001E66B3"/>
    <w:rsid w:val="001E6994"/>
    <w:rsid w:val="001E69FA"/>
    <w:rsid w:val="001E70E5"/>
    <w:rsid w:val="001E727F"/>
    <w:rsid w:val="001E76AE"/>
    <w:rsid w:val="001E7B03"/>
    <w:rsid w:val="001E7B96"/>
    <w:rsid w:val="001E7C6F"/>
    <w:rsid w:val="001E7DA0"/>
    <w:rsid w:val="001E7EE0"/>
    <w:rsid w:val="001F0334"/>
    <w:rsid w:val="001F04CA"/>
    <w:rsid w:val="001F04D1"/>
    <w:rsid w:val="001F0828"/>
    <w:rsid w:val="001F0AE9"/>
    <w:rsid w:val="001F0B90"/>
    <w:rsid w:val="001F0C01"/>
    <w:rsid w:val="001F0C42"/>
    <w:rsid w:val="001F1404"/>
    <w:rsid w:val="001F1A54"/>
    <w:rsid w:val="001F1AEA"/>
    <w:rsid w:val="001F1CB7"/>
    <w:rsid w:val="001F2202"/>
    <w:rsid w:val="001F27F8"/>
    <w:rsid w:val="001F2B05"/>
    <w:rsid w:val="001F2B42"/>
    <w:rsid w:val="001F2B57"/>
    <w:rsid w:val="001F2C69"/>
    <w:rsid w:val="001F2E26"/>
    <w:rsid w:val="001F3029"/>
    <w:rsid w:val="001F32DC"/>
    <w:rsid w:val="001F3502"/>
    <w:rsid w:val="001F3BDA"/>
    <w:rsid w:val="001F3CEF"/>
    <w:rsid w:val="001F3E2E"/>
    <w:rsid w:val="001F3E6A"/>
    <w:rsid w:val="001F4423"/>
    <w:rsid w:val="001F4683"/>
    <w:rsid w:val="001F4C23"/>
    <w:rsid w:val="001F4F79"/>
    <w:rsid w:val="001F5081"/>
    <w:rsid w:val="001F56BB"/>
    <w:rsid w:val="001F58BE"/>
    <w:rsid w:val="001F5911"/>
    <w:rsid w:val="001F59AE"/>
    <w:rsid w:val="001F5B53"/>
    <w:rsid w:val="001F5D37"/>
    <w:rsid w:val="001F60E4"/>
    <w:rsid w:val="001F63D3"/>
    <w:rsid w:val="001F665D"/>
    <w:rsid w:val="001F66F3"/>
    <w:rsid w:val="001F684F"/>
    <w:rsid w:val="001F68DD"/>
    <w:rsid w:val="001F6FD2"/>
    <w:rsid w:val="001F747D"/>
    <w:rsid w:val="001F757E"/>
    <w:rsid w:val="001F774A"/>
    <w:rsid w:val="001F77BA"/>
    <w:rsid w:val="001F77C2"/>
    <w:rsid w:val="001F7D74"/>
    <w:rsid w:val="001F7EA3"/>
    <w:rsid w:val="00200182"/>
    <w:rsid w:val="0020033F"/>
    <w:rsid w:val="00200361"/>
    <w:rsid w:val="00200AAB"/>
    <w:rsid w:val="00200FDC"/>
    <w:rsid w:val="002010C1"/>
    <w:rsid w:val="00201533"/>
    <w:rsid w:val="00201683"/>
    <w:rsid w:val="002019AD"/>
    <w:rsid w:val="00201FBD"/>
    <w:rsid w:val="002021C6"/>
    <w:rsid w:val="00202B61"/>
    <w:rsid w:val="00202B71"/>
    <w:rsid w:val="00202C07"/>
    <w:rsid w:val="00202D71"/>
    <w:rsid w:val="00202F6B"/>
    <w:rsid w:val="0020314B"/>
    <w:rsid w:val="00203261"/>
    <w:rsid w:val="00203B22"/>
    <w:rsid w:val="00203E76"/>
    <w:rsid w:val="00203EF0"/>
    <w:rsid w:val="002041FD"/>
    <w:rsid w:val="00204256"/>
    <w:rsid w:val="0020434E"/>
    <w:rsid w:val="002047D4"/>
    <w:rsid w:val="00204C7D"/>
    <w:rsid w:val="00204DB6"/>
    <w:rsid w:val="00204E11"/>
    <w:rsid w:val="00204E4B"/>
    <w:rsid w:val="0020532F"/>
    <w:rsid w:val="002058CB"/>
    <w:rsid w:val="00205A27"/>
    <w:rsid w:val="00205B6D"/>
    <w:rsid w:val="00205F97"/>
    <w:rsid w:val="002061BA"/>
    <w:rsid w:val="00206216"/>
    <w:rsid w:val="00206358"/>
    <w:rsid w:val="0020652F"/>
    <w:rsid w:val="00206535"/>
    <w:rsid w:val="00206556"/>
    <w:rsid w:val="00206908"/>
    <w:rsid w:val="00206AA4"/>
    <w:rsid w:val="00206AD1"/>
    <w:rsid w:val="00206BAF"/>
    <w:rsid w:val="00206FF9"/>
    <w:rsid w:val="002074B1"/>
    <w:rsid w:val="00207630"/>
    <w:rsid w:val="00207E8B"/>
    <w:rsid w:val="00210029"/>
    <w:rsid w:val="002104F7"/>
    <w:rsid w:val="00210999"/>
    <w:rsid w:val="002109EF"/>
    <w:rsid w:val="00210BFD"/>
    <w:rsid w:val="00210C47"/>
    <w:rsid w:val="00210F4D"/>
    <w:rsid w:val="002110F5"/>
    <w:rsid w:val="0021146F"/>
    <w:rsid w:val="002114EB"/>
    <w:rsid w:val="00211501"/>
    <w:rsid w:val="00211685"/>
    <w:rsid w:val="002116F2"/>
    <w:rsid w:val="0021171D"/>
    <w:rsid w:val="00211A1D"/>
    <w:rsid w:val="00211C2A"/>
    <w:rsid w:val="00211CCD"/>
    <w:rsid w:val="00211D30"/>
    <w:rsid w:val="002120BB"/>
    <w:rsid w:val="00212730"/>
    <w:rsid w:val="00212B93"/>
    <w:rsid w:val="00212CD8"/>
    <w:rsid w:val="00212F0B"/>
    <w:rsid w:val="0021319D"/>
    <w:rsid w:val="00213684"/>
    <w:rsid w:val="002137C1"/>
    <w:rsid w:val="002137F5"/>
    <w:rsid w:val="00213888"/>
    <w:rsid w:val="00213939"/>
    <w:rsid w:val="00213A61"/>
    <w:rsid w:val="00213AA7"/>
    <w:rsid w:val="00213C2E"/>
    <w:rsid w:val="00213ECF"/>
    <w:rsid w:val="002145B6"/>
    <w:rsid w:val="002145DA"/>
    <w:rsid w:val="0021460B"/>
    <w:rsid w:val="00214727"/>
    <w:rsid w:val="00214779"/>
    <w:rsid w:val="00214E56"/>
    <w:rsid w:val="0021508F"/>
    <w:rsid w:val="002152EE"/>
    <w:rsid w:val="002153ED"/>
    <w:rsid w:val="002154B7"/>
    <w:rsid w:val="00215876"/>
    <w:rsid w:val="002159A8"/>
    <w:rsid w:val="00215B24"/>
    <w:rsid w:val="00215B52"/>
    <w:rsid w:val="00215BCF"/>
    <w:rsid w:val="002165D8"/>
    <w:rsid w:val="00216A08"/>
    <w:rsid w:val="00216CC7"/>
    <w:rsid w:val="002171FD"/>
    <w:rsid w:val="00217666"/>
    <w:rsid w:val="00217754"/>
    <w:rsid w:val="002179A8"/>
    <w:rsid w:val="00217A7B"/>
    <w:rsid w:val="00217B15"/>
    <w:rsid w:val="00217D83"/>
    <w:rsid w:val="00217F9E"/>
    <w:rsid w:val="00220178"/>
    <w:rsid w:val="00220445"/>
    <w:rsid w:val="00220488"/>
    <w:rsid w:val="0022051C"/>
    <w:rsid w:val="0022058D"/>
    <w:rsid w:val="002208EB"/>
    <w:rsid w:val="00220A5A"/>
    <w:rsid w:val="00220B4E"/>
    <w:rsid w:val="0022155C"/>
    <w:rsid w:val="00221B8E"/>
    <w:rsid w:val="0022227F"/>
    <w:rsid w:val="00222331"/>
    <w:rsid w:val="0022244B"/>
    <w:rsid w:val="002225EB"/>
    <w:rsid w:val="00222608"/>
    <w:rsid w:val="00222C9B"/>
    <w:rsid w:val="00222E8E"/>
    <w:rsid w:val="00222FEC"/>
    <w:rsid w:val="002232AE"/>
    <w:rsid w:val="00223490"/>
    <w:rsid w:val="00223699"/>
    <w:rsid w:val="002238DC"/>
    <w:rsid w:val="00223A58"/>
    <w:rsid w:val="00223C79"/>
    <w:rsid w:val="00223E78"/>
    <w:rsid w:val="00223EB3"/>
    <w:rsid w:val="0022404D"/>
    <w:rsid w:val="002240CB"/>
    <w:rsid w:val="00224766"/>
    <w:rsid w:val="00224AF9"/>
    <w:rsid w:val="00224DD4"/>
    <w:rsid w:val="00224E29"/>
    <w:rsid w:val="00225022"/>
    <w:rsid w:val="002257D9"/>
    <w:rsid w:val="00225A97"/>
    <w:rsid w:val="00225D71"/>
    <w:rsid w:val="00225E92"/>
    <w:rsid w:val="0022607B"/>
    <w:rsid w:val="00226099"/>
    <w:rsid w:val="0022636A"/>
    <w:rsid w:val="0022669C"/>
    <w:rsid w:val="0022676A"/>
    <w:rsid w:val="00226838"/>
    <w:rsid w:val="00226BC6"/>
    <w:rsid w:val="0022706B"/>
    <w:rsid w:val="00227142"/>
    <w:rsid w:val="00227249"/>
    <w:rsid w:val="002273DB"/>
    <w:rsid w:val="002273F0"/>
    <w:rsid w:val="00227A08"/>
    <w:rsid w:val="00227AB3"/>
    <w:rsid w:val="00227EA0"/>
    <w:rsid w:val="00227F2A"/>
    <w:rsid w:val="0023000C"/>
    <w:rsid w:val="00230066"/>
    <w:rsid w:val="00230182"/>
    <w:rsid w:val="002301C0"/>
    <w:rsid w:val="00230310"/>
    <w:rsid w:val="00230725"/>
    <w:rsid w:val="002308E0"/>
    <w:rsid w:val="00230A65"/>
    <w:rsid w:val="00230BAB"/>
    <w:rsid w:val="00230F8F"/>
    <w:rsid w:val="002310A9"/>
    <w:rsid w:val="002312D7"/>
    <w:rsid w:val="00231AE7"/>
    <w:rsid w:val="00232256"/>
    <w:rsid w:val="002329F9"/>
    <w:rsid w:val="00232A22"/>
    <w:rsid w:val="00232BB2"/>
    <w:rsid w:val="00232BBB"/>
    <w:rsid w:val="00232E7A"/>
    <w:rsid w:val="00232FB8"/>
    <w:rsid w:val="00232FEB"/>
    <w:rsid w:val="0023326A"/>
    <w:rsid w:val="00233444"/>
    <w:rsid w:val="002335AA"/>
    <w:rsid w:val="002335FE"/>
    <w:rsid w:val="002337D3"/>
    <w:rsid w:val="00233F2C"/>
    <w:rsid w:val="002342FE"/>
    <w:rsid w:val="002345A7"/>
    <w:rsid w:val="002346FA"/>
    <w:rsid w:val="00234A1E"/>
    <w:rsid w:val="00234CA2"/>
    <w:rsid w:val="00234F82"/>
    <w:rsid w:val="00235136"/>
    <w:rsid w:val="0023529B"/>
    <w:rsid w:val="002353D9"/>
    <w:rsid w:val="002355FF"/>
    <w:rsid w:val="00235A2F"/>
    <w:rsid w:val="00235B75"/>
    <w:rsid w:val="00235D1A"/>
    <w:rsid w:val="002362CE"/>
    <w:rsid w:val="002367F9"/>
    <w:rsid w:val="00236912"/>
    <w:rsid w:val="0023694C"/>
    <w:rsid w:val="00236B22"/>
    <w:rsid w:val="00236B45"/>
    <w:rsid w:val="00236CDC"/>
    <w:rsid w:val="00236EFC"/>
    <w:rsid w:val="0023708C"/>
    <w:rsid w:val="0023750A"/>
    <w:rsid w:val="00237586"/>
    <w:rsid w:val="00237DE9"/>
    <w:rsid w:val="00240463"/>
    <w:rsid w:val="0024086F"/>
    <w:rsid w:val="00240D98"/>
    <w:rsid w:val="00240F42"/>
    <w:rsid w:val="00240FAC"/>
    <w:rsid w:val="00241129"/>
    <w:rsid w:val="00241187"/>
    <w:rsid w:val="00241429"/>
    <w:rsid w:val="00241C0B"/>
    <w:rsid w:val="00241C57"/>
    <w:rsid w:val="00241C7F"/>
    <w:rsid w:val="00241F7D"/>
    <w:rsid w:val="00242278"/>
    <w:rsid w:val="00242338"/>
    <w:rsid w:val="00242519"/>
    <w:rsid w:val="00242553"/>
    <w:rsid w:val="00242A65"/>
    <w:rsid w:val="00242F52"/>
    <w:rsid w:val="002434FE"/>
    <w:rsid w:val="00243568"/>
    <w:rsid w:val="002436FB"/>
    <w:rsid w:val="00243755"/>
    <w:rsid w:val="00243A75"/>
    <w:rsid w:val="00243AC8"/>
    <w:rsid w:val="00243E07"/>
    <w:rsid w:val="00243E11"/>
    <w:rsid w:val="00243FB5"/>
    <w:rsid w:val="00244137"/>
    <w:rsid w:val="002442F1"/>
    <w:rsid w:val="00244910"/>
    <w:rsid w:val="00244B47"/>
    <w:rsid w:val="00245343"/>
    <w:rsid w:val="00245A59"/>
    <w:rsid w:val="00245E6C"/>
    <w:rsid w:val="00245FD1"/>
    <w:rsid w:val="00246079"/>
    <w:rsid w:val="002461D8"/>
    <w:rsid w:val="00246251"/>
    <w:rsid w:val="00246323"/>
    <w:rsid w:val="002463AE"/>
    <w:rsid w:val="00246614"/>
    <w:rsid w:val="002467E6"/>
    <w:rsid w:val="00246C5F"/>
    <w:rsid w:val="00246C70"/>
    <w:rsid w:val="00246FBA"/>
    <w:rsid w:val="00247560"/>
    <w:rsid w:val="002475C8"/>
    <w:rsid w:val="002476CD"/>
    <w:rsid w:val="00247864"/>
    <w:rsid w:val="002479F7"/>
    <w:rsid w:val="00250338"/>
    <w:rsid w:val="002504E7"/>
    <w:rsid w:val="00250A5B"/>
    <w:rsid w:val="00250C87"/>
    <w:rsid w:val="00250D12"/>
    <w:rsid w:val="00250D98"/>
    <w:rsid w:val="00251412"/>
    <w:rsid w:val="0025143A"/>
    <w:rsid w:val="00251667"/>
    <w:rsid w:val="0025181F"/>
    <w:rsid w:val="00251C04"/>
    <w:rsid w:val="00251C2E"/>
    <w:rsid w:val="00251DB8"/>
    <w:rsid w:val="002520C1"/>
    <w:rsid w:val="00252645"/>
    <w:rsid w:val="00252A6B"/>
    <w:rsid w:val="00252B62"/>
    <w:rsid w:val="00252E1C"/>
    <w:rsid w:val="0025305C"/>
    <w:rsid w:val="002532D9"/>
    <w:rsid w:val="00253324"/>
    <w:rsid w:val="00253566"/>
    <w:rsid w:val="00253570"/>
    <w:rsid w:val="00253592"/>
    <w:rsid w:val="00253848"/>
    <w:rsid w:val="00253BE5"/>
    <w:rsid w:val="00253BEC"/>
    <w:rsid w:val="00253D12"/>
    <w:rsid w:val="00253DBB"/>
    <w:rsid w:val="00253E40"/>
    <w:rsid w:val="00253F1B"/>
    <w:rsid w:val="00253FC9"/>
    <w:rsid w:val="00254051"/>
    <w:rsid w:val="00254130"/>
    <w:rsid w:val="00254A7F"/>
    <w:rsid w:val="00254BBD"/>
    <w:rsid w:val="00254F08"/>
    <w:rsid w:val="00255520"/>
    <w:rsid w:val="0025553C"/>
    <w:rsid w:val="0025555A"/>
    <w:rsid w:val="002558E9"/>
    <w:rsid w:val="00255D86"/>
    <w:rsid w:val="00255F98"/>
    <w:rsid w:val="00256BAE"/>
    <w:rsid w:val="00257105"/>
    <w:rsid w:val="0025727B"/>
    <w:rsid w:val="00257624"/>
    <w:rsid w:val="002576CE"/>
    <w:rsid w:val="00257822"/>
    <w:rsid w:val="002578EA"/>
    <w:rsid w:val="00257AC6"/>
    <w:rsid w:val="00257DC1"/>
    <w:rsid w:val="00260065"/>
    <w:rsid w:val="0026038E"/>
    <w:rsid w:val="0026069D"/>
    <w:rsid w:val="0026077A"/>
    <w:rsid w:val="002609EC"/>
    <w:rsid w:val="00260B40"/>
    <w:rsid w:val="00260B5F"/>
    <w:rsid w:val="00260BD0"/>
    <w:rsid w:val="00260E7B"/>
    <w:rsid w:val="00260F2B"/>
    <w:rsid w:val="0026133E"/>
    <w:rsid w:val="00261609"/>
    <w:rsid w:val="00261761"/>
    <w:rsid w:val="0026197A"/>
    <w:rsid w:val="00261EEC"/>
    <w:rsid w:val="00262442"/>
    <w:rsid w:val="00262714"/>
    <w:rsid w:val="0026271F"/>
    <w:rsid w:val="00262BA8"/>
    <w:rsid w:val="00262F3D"/>
    <w:rsid w:val="00262F8C"/>
    <w:rsid w:val="0026338D"/>
    <w:rsid w:val="00263465"/>
    <w:rsid w:val="002636B4"/>
    <w:rsid w:val="002637FD"/>
    <w:rsid w:val="00263F58"/>
    <w:rsid w:val="00264238"/>
    <w:rsid w:val="002645A2"/>
    <w:rsid w:val="00264B00"/>
    <w:rsid w:val="00265176"/>
    <w:rsid w:val="00265319"/>
    <w:rsid w:val="0026563B"/>
    <w:rsid w:val="00265654"/>
    <w:rsid w:val="002656CF"/>
    <w:rsid w:val="00265777"/>
    <w:rsid w:val="002658EC"/>
    <w:rsid w:val="00265CE4"/>
    <w:rsid w:val="0026605E"/>
    <w:rsid w:val="00266257"/>
    <w:rsid w:val="00266F8C"/>
    <w:rsid w:val="00267192"/>
    <w:rsid w:val="0026732B"/>
    <w:rsid w:val="002674A9"/>
    <w:rsid w:val="002679FC"/>
    <w:rsid w:val="00267A23"/>
    <w:rsid w:val="00267E9C"/>
    <w:rsid w:val="00270CCC"/>
    <w:rsid w:val="00270DCD"/>
    <w:rsid w:val="00270DD7"/>
    <w:rsid w:val="00271075"/>
    <w:rsid w:val="0027112D"/>
    <w:rsid w:val="0027121A"/>
    <w:rsid w:val="002712D7"/>
    <w:rsid w:val="0027161E"/>
    <w:rsid w:val="0027168C"/>
    <w:rsid w:val="00271C34"/>
    <w:rsid w:val="00271D18"/>
    <w:rsid w:val="00271F35"/>
    <w:rsid w:val="00271F73"/>
    <w:rsid w:val="002720CB"/>
    <w:rsid w:val="00272390"/>
    <w:rsid w:val="002725A0"/>
    <w:rsid w:val="002725E5"/>
    <w:rsid w:val="002727DB"/>
    <w:rsid w:val="002727DC"/>
    <w:rsid w:val="002727E3"/>
    <w:rsid w:val="00272DEF"/>
    <w:rsid w:val="0027318C"/>
    <w:rsid w:val="0027357B"/>
    <w:rsid w:val="0027358F"/>
    <w:rsid w:val="002739B7"/>
    <w:rsid w:val="00273B0A"/>
    <w:rsid w:val="00273EB9"/>
    <w:rsid w:val="00273F91"/>
    <w:rsid w:val="00273FEB"/>
    <w:rsid w:val="0027436C"/>
    <w:rsid w:val="0027444C"/>
    <w:rsid w:val="0027458E"/>
    <w:rsid w:val="002746CB"/>
    <w:rsid w:val="002747AB"/>
    <w:rsid w:val="00274A32"/>
    <w:rsid w:val="00274A48"/>
    <w:rsid w:val="00274B00"/>
    <w:rsid w:val="00274DD5"/>
    <w:rsid w:val="00275427"/>
    <w:rsid w:val="002758E8"/>
    <w:rsid w:val="0027623D"/>
    <w:rsid w:val="00276C1B"/>
    <w:rsid w:val="00276EFE"/>
    <w:rsid w:val="00276F31"/>
    <w:rsid w:val="002771CE"/>
    <w:rsid w:val="002773FA"/>
    <w:rsid w:val="002778FF"/>
    <w:rsid w:val="00277D07"/>
    <w:rsid w:val="00277DC9"/>
    <w:rsid w:val="00277ECB"/>
    <w:rsid w:val="00277EE3"/>
    <w:rsid w:val="002802A6"/>
    <w:rsid w:val="00280489"/>
    <w:rsid w:val="002804A2"/>
    <w:rsid w:val="00280C35"/>
    <w:rsid w:val="00280E7D"/>
    <w:rsid w:val="00280F1D"/>
    <w:rsid w:val="00281057"/>
    <w:rsid w:val="002812AC"/>
    <w:rsid w:val="002815BD"/>
    <w:rsid w:val="002816A7"/>
    <w:rsid w:val="00281AFF"/>
    <w:rsid w:val="00281CDA"/>
    <w:rsid w:val="00281D34"/>
    <w:rsid w:val="00281EC7"/>
    <w:rsid w:val="00282679"/>
    <w:rsid w:val="0028290A"/>
    <w:rsid w:val="0028299C"/>
    <w:rsid w:val="00282AE2"/>
    <w:rsid w:val="00282B69"/>
    <w:rsid w:val="00282B8B"/>
    <w:rsid w:val="00282DA3"/>
    <w:rsid w:val="00282E75"/>
    <w:rsid w:val="00282E9A"/>
    <w:rsid w:val="0028320E"/>
    <w:rsid w:val="0028338F"/>
    <w:rsid w:val="002837A9"/>
    <w:rsid w:val="002837CB"/>
    <w:rsid w:val="00283A02"/>
    <w:rsid w:val="00283B44"/>
    <w:rsid w:val="00283B5E"/>
    <w:rsid w:val="00283BA4"/>
    <w:rsid w:val="00283D88"/>
    <w:rsid w:val="00283F3E"/>
    <w:rsid w:val="002843CA"/>
    <w:rsid w:val="0028472E"/>
    <w:rsid w:val="002847F7"/>
    <w:rsid w:val="002848E0"/>
    <w:rsid w:val="00284A68"/>
    <w:rsid w:val="00284DDA"/>
    <w:rsid w:val="00284E0F"/>
    <w:rsid w:val="00285027"/>
    <w:rsid w:val="002851A5"/>
    <w:rsid w:val="00285379"/>
    <w:rsid w:val="002854AC"/>
    <w:rsid w:val="002855B7"/>
    <w:rsid w:val="00285632"/>
    <w:rsid w:val="00285A7A"/>
    <w:rsid w:val="002861C0"/>
    <w:rsid w:val="00286900"/>
    <w:rsid w:val="00286923"/>
    <w:rsid w:val="00286D1C"/>
    <w:rsid w:val="00286E10"/>
    <w:rsid w:val="00287300"/>
    <w:rsid w:val="00287537"/>
    <w:rsid w:val="0028758D"/>
    <w:rsid w:val="002877BC"/>
    <w:rsid w:val="00287A08"/>
    <w:rsid w:val="00287D41"/>
    <w:rsid w:val="00290198"/>
    <w:rsid w:val="002901EC"/>
    <w:rsid w:val="00290769"/>
    <w:rsid w:val="00290B07"/>
    <w:rsid w:val="00290C97"/>
    <w:rsid w:val="00290C9C"/>
    <w:rsid w:val="00290EA0"/>
    <w:rsid w:val="002910A6"/>
    <w:rsid w:val="0029129B"/>
    <w:rsid w:val="0029152A"/>
    <w:rsid w:val="00291823"/>
    <w:rsid w:val="0029198C"/>
    <w:rsid w:val="00291DB4"/>
    <w:rsid w:val="00291EB3"/>
    <w:rsid w:val="002923F7"/>
    <w:rsid w:val="00292945"/>
    <w:rsid w:val="00292B5F"/>
    <w:rsid w:val="00292BB8"/>
    <w:rsid w:val="00292C9C"/>
    <w:rsid w:val="00292E16"/>
    <w:rsid w:val="00292FC2"/>
    <w:rsid w:val="002932BE"/>
    <w:rsid w:val="002932D5"/>
    <w:rsid w:val="00293482"/>
    <w:rsid w:val="00293555"/>
    <w:rsid w:val="00293C40"/>
    <w:rsid w:val="002946F1"/>
    <w:rsid w:val="002947A3"/>
    <w:rsid w:val="00294E46"/>
    <w:rsid w:val="0029556A"/>
    <w:rsid w:val="00295F1D"/>
    <w:rsid w:val="0029655E"/>
    <w:rsid w:val="00296879"/>
    <w:rsid w:val="00296CCF"/>
    <w:rsid w:val="00296D7C"/>
    <w:rsid w:val="00297085"/>
    <w:rsid w:val="002970FF"/>
    <w:rsid w:val="002975DC"/>
    <w:rsid w:val="0029795D"/>
    <w:rsid w:val="00297F9E"/>
    <w:rsid w:val="002A0036"/>
    <w:rsid w:val="002A03EC"/>
    <w:rsid w:val="002A05DB"/>
    <w:rsid w:val="002A0620"/>
    <w:rsid w:val="002A074B"/>
    <w:rsid w:val="002A0966"/>
    <w:rsid w:val="002A09F0"/>
    <w:rsid w:val="002A09F5"/>
    <w:rsid w:val="002A12BE"/>
    <w:rsid w:val="002A140E"/>
    <w:rsid w:val="002A149B"/>
    <w:rsid w:val="002A14F9"/>
    <w:rsid w:val="002A15D0"/>
    <w:rsid w:val="002A1900"/>
    <w:rsid w:val="002A1CE9"/>
    <w:rsid w:val="002A1E42"/>
    <w:rsid w:val="002A1F0E"/>
    <w:rsid w:val="002A221A"/>
    <w:rsid w:val="002A227C"/>
    <w:rsid w:val="002A2469"/>
    <w:rsid w:val="002A2492"/>
    <w:rsid w:val="002A2878"/>
    <w:rsid w:val="002A2AC7"/>
    <w:rsid w:val="002A2B17"/>
    <w:rsid w:val="002A2C3E"/>
    <w:rsid w:val="002A31E8"/>
    <w:rsid w:val="002A3382"/>
    <w:rsid w:val="002A3803"/>
    <w:rsid w:val="002A382C"/>
    <w:rsid w:val="002A3BDF"/>
    <w:rsid w:val="002A3F5B"/>
    <w:rsid w:val="002A3F6F"/>
    <w:rsid w:val="002A3FB8"/>
    <w:rsid w:val="002A4413"/>
    <w:rsid w:val="002A4D0C"/>
    <w:rsid w:val="002A4EDC"/>
    <w:rsid w:val="002A57A5"/>
    <w:rsid w:val="002A57E2"/>
    <w:rsid w:val="002A59B6"/>
    <w:rsid w:val="002A5E2E"/>
    <w:rsid w:val="002A62E8"/>
    <w:rsid w:val="002A64E6"/>
    <w:rsid w:val="002A64FC"/>
    <w:rsid w:val="002A6950"/>
    <w:rsid w:val="002A69AD"/>
    <w:rsid w:val="002A6A7E"/>
    <w:rsid w:val="002A6B5E"/>
    <w:rsid w:val="002A6CE5"/>
    <w:rsid w:val="002A7032"/>
    <w:rsid w:val="002A7550"/>
    <w:rsid w:val="002A7814"/>
    <w:rsid w:val="002A7B85"/>
    <w:rsid w:val="002A7F3D"/>
    <w:rsid w:val="002B008F"/>
    <w:rsid w:val="002B039A"/>
    <w:rsid w:val="002B0C68"/>
    <w:rsid w:val="002B0E7B"/>
    <w:rsid w:val="002B0ED1"/>
    <w:rsid w:val="002B0F8A"/>
    <w:rsid w:val="002B162C"/>
    <w:rsid w:val="002B1786"/>
    <w:rsid w:val="002B1D8F"/>
    <w:rsid w:val="002B1EC4"/>
    <w:rsid w:val="002B220F"/>
    <w:rsid w:val="002B22C7"/>
    <w:rsid w:val="002B23EA"/>
    <w:rsid w:val="002B24D3"/>
    <w:rsid w:val="002B299D"/>
    <w:rsid w:val="002B29FF"/>
    <w:rsid w:val="002B2A1C"/>
    <w:rsid w:val="002B2ACC"/>
    <w:rsid w:val="002B2B8D"/>
    <w:rsid w:val="002B2CBF"/>
    <w:rsid w:val="002B2CF6"/>
    <w:rsid w:val="002B2D56"/>
    <w:rsid w:val="002B2DB8"/>
    <w:rsid w:val="002B2FE6"/>
    <w:rsid w:val="002B30CA"/>
    <w:rsid w:val="002B3508"/>
    <w:rsid w:val="002B3839"/>
    <w:rsid w:val="002B38A6"/>
    <w:rsid w:val="002B3B8E"/>
    <w:rsid w:val="002B3BC8"/>
    <w:rsid w:val="002B3C68"/>
    <w:rsid w:val="002B3F7C"/>
    <w:rsid w:val="002B4D24"/>
    <w:rsid w:val="002B4F5C"/>
    <w:rsid w:val="002B5101"/>
    <w:rsid w:val="002B598F"/>
    <w:rsid w:val="002B5BE9"/>
    <w:rsid w:val="002B5C07"/>
    <w:rsid w:val="002B5D1C"/>
    <w:rsid w:val="002B5EA9"/>
    <w:rsid w:val="002B6325"/>
    <w:rsid w:val="002B6584"/>
    <w:rsid w:val="002B6779"/>
    <w:rsid w:val="002B683A"/>
    <w:rsid w:val="002B6A18"/>
    <w:rsid w:val="002B6A5F"/>
    <w:rsid w:val="002B6BC9"/>
    <w:rsid w:val="002B6D7B"/>
    <w:rsid w:val="002B79F7"/>
    <w:rsid w:val="002B7FFA"/>
    <w:rsid w:val="002C013B"/>
    <w:rsid w:val="002C0345"/>
    <w:rsid w:val="002C09E8"/>
    <w:rsid w:val="002C12DF"/>
    <w:rsid w:val="002C16A1"/>
    <w:rsid w:val="002C177B"/>
    <w:rsid w:val="002C193A"/>
    <w:rsid w:val="002C1F7B"/>
    <w:rsid w:val="002C20E3"/>
    <w:rsid w:val="002C237F"/>
    <w:rsid w:val="002C2418"/>
    <w:rsid w:val="002C2529"/>
    <w:rsid w:val="002C25D8"/>
    <w:rsid w:val="002C26B3"/>
    <w:rsid w:val="002C2738"/>
    <w:rsid w:val="002C2AA3"/>
    <w:rsid w:val="002C2F57"/>
    <w:rsid w:val="002C2FAF"/>
    <w:rsid w:val="002C3396"/>
    <w:rsid w:val="002C340E"/>
    <w:rsid w:val="002C35D7"/>
    <w:rsid w:val="002C35E2"/>
    <w:rsid w:val="002C3665"/>
    <w:rsid w:val="002C3701"/>
    <w:rsid w:val="002C3F1A"/>
    <w:rsid w:val="002C415B"/>
    <w:rsid w:val="002C4935"/>
    <w:rsid w:val="002C4B0A"/>
    <w:rsid w:val="002C4D92"/>
    <w:rsid w:val="002C4F73"/>
    <w:rsid w:val="002C51EB"/>
    <w:rsid w:val="002C5346"/>
    <w:rsid w:val="002C589F"/>
    <w:rsid w:val="002C591D"/>
    <w:rsid w:val="002C5BF8"/>
    <w:rsid w:val="002C5CEC"/>
    <w:rsid w:val="002C5F0E"/>
    <w:rsid w:val="002C6657"/>
    <w:rsid w:val="002C6813"/>
    <w:rsid w:val="002C68ED"/>
    <w:rsid w:val="002C6A6D"/>
    <w:rsid w:val="002C6B9C"/>
    <w:rsid w:val="002C6E04"/>
    <w:rsid w:val="002C7039"/>
    <w:rsid w:val="002C7058"/>
    <w:rsid w:val="002C72A9"/>
    <w:rsid w:val="002C7359"/>
    <w:rsid w:val="002C74FC"/>
    <w:rsid w:val="002C7698"/>
    <w:rsid w:val="002C7894"/>
    <w:rsid w:val="002C7D67"/>
    <w:rsid w:val="002D051A"/>
    <w:rsid w:val="002D0CA7"/>
    <w:rsid w:val="002D0E55"/>
    <w:rsid w:val="002D0F28"/>
    <w:rsid w:val="002D133D"/>
    <w:rsid w:val="002D1AFC"/>
    <w:rsid w:val="002D1B91"/>
    <w:rsid w:val="002D1DCB"/>
    <w:rsid w:val="002D2272"/>
    <w:rsid w:val="002D25D9"/>
    <w:rsid w:val="002D27E5"/>
    <w:rsid w:val="002D27F9"/>
    <w:rsid w:val="002D2956"/>
    <w:rsid w:val="002D2AE3"/>
    <w:rsid w:val="002D2C0C"/>
    <w:rsid w:val="002D2E7E"/>
    <w:rsid w:val="002D39E2"/>
    <w:rsid w:val="002D3B87"/>
    <w:rsid w:val="002D3C3E"/>
    <w:rsid w:val="002D3D38"/>
    <w:rsid w:val="002D3DA4"/>
    <w:rsid w:val="002D3FEE"/>
    <w:rsid w:val="002D4357"/>
    <w:rsid w:val="002D44D0"/>
    <w:rsid w:val="002D543B"/>
    <w:rsid w:val="002D56F0"/>
    <w:rsid w:val="002D5A33"/>
    <w:rsid w:val="002D6082"/>
    <w:rsid w:val="002D6285"/>
    <w:rsid w:val="002D6336"/>
    <w:rsid w:val="002D636E"/>
    <w:rsid w:val="002D6502"/>
    <w:rsid w:val="002D6BBE"/>
    <w:rsid w:val="002D6CB5"/>
    <w:rsid w:val="002D6D7B"/>
    <w:rsid w:val="002D6D85"/>
    <w:rsid w:val="002D6F05"/>
    <w:rsid w:val="002D6F71"/>
    <w:rsid w:val="002D7594"/>
    <w:rsid w:val="002D79C6"/>
    <w:rsid w:val="002D7D90"/>
    <w:rsid w:val="002D7F63"/>
    <w:rsid w:val="002E02E5"/>
    <w:rsid w:val="002E03AC"/>
    <w:rsid w:val="002E045B"/>
    <w:rsid w:val="002E05AA"/>
    <w:rsid w:val="002E0F3E"/>
    <w:rsid w:val="002E0FAA"/>
    <w:rsid w:val="002E1B06"/>
    <w:rsid w:val="002E1B7D"/>
    <w:rsid w:val="002E1C8D"/>
    <w:rsid w:val="002E1E6A"/>
    <w:rsid w:val="002E2B50"/>
    <w:rsid w:val="002E2B70"/>
    <w:rsid w:val="002E2D43"/>
    <w:rsid w:val="002E2EBD"/>
    <w:rsid w:val="002E317E"/>
    <w:rsid w:val="002E31B0"/>
    <w:rsid w:val="002E34C8"/>
    <w:rsid w:val="002E37F0"/>
    <w:rsid w:val="002E3DBA"/>
    <w:rsid w:val="002E412E"/>
    <w:rsid w:val="002E4178"/>
    <w:rsid w:val="002E41FE"/>
    <w:rsid w:val="002E48E7"/>
    <w:rsid w:val="002E4A35"/>
    <w:rsid w:val="002E4CB3"/>
    <w:rsid w:val="002E51A6"/>
    <w:rsid w:val="002E5401"/>
    <w:rsid w:val="002E5AA4"/>
    <w:rsid w:val="002E5CA9"/>
    <w:rsid w:val="002E5CB5"/>
    <w:rsid w:val="002E5E55"/>
    <w:rsid w:val="002E5E99"/>
    <w:rsid w:val="002E5F10"/>
    <w:rsid w:val="002E604E"/>
    <w:rsid w:val="002E6193"/>
    <w:rsid w:val="002E61D9"/>
    <w:rsid w:val="002E61DA"/>
    <w:rsid w:val="002E63C6"/>
    <w:rsid w:val="002E6763"/>
    <w:rsid w:val="002E681C"/>
    <w:rsid w:val="002E6979"/>
    <w:rsid w:val="002E6CFE"/>
    <w:rsid w:val="002E6E2B"/>
    <w:rsid w:val="002E6E88"/>
    <w:rsid w:val="002E7CBA"/>
    <w:rsid w:val="002E7D1B"/>
    <w:rsid w:val="002F053D"/>
    <w:rsid w:val="002F095A"/>
    <w:rsid w:val="002F0A3C"/>
    <w:rsid w:val="002F0A5E"/>
    <w:rsid w:val="002F1226"/>
    <w:rsid w:val="002F1429"/>
    <w:rsid w:val="002F182D"/>
    <w:rsid w:val="002F1A96"/>
    <w:rsid w:val="002F1F99"/>
    <w:rsid w:val="002F249F"/>
    <w:rsid w:val="002F2751"/>
    <w:rsid w:val="002F345B"/>
    <w:rsid w:val="002F3816"/>
    <w:rsid w:val="002F3EAF"/>
    <w:rsid w:val="002F3EEC"/>
    <w:rsid w:val="002F3F77"/>
    <w:rsid w:val="002F40D3"/>
    <w:rsid w:val="002F411E"/>
    <w:rsid w:val="002F4850"/>
    <w:rsid w:val="002F4D39"/>
    <w:rsid w:val="002F4DF1"/>
    <w:rsid w:val="002F5422"/>
    <w:rsid w:val="002F5A7F"/>
    <w:rsid w:val="002F6434"/>
    <w:rsid w:val="002F64F3"/>
    <w:rsid w:val="002F65A5"/>
    <w:rsid w:val="002F6630"/>
    <w:rsid w:val="002F66F9"/>
    <w:rsid w:val="002F6843"/>
    <w:rsid w:val="002F6952"/>
    <w:rsid w:val="002F695B"/>
    <w:rsid w:val="002F7155"/>
    <w:rsid w:val="002F7198"/>
    <w:rsid w:val="002F7267"/>
    <w:rsid w:val="002F7542"/>
    <w:rsid w:val="002F75DA"/>
    <w:rsid w:val="002F7CE3"/>
    <w:rsid w:val="002F7D4A"/>
    <w:rsid w:val="002F7E5F"/>
    <w:rsid w:val="002F7F8F"/>
    <w:rsid w:val="003006B2"/>
    <w:rsid w:val="003009FF"/>
    <w:rsid w:val="00300B04"/>
    <w:rsid w:val="00300E29"/>
    <w:rsid w:val="00301207"/>
    <w:rsid w:val="00301685"/>
    <w:rsid w:val="00301B0D"/>
    <w:rsid w:val="0030207A"/>
    <w:rsid w:val="003020AA"/>
    <w:rsid w:val="003020D0"/>
    <w:rsid w:val="00302B8B"/>
    <w:rsid w:val="003032E2"/>
    <w:rsid w:val="003037DA"/>
    <w:rsid w:val="00303A08"/>
    <w:rsid w:val="00303A5D"/>
    <w:rsid w:val="00303C7F"/>
    <w:rsid w:val="00303FB6"/>
    <w:rsid w:val="00304190"/>
    <w:rsid w:val="003044A8"/>
    <w:rsid w:val="00304AA2"/>
    <w:rsid w:val="0030519A"/>
    <w:rsid w:val="003051AC"/>
    <w:rsid w:val="0030521B"/>
    <w:rsid w:val="00305799"/>
    <w:rsid w:val="00305A5A"/>
    <w:rsid w:val="00305E73"/>
    <w:rsid w:val="00306ACA"/>
    <w:rsid w:val="00306E93"/>
    <w:rsid w:val="00306EC2"/>
    <w:rsid w:val="00307A98"/>
    <w:rsid w:val="00307C30"/>
    <w:rsid w:val="00307CCE"/>
    <w:rsid w:val="00307F84"/>
    <w:rsid w:val="00310411"/>
    <w:rsid w:val="00310487"/>
    <w:rsid w:val="00310828"/>
    <w:rsid w:val="0031092D"/>
    <w:rsid w:val="00310AF4"/>
    <w:rsid w:val="00310C04"/>
    <w:rsid w:val="0031164C"/>
    <w:rsid w:val="00311D6B"/>
    <w:rsid w:val="00311DCB"/>
    <w:rsid w:val="00311E0B"/>
    <w:rsid w:val="00311E53"/>
    <w:rsid w:val="00312091"/>
    <w:rsid w:val="003121B9"/>
    <w:rsid w:val="00312263"/>
    <w:rsid w:val="003126E1"/>
    <w:rsid w:val="00312A40"/>
    <w:rsid w:val="00312F19"/>
    <w:rsid w:val="00313012"/>
    <w:rsid w:val="0031318A"/>
    <w:rsid w:val="003131FA"/>
    <w:rsid w:val="00313239"/>
    <w:rsid w:val="0031333A"/>
    <w:rsid w:val="00313425"/>
    <w:rsid w:val="00313625"/>
    <w:rsid w:val="00313663"/>
    <w:rsid w:val="003136A3"/>
    <w:rsid w:val="003137F9"/>
    <w:rsid w:val="00313A8A"/>
    <w:rsid w:val="00313AFF"/>
    <w:rsid w:val="00313CF7"/>
    <w:rsid w:val="00314219"/>
    <w:rsid w:val="00314A08"/>
    <w:rsid w:val="003151A0"/>
    <w:rsid w:val="0031534F"/>
    <w:rsid w:val="003154E9"/>
    <w:rsid w:val="0031554D"/>
    <w:rsid w:val="00315698"/>
    <w:rsid w:val="003158E7"/>
    <w:rsid w:val="00315A9E"/>
    <w:rsid w:val="00315CB6"/>
    <w:rsid w:val="00315F61"/>
    <w:rsid w:val="0031608F"/>
    <w:rsid w:val="003164F7"/>
    <w:rsid w:val="003167CF"/>
    <w:rsid w:val="003167D9"/>
    <w:rsid w:val="0031689D"/>
    <w:rsid w:val="00316B3E"/>
    <w:rsid w:val="00316BFB"/>
    <w:rsid w:val="00316D21"/>
    <w:rsid w:val="00316D87"/>
    <w:rsid w:val="00316E05"/>
    <w:rsid w:val="00316F43"/>
    <w:rsid w:val="00317198"/>
    <w:rsid w:val="00317322"/>
    <w:rsid w:val="003173C5"/>
    <w:rsid w:val="003175C4"/>
    <w:rsid w:val="003176AA"/>
    <w:rsid w:val="0031772B"/>
    <w:rsid w:val="00317804"/>
    <w:rsid w:val="00317E78"/>
    <w:rsid w:val="003200C6"/>
    <w:rsid w:val="003201F0"/>
    <w:rsid w:val="00320567"/>
    <w:rsid w:val="003206A4"/>
    <w:rsid w:val="003209A5"/>
    <w:rsid w:val="00320A00"/>
    <w:rsid w:val="00320C53"/>
    <w:rsid w:val="00320E73"/>
    <w:rsid w:val="00320FE2"/>
    <w:rsid w:val="0032102B"/>
    <w:rsid w:val="00321097"/>
    <w:rsid w:val="0032110D"/>
    <w:rsid w:val="00321212"/>
    <w:rsid w:val="00321730"/>
    <w:rsid w:val="00322167"/>
    <w:rsid w:val="00322CEA"/>
    <w:rsid w:val="00323137"/>
    <w:rsid w:val="00323203"/>
    <w:rsid w:val="00323321"/>
    <w:rsid w:val="0032342B"/>
    <w:rsid w:val="00323533"/>
    <w:rsid w:val="00323569"/>
    <w:rsid w:val="00323E3F"/>
    <w:rsid w:val="00323E4A"/>
    <w:rsid w:val="003240A5"/>
    <w:rsid w:val="00324402"/>
    <w:rsid w:val="00324568"/>
    <w:rsid w:val="003246D6"/>
    <w:rsid w:val="003247AC"/>
    <w:rsid w:val="003247C3"/>
    <w:rsid w:val="003249B4"/>
    <w:rsid w:val="0032584B"/>
    <w:rsid w:val="00325F63"/>
    <w:rsid w:val="0032632A"/>
    <w:rsid w:val="0032645E"/>
    <w:rsid w:val="00326620"/>
    <w:rsid w:val="0032673D"/>
    <w:rsid w:val="00326AF9"/>
    <w:rsid w:val="00326DE9"/>
    <w:rsid w:val="00326E87"/>
    <w:rsid w:val="00326F16"/>
    <w:rsid w:val="00326F50"/>
    <w:rsid w:val="00326F7D"/>
    <w:rsid w:val="003275B9"/>
    <w:rsid w:val="0032787A"/>
    <w:rsid w:val="00327936"/>
    <w:rsid w:val="00327A62"/>
    <w:rsid w:val="0033036B"/>
    <w:rsid w:val="003303A6"/>
    <w:rsid w:val="003305A4"/>
    <w:rsid w:val="0033064F"/>
    <w:rsid w:val="003307F4"/>
    <w:rsid w:val="00330D3F"/>
    <w:rsid w:val="0033136A"/>
    <w:rsid w:val="00331780"/>
    <w:rsid w:val="003318E1"/>
    <w:rsid w:val="00331A14"/>
    <w:rsid w:val="00331FDE"/>
    <w:rsid w:val="00332503"/>
    <w:rsid w:val="00332785"/>
    <w:rsid w:val="00332A27"/>
    <w:rsid w:val="00332B48"/>
    <w:rsid w:val="003331BB"/>
    <w:rsid w:val="00333554"/>
    <w:rsid w:val="00333628"/>
    <w:rsid w:val="003338EB"/>
    <w:rsid w:val="00333AA0"/>
    <w:rsid w:val="00333C9F"/>
    <w:rsid w:val="00333D45"/>
    <w:rsid w:val="00333DE9"/>
    <w:rsid w:val="00333F95"/>
    <w:rsid w:val="0033409B"/>
    <w:rsid w:val="00334313"/>
    <w:rsid w:val="003344E2"/>
    <w:rsid w:val="003345C9"/>
    <w:rsid w:val="003345CE"/>
    <w:rsid w:val="003347C8"/>
    <w:rsid w:val="0033482D"/>
    <w:rsid w:val="00334952"/>
    <w:rsid w:val="00334B0D"/>
    <w:rsid w:val="00334BAD"/>
    <w:rsid w:val="00334DB6"/>
    <w:rsid w:val="0033521F"/>
    <w:rsid w:val="003353AA"/>
    <w:rsid w:val="003358D8"/>
    <w:rsid w:val="003358F7"/>
    <w:rsid w:val="00335BD3"/>
    <w:rsid w:val="00335C3B"/>
    <w:rsid w:val="00335CC8"/>
    <w:rsid w:val="00335D8C"/>
    <w:rsid w:val="00336366"/>
    <w:rsid w:val="003363BC"/>
    <w:rsid w:val="00336AE0"/>
    <w:rsid w:val="003371EF"/>
    <w:rsid w:val="003373F8"/>
    <w:rsid w:val="003375EA"/>
    <w:rsid w:val="00337718"/>
    <w:rsid w:val="0033791E"/>
    <w:rsid w:val="00337D92"/>
    <w:rsid w:val="00337DFE"/>
    <w:rsid w:val="00337FF6"/>
    <w:rsid w:val="003400AB"/>
    <w:rsid w:val="0034047D"/>
    <w:rsid w:val="003406C8"/>
    <w:rsid w:val="00340737"/>
    <w:rsid w:val="0034088B"/>
    <w:rsid w:val="003410DE"/>
    <w:rsid w:val="0034111E"/>
    <w:rsid w:val="003411CE"/>
    <w:rsid w:val="00341345"/>
    <w:rsid w:val="00341894"/>
    <w:rsid w:val="00341A01"/>
    <w:rsid w:val="00341B1D"/>
    <w:rsid w:val="00341D4D"/>
    <w:rsid w:val="00341EDD"/>
    <w:rsid w:val="003424A8"/>
    <w:rsid w:val="00342BB1"/>
    <w:rsid w:val="003431E3"/>
    <w:rsid w:val="00343326"/>
    <w:rsid w:val="00343397"/>
    <w:rsid w:val="00343421"/>
    <w:rsid w:val="00343506"/>
    <w:rsid w:val="003437A8"/>
    <w:rsid w:val="00343989"/>
    <w:rsid w:val="00343A4F"/>
    <w:rsid w:val="00343B2C"/>
    <w:rsid w:val="00344070"/>
    <w:rsid w:val="00344290"/>
    <w:rsid w:val="00344477"/>
    <w:rsid w:val="00344520"/>
    <w:rsid w:val="0034486F"/>
    <w:rsid w:val="00344907"/>
    <w:rsid w:val="00344CE3"/>
    <w:rsid w:val="00344CFC"/>
    <w:rsid w:val="003451AE"/>
    <w:rsid w:val="00345547"/>
    <w:rsid w:val="003455EE"/>
    <w:rsid w:val="0034564C"/>
    <w:rsid w:val="003459FE"/>
    <w:rsid w:val="00345A40"/>
    <w:rsid w:val="00345C45"/>
    <w:rsid w:val="00345D83"/>
    <w:rsid w:val="00345E1A"/>
    <w:rsid w:val="00345EEA"/>
    <w:rsid w:val="00345FED"/>
    <w:rsid w:val="0034617C"/>
    <w:rsid w:val="003463ED"/>
    <w:rsid w:val="00346A9D"/>
    <w:rsid w:val="00346C24"/>
    <w:rsid w:val="00346FCC"/>
    <w:rsid w:val="003474BF"/>
    <w:rsid w:val="0034769E"/>
    <w:rsid w:val="00347938"/>
    <w:rsid w:val="00347B2F"/>
    <w:rsid w:val="003501B7"/>
    <w:rsid w:val="00350358"/>
    <w:rsid w:val="003504EE"/>
    <w:rsid w:val="0035063F"/>
    <w:rsid w:val="00350682"/>
    <w:rsid w:val="00350695"/>
    <w:rsid w:val="00350A57"/>
    <w:rsid w:val="00350EB3"/>
    <w:rsid w:val="00350FCB"/>
    <w:rsid w:val="00351045"/>
    <w:rsid w:val="003511F4"/>
    <w:rsid w:val="00351427"/>
    <w:rsid w:val="00351AAF"/>
    <w:rsid w:val="00351D08"/>
    <w:rsid w:val="00351D78"/>
    <w:rsid w:val="00351E45"/>
    <w:rsid w:val="00351F99"/>
    <w:rsid w:val="00352193"/>
    <w:rsid w:val="0035241F"/>
    <w:rsid w:val="0035257A"/>
    <w:rsid w:val="00352E51"/>
    <w:rsid w:val="00352FEF"/>
    <w:rsid w:val="003533CA"/>
    <w:rsid w:val="00353426"/>
    <w:rsid w:val="0035381B"/>
    <w:rsid w:val="00353A23"/>
    <w:rsid w:val="00353B38"/>
    <w:rsid w:val="00353E5A"/>
    <w:rsid w:val="00353E6F"/>
    <w:rsid w:val="003540D8"/>
    <w:rsid w:val="0035411E"/>
    <w:rsid w:val="003542C6"/>
    <w:rsid w:val="00354660"/>
    <w:rsid w:val="003546C7"/>
    <w:rsid w:val="00354735"/>
    <w:rsid w:val="0035492D"/>
    <w:rsid w:val="00354CBF"/>
    <w:rsid w:val="00354EBE"/>
    <w:rsid w:val="00355165"/>
    <w:rsid w:val="0035529B"/>
    <w:rsid w:val="00355674"/>
    <w:rsid w:val="003556BA"/>
    <w:rsid w:val="00355D09"/>
    <w:rsid w:val="003560D9"/>
    <w:rsid w:val="00356232"/>
    <w:rsid w:val="00356C6C"/>
    <w:rsid w:val="00356CA4"/>
    <w:rsid w:val="00356E14"/>
    <w:rsid w:val="00357260"/>
    <w:rsid w:val="003573AE"/>
    <w:rsid w:val="0035787E"/>
    <w:rsid w:val="00357AB8"/>
    <w:rsid w:val="00357DA7"/>
    <w:rsid w:val="00357DDB"/>
    <w:rsid w:val="00357E09"/>
    <w:rsid w:val="0036029E"/>
    <w:rsid w:val="00360555"/>
    <w:rsid w:val="00360B7B"/>
    <w:rsid w:val="0036146F"/>
    <w:rsid w:val="00361AAB"/>
    <w:rsid w:val="00361E04"/>
    <w:rsid w:val="0036224E"/>
    <w:rsid w:val="00362305"/>
    <w:rsid w:val="00362511"/>
    <w:rsid w:val="00362C92"/>
    <w:rsid w:val="00362CBA"/>
    <w:rsid w:val="00362D8D"/>
    <w:rsid w:val="00362E4B"/>
    <w:rsid w:val="00363125"/>
    <w:rsid w:val="0036315E"/>
    <w:rsid w:val="003632D0"/>
    <w:rsid w:val="0036355D"/>
    <w:rsid w:val="003636FB"/>
    <w:rsid w:val="00363A50"/>
    <w:rsid w:val="00363ACA"/>
    <w:rsid w:val="00363E5D"/>
    <w:rsid w:val="0036400C"/>
    <w:rsid w:val="003640C2"/>
    <w:rsid w:val="00364138"/>
    <w:rsid w:val="00364A52"/>
    <w:rsid w:val="00364B6C"/>
    <w:rsid w:val="00364F6B"/>
    <w:rsid w:val="0036503D"/>
    <w:rsid w:val="0036534A"/>
    <w:rsid w:val="0036545B"/>
    <w:rsid w:val="003655C6"/>
    <w:rsid w:val="00365C17"/>
    <w:rsid w:val="00365CE0"/>
    <w:rsid w:val="00365D7B"/>
    <w:rsid w:val="0036638D"/>
    <w:rsid w:val="0036647B"/>
    <w:rsid w:val="0036669D"/>
    <w:rsid w:val="00366A37"/>
    <w:rsid w:val="00366AFF"/>
    <w:rsid w:val="00366F7F"/>
    <w:rsid w:val="00366FCE"/>
    <w:rsid w:val="0036703E"/>
    <w:rsid w:val="0036759D"/>
    <w:rsid w:val="00367F59"/>
    <w:rsid w:val="00370005"/>
    <w:rsid w:val="0037092A"/>
    <w:rsid w:val="00370AF8"/>
    <w:rsid w:val="00370D0E"/>
    <w:rsid w:val="00370DF4"/>
    <w:rsid w:val="00370EC7"/>
    <w:rsid w:val="00370F02"/>
    <w:rsid w:val="003711A9"/>
    <w:rsid w:val="0037129B"/>
    <w:rsid w:val="003713BF"/>
    <w:rsid w:val="00371C3E"/>
    <w:rsid w:val="003720BD"/>
    <w:rsid w:val="00372174"/>
    <w:rsid w:val="0037222E"/>
    <w:rsid w:val="003722D0"/>
    <w:rsid w:val="00372711"/>
    <w:rsid w:val="00372B26"/>
    <w:rsid w:val="00372C78"/>
    <w:rsid w:val="00372E86"/>
    <w:rsid w:val="00372FAD"/>
    <w:rsid w:val="003730D5"/>
    <w:rsid w:val="0037311E"/>
    <w:rsid w:val="00373CBF"/>
    <w:rsid w:val="00373F48"/>
    <w:rsid w:val="00374327"/>
    <w:rsid w:val="00374407"/>
    <w:rsid w:val="003747E3"/>
    <w:rsid w:val="00374FC5"/>
    <w:rsid w:val="00375091"/>
    <w:rsid w:val="00375380"/>
    <w:rsid w:val="00375738"/>
    <w:rsid w:val="003759F4"/>
    <w:rsid w:val="00375AC3"/>
    <w:rsid w:val="00375BA0"/>
    <w:rsid w:val="00375BF9"/>
    <w:rsid w:val="00375C95"/>
    <w:rsid w:val="00375DB2"/>
    <w:rsid w:val="0037604B"/>
    <w:rsid w:val="003760D3"/>
    <w:rsid w:val="003761AA"/>
    <w:rsid w:val="00376254"/>
    <w:rsid w:val="003768D8"/>
    <w:rsid w:val="00376F51"/>
    <w:rsid w:val="0037736C"/>
    <w:rsid w:val="00377615"/>
    <w:rsid w:val="00377626"/>
    <w:rsid w:val="00377634"/>
    <w:rsid w:val="00377638"/>
    <w:rsid w:val="003779B7"/>
    <w:rsid w:val="00377BC5"/>
    <w:rsid w:val="00377C51"/>
    <w:rsid w:val="00377CD4"/>
    <w:rsid w:val="00377D1A"/>
    <w:rsid w:val="00377DE8"/>
    <w:rsid w:val="003800C0"/>
    <w:rsid w:val="0038037E"/>
    <w:rsid w:val="003809E2"/>
    <w:rsid w:val="00380FEE"/>
    <w:rsid w:val="0038125D"/>
    <w:rsid w:val="0038138D"/>
    <w:rsid w:val="003814D0"/>
    <w:rsid w:val="0038160D"/>
    <w:rsid w:val="00382287"/>
    <w:rsid w:val="00382481"/>
    <w:rsid w:val="0038265F"/>
    <w:rsid w:val="00382C1C"/>
    <w:rsid w:val="00382C69"/>
    <w:rsid w:val="00382CA9"/>
    <w:rsid w:val="00383037"/>
    <w:rsid w:val="003830D2"/>
    <w:rsid w:val="0038314F"/>
    <w:rsid w:val="003833E5"/>
    <w:rsid w:val="003834AE"/>
    <w:rsid w:val="00383BA7"/>
    <w:rsid w:val="00383C9A"/>
    <w:rsid w:val="00383FC9"/>
    <w:rsid w:val="0038485E"/>
    <w:rsid w:val="00384E10"/>
    <w:rsid w:val="003852C3"/>
    <w:rsid w:val="00385418"/>
    <w:rsid w:val="003854D0"/>
    <w:rsid w:val="003855C8"/>
    <w:rsid w:val="00385E15"/>
    <w:rsid w:val="00385FB2"/>
    <w:rsid w:val="003863A3"/>
    <w:rsid w:val="0038640C"/>
    <w:rsid w:val="003866F6"/>
    <w:rsid w:val="0038689E"/>
    <w:rsid w:val="00386A18"/>
    <w:rsid w:val="00386C92"/>
    <w:rsid w:val="00386F99"/>
    <w:rsid w:val="003873EE"/>
    <w:rsid w:val="003875EF"/>
    <w:rsid w:val="00387837"/>
    <w:rsid w:val="0038785D"/>
    <w:rsid w:val="00387B83"/>
    <w:rsid w:val="00387C41"/>
    <w:rsid w:val="00390A76"/>
    <w:rsid w:val="00390C59"/>
    <w:rsid w:val="00390E35"/>
    <w:rsid w:val="00390E85"/>
    <w:rsid w:val="0039133D"/>
    <w:rsid w:val="003915C6"/>
    <w:rsid w:val="00391BB2"/>
    <w:rsid w:val="00391BFC"/>
    <w:rsid w:val="0039205C"/>
    <w:rsid w:val="003922AF"/>
    <w:rsid w:val="0039275D"/>
    <w:rsid w:val="003927C7"/>
    <w:rsid w:val="00392871"/>
    <w:rsid w:val="0039287E"/>
    <w:rsid w:val="003929CE"/>
    <w:rsid w:val="00392DD7"/>
    <w:rsid w:val="00392EF8"/>
    <w:rsid w:val="0039390B"/>
    <w:rsid w:val="00393BE5"/>
    <w:rsid w:val="00393C91"/>
    <w:rsid w:val="00393D10"/>
    <w:rsid w:val="00393D3E"/>
    <w:rsid w:val="00394331"/>
    <w:rsid w:val="00394551"/>
    <w:rsid w:val="003945DD"/>
    <w:rsid w:val="003947E4"/>
    <w:rsid w:val="0039483B"/>
    <w:rsid w:val="00394D7E"/>
    <w:rsid w:val="00394F76"/>
    <w:rsid w:val="00395550"/>
    <w:rsid w:val="003955CD"/>
    <w:rsid w:val="0039564A"/>
    <w:rsid w:val="003957DE"/>
    <w:rsid w:val="003963B8"/>
    <w:rsid w:val="00396441"/>
    <w:rsid w:val="003966E9"/>
    <w:rsid w:val="003968AB"/>
    <w:rsid w:val="00396F0B"/>
    <w:rsid w:val="003975BE"/>
    <w:rsid w:val="00397812"/>
    <w:rsid w:val="00397961"/>
    <w:rsid w:val="00397CD3"/>
    <w:rsid w:val="00397D27"/>
    <w:rsid w:val="00397D6F"/>
    <w:rsid w:val="003A049B"/>
    <w:rsid w:val="003A04FB"/>
    <w:rsid w:val="003A050C"/>
    <w:rsid w:val="003A057E"/>
    <w:rsid w:val="003A06DD"/>
    <w:rsid w:val="003A0863"/>
    <w:rsid w:val="003A0987"/>
    <w:rsid w:val="003A0A95"/>
    <w:rsid w:val="003A0C4D"/>
    <w:rsid w:val="003A17BC"/>
    <w:rsid w:val="003A190A"/>
    <w:rsid w:val="003A1937"/>
    <w:rsid w:val="003A1A85"/>
    <w:rsid w:val="003A1B9E"/>
    <w:rsid w:val="003A1E62"/>
    <w:rsid w:val="003A1F30"/>
    <w:rsid w:val="003A22A0"/>
    <w:rsid w:val="003A22A6"/>
    <w:rsid w:val="003A230E"/>
    <w:rsid w:val="003A2311"/>
    <w:rsid w:val="003A262C"/>
    <w:rsid w:val="003A2C95"/>
    <w:rsid w:val="003A2D4D"/>
    <w:rsid w:val="003A2DD8"/>
    <w:rsid w:val="003A2F71"/>
    <w:rsid w:val="003A3135"/>
    <w:rsid w:val="003A3576"/>
    <w:rsid w:val="003A389D"/>
    <w:rsid w:val="003A42CB"/>
    <w:rsid w:val="003A487E"/>
    <w:rsid w:val="003A48F5"/>
    <w:rsid w:val="003A4973"/>
    <w:rsid w:val="003A4AAE"/>
    <w:rsid w:val="003A4B6B"/>
    <w:rsid w:val="003A4BA4"/>
    <w:rsid w:val="003A4F14"/>
    <w:rsid w:val="003A4FE2"/>
    <w:rsid w:val="003A5153"/>
    <w:rsid w:val="003A53D7"/>
    <w:rsid w:val="003A54BF"/>
    <w:rsid w:val="003A5619"/>
    <w:rsid w:val="003A5A83"/>
    <w:rsid w:val="003A5EF4"/>
    <w:rsid w:val="003A62AC"/>
    <w:rsid w:val="003A6385"/>
    <w:rsid w:val="003A6473"/>
    <w:rsid w:val="003A6483"/>
    <w:rsid w:val="003A64E0"/>
    <w:rsid w:val="003A6767"/>
    <w:rsid w:val="003A6F0C"/>
    <w:rsid w:val="003A6FE3"/>
    <w:rsid w:val="003A7360"/>
    <w:rsid w:val="003A73CA"/>
    <w:rsid w:val="003A7C42"/>
    <w:rsid w:val="003A7F4E"/>
    <w:rsid w:val="003A7F81"/>
    <w:rsid w:val="003B01CC"/>
    <w:rsid w:val="003B0262"/>
    <w:rsid w:val="003B07C7"/>
    <w:rsid w:val="003B0B11"/>
    <w:rsid w:val="003B1095"/>
    <w:rsid w:val="003B1412"/>
    <w:rsid w:val="003B14F4"/>
    <w:rsid w:val="003B17E2"/>
    <w:rsid w:val="003B181E"/>
    <w:rsid w:val="003B1D03"/>
    <w:rsid w:val="003B1F73"/>
    <w:rsid w:val="003B20C3"/>
    <w:rsid w:val="003B246A"/>
    <w:rsid w:val="003B2DA5"/>
    <w:rsid w:val="003B3270"/>
    <w:rsid w:val="003B34CA"/>
    <w:rsid w:val="003B3531"/>
    <w:rsid w:val="003B36D4"/>
    <w:rsid w:val="003B3D7D"/>
    <w:rsid w:val="003B3D8A"/>
    <w:rsid w:val="003B3E90"/>
    <w:rsid w:val="003B3F50"/>
    <w:rsid w:val="003B447B"/>
    <w:rsid w:val="003B4805"/>
    <w:rsid w:val="003B495E"/>
    <w:rsid w:val="003B5240"/>
    <w:rsid w:val="003B524A"/>
    <w:rsid w:val="003B536D"/>
    <w:rsid w:val="003B5AA1"/>
    <w:rsid w:val="003B5EEC"/>
    <w:rsid w:val="003B6497"/>
    <w:rsid w:val="003B6541"/>
    <w:rsid w:val="003B6FB0"/>
    <w:rsid w:val="003B71F7"/>
    <w:rsid w:val="003B7365"/>
    <w:rsid w:val="003B7478"/>
    <w:rsid w:val="003B7580"/>
    <w:rsid w:val="003B75D2"/>
    <w:rsid w:val="003B75FA"/>
    <w:rsid w:val="003B778B"/>
    <w:rsid w:val="003B7929"/>
    <w:rsid w:val="003B7C14"/>
    <w:rsid w:val="003B7E11"/>
    <w:rsid w:val="003B7F40"/>
    <w:rsid w:val="003C00D3"/>
    <w:rsid w:val="003C010D"/>
    <w:rsid w:val="003C04FD"/>
    <w:rsid w:val="003C0ABA"/>
    <w:rsid w:val="003C0ACE"/>
    <w:rsid w:val="003C0C09"/>
    <w:rsid w:val="003C0CD5"/>
    <w:rsid w:val="003C0D1B"/>
    <w:rsid w:val="003C13D6"/>
    <w:rsid w:val="003C14B0"/>
    <w:rsid w:val="003C1526"/>
    <w:rsid w:val="003C15CE"/>
    <w:rsid w:val="003C1630"/>
    <w:rsid w:val="003C1DAB"/>
    <w:rsid w:val="003C21DE"/>
    <w:rsid w:val="003C25BC"/>
    <w:rsid w:val="003C2618"/>
    <w:rsid w:val="003C2D34"/>
    <w:rsid w:val="003C2E67"/>
    <w:rsid w:val="003C351E"/>
    <w:rsid w:val="003C3AA4"/>
    <w:rsid w:val="003C3C88"/>
    <w:rsid w:val="003C3EDA"/>
    <w:rsid w:val="003C424B"/>
    <w:rsid w:val="003C4454"/>
    <w:rsid w:val="003C45B0"/>
    <w:rsid w:val="003C4CFE"/>
    <w:rsid w:val="003C4D06"/>
    <w:rsid w:val="003C4EC1"/>
    <w:rsid w:val="003C4F07"/>
    <w:rsid w:val="003C5057"/>
    <w:rsid w:val="003C525C"/>
    <w:rsid w:val="003C52CD"/>
    <w:rsid w:val="003C53DD"/>
    <w:rsid w:val="003C5424"/>
    <w:rsid w:val="003C5824"/>
    <w:rsid w:val="003C58AE"/>
    <w:rsid w:val="003C5FCE"/>
    <w:rsid w:val="003C6101"/>
    <w:rsid w:val="003C626E"/>
    <w:rsid w:val="003C6730"/>
    <w:rsid w:val="003C6AFF"/>
    <w:rsid w:val="003C6B5C"/>
    <w:rsid w:val="003C6C38"/>
    <w:rsid w:val="003C6CF2"/>
    <w:rsid w:val="003C76FA"/>
    <w:rsid w:val="003C79DB"/>
    <w:rsid w:val="003C7BD5"/>
    <w:rsid w:val="003C7E3E"/>
    <w:rsid w:val="003D009B"/>
    <w:rsid w:val="003D047D"/>
    <w:rsid w:val="003D077D"/>
    <w:rsid w:val="003D07F6"/>
    <w:rsid w:val="003D0D41"/>
    <w:rsid w:val="003D0F06"/>
    <w:rsid w:val="003D1067"/>
    <w:rsid w:val="003D1A10"/>
    <w:rsid w:val="003D1BC5"/>
    <w:rsid w:val="003D1E00"/>
    <w:rsid w:val="003D246A"/>
    <w:rsid w:val="003D2A5B"/>
    <w:rsid w:val="003D30F6"/>
    <w:rsid w:val="003D3574"/>
    <w:rsid w:val="003D36C4"/>
    <w:rsid w:val="003D36D6"/>
    <w:rsid w:val="003D37D2"/>
    <w:rsid w:val="003D383F"/>
    <w:rsid w:val="003D3E21"/>
    <w:rsid w:val="003D3EE7"/>
    <w:rsid w:val="003D3F07"/>
    <w:rsid w:val="003D3F7A"/>
    <w:rsid w:val="003D4500"/>
    <w:rsid w:val="003D4F0A"/>
    <w:rsid w:val="003D4F2C"/>
    <w:rsid w:val="003D55CD"/>
    <w:rsid w:val="003D5BB8"/>
    <w:rsid w:val="003D5C5F"/>
    <w:rsid w:val="003D5D69"/>
    <w:rsid w:val="003D5DD8"/>
    <w:rsid w:val="003D61B8"/>
    <w:rsid w:val="003D66D0"/>
    <w:rsid w:val="003D67FD"/>
    <w:rsid w:val="003D6830"/>
    <w:rsid w:val="003D6A39"/>
    <w:rsid w:val="003D6ABB"/>
    <w:rsid w:val="003D6CCE"/>
    <w:rsid w:val="003D6CE9"/>
    <w:rsid w:val="003D7071"/>
    <w:rsid w:val="003D7363"/>
    <w:rsid w:val="003D7507"/>
    <w:rsid w:val="003D76FF"/>
    <w:rsid w:val="003D7906"/>
    <w:rsid w:val="003D799B"/>
    <w:rsid w:val="003D7DE3"/>
    <w:rsid w:val="003D7F93"/>
    <w:rsid w:val="003E0384"/>
    <w:rsid w:val="003E0973"/>
    <w:rsid w:val="003E0A5B"/>
    <w:rsid w:val="003E0CEC"/>
    <w:rsid w:val="003E0EA2"/>
    <w:rsid w:val="003E13E1"/>
    <w:rsid w:val="003E14B4"/>
    <w:rsid w:val="003E1620"/>
    <w:rsid w:val="003E1771"/>
    <w:rsid w:val="003E1F44"/>
    <w:rsid w:val="003E218D"/>
    <w:rsid w:val="003E2262"/>
    <w:rsid w:val="003E2800"/>
    <w:rsid w:val="003E2960"/>
    <w:rsid w:val="003E2CCD"/>
    <w:rsid w:val="003E3467"/>
    <w:rsid w:val="003E3750"/>
    <w:rsid w:val="003E3933"/>
    <w:rsid w:val="003E3C84"/>
    <w:rsid w:val="003E3D64"/>
    <w:rsid w:val="003E3F60"/>
    <w:rsid w:val="003E47EE"/>
    <w:rsid w:val="003E48CD"/>
    <w:rsid w:val="003E49A9"/>
    <w:rsid w:val="003E4AD1"/>
    <w:rsid w:val="003E4BE5"/>
    <w:rsid w:val="003E4EE3"/>
    <w:rsid w:val="003E5011"/>
    <w:rsid w:val="003E536E"/>
    <w:rsid w:val="003E53CF"/>
    <w:rsid w:val="003E55AB"/>
    <w:rsid w:val="003E5DDB"/>
    <w:rsid w:val="003E5ED2"/>
    <w:rsid w:val="003E5F9B"/>
    <w:rsid w:val="003E613F"/>
    <w:rsid w:val="003E668F"/>
    <w:rsid w:val="003E6E3B"/>
    <w:rsid w:val="003E6FEF"/>
    <w:rsid w:val="003E7029"/>
    <w:rsid w:val="003E71FB"/>
    <w:rsid w:val="003E7267"/>
    <w:rsid w:val="003E7288"/>
    <w:rsid w:val="003E7328"/>
    <w:rsid w:val="003E7430"/>
    <w:rsid w:val="003E787B"/>
    <w:rsid w:val="003E7C22"/>
    <w:rsid w:val="003E7E01"/>
    <w:rsid w:val="003F039E"/>
    <w:rsid w:val="003F04FE"/>
    <w:rsid w:val="003F06D8"/>
    <w:rsid w:val="003F0C01"/>
    <w:rsid w:val="003F0C6D"/>
    <w:rsid w:val="003F0E16"/>
    <w:rsid w:val="003F1108"/>
    <w:rsid w:val="003F150A"/>
    <w:rsid w:val="003F1ABD"/>
    <w:rsid w:val="003F1C7C"/>
    <w:rsid w:val="003F1C7F"/>
    <w:rsid w:val="003F2781"/>
    <w:rsid w:val="003F2866"/>
    <w:rsid w:val="003F2D22"/>
    <w:rsid w:val="003F3066"/>
    <w:rsid w:val="003F3166"/>
    <w:rsid w:val="003F3190"/>
    <w:rsid w:val="003F3211"/>
    <w:rsid w:val="003F353F"/>
    <w:rsid w:val="003F370E"/>
    <w:rsid w:val="003F39B3"/>
    <w:rsid w:val="003F409D"/>
    <w:rsid w:val="003F4337"/>
    <w:rsid w:val="003F442D"/>
    <w:rsid w:val="003F4A49"/>
    <w:rsid w:val="003F4CC4"/>
    <w:rsid w:val="003F4D57"/>
    <w:rsid w:val="003F5092"/>
    <w:rsid w:val="003F523C"/>
    <w:rsid w:val="003F52A0"/>
    <w:rsid w:val="003F534D"/>
    <w:rsid w:val="003F5571"/>
    <w:rsid w:val="003F584A"/>
    <w:rsid w:val="003F59E1"/>
    <w:rsid w:val="003F5A9C"/>
    <w:rsid w:val="003F5B94"/>
    <w:rsid w:val="003F5BBD"/>
    <w:rsid w:val="003F5C61"/>
    <w:rsid w:val="003F6074"/>
    <w:rsid w:val="003F6442"/>
    <w:rsid w:val="003F6733"/>
    <w:rsid w:val="003F6957"/>
    <w:rsid w:val="003F6A88"/>
    <w:rsid w:val="003F6C8D"/>
    <w:rsid w:val="003F6D20"/>
    <w:rsid w:val="003F6DC9"/>
    <w:rsid w:val="003F6EA6"/>
    <w:rsid w:val="003F72A1"/>
    <w:rsid w:val="003F7495"/>
    <w:rsid w:val="003F752D"/>
    <w:rsid w:val="003F7A65"/>
    <w:rsid w:val="003F7AC9"/>
    <w:rsid w:val="0040011C"/>
    <w:rsid w:val="004001A9"/>
    <w:rsid w:val="0040034C"/>
    <w:rsid w:val="0040049C"/>
    <w:rsid w:val="00400965"/>
    <w:rsid w:val="00401058"/>
    <w:rsid w:val="00401563"/>
    <w:rsid w:val="004016E7"/>
    <w:rsid w:val="004017A7"/>
    <w:rsid w:val="0040196C"/>
    <w:rsid w:val="00401FBC"/>
    <w:rsid w:val="0040300C"/>
    <w:rsid w:val="00403266"/>
    <w:rsid w:val="004032B4"/>
    <w:rsid w:val="0040365F"/>
    <w:rsid w:val="00403D5A"/>
    <w:rsid w:val="00403FF4"/>
    <w:rsid w:val="00404615"/>
    <w:rsid w:val="0040486A"/>
    <w:rsid w:val="0040501E"/>
    <w:rsid w:val="00405572"/>
    <w:rsid w:val="00405CE3"/>
    <w:rsid w:val="00405EB2"/>
    <w:rsid w:val="00405F18"/>
    <w:rsid w:val="00406498"/>
    <w:rsid w:val="00406544"/>
    <w:rsid w:val="00406872"/>
    <w:rsid w:val="004068DD"/>
    <w:rsid w:val="00406A84"/>
    <w:rsid w:val="00407781"/>
    <w:rsid w:val="0041077E"/>
    <w:rsid w:val="00410A62"/>
    <w:rsid w:val="00410F3B"/>
    <w:rsid w:val="0041170E"/>
    <w:rsid w:val="00411905"/>
    <w:rsid w:val="00411B75"/>
    <w:rsid w:val="00411D7C"/>
    <w:rsid w:val="00411DD0"/>
    <w:rsid w:val="00411ECC"/>
    <w:rsid w:val="0041265E"/>
    <w:rsid w:val="0041269E"/>
    <w:rsid w:val="0041285C"/>
    <w:rsid w:val="00413136"/>
    <w:rsid w:val="00413558"/>
    <w:rsid w:val="00413A3B"/>
    <w:rsid w:val="00413C40"/>
    <w:rsid w:val="00413EBC"/>
    <w:rsid w:val="0041418D"/>
    <w:rsid w:val="00414267"/>
    <w:rsid w:val="00414502"/>
    <w:rsid w:val="00414654"/>
    <w:rsid w:val="004146CF"/>
    <w:rsid w:val="00414AB7"/>
    <w:rsid w:val="00414B5B"/>
    <w:rsid w:val="00414D54"/>
    <w:rsid w:val="00414DAC"/>
    <w:rsid w:val="00415127"/>
    <w:rsid w:val="004153D1"/>
    <w:rsid w:val="00415811"/>
    <w:rsid w:val="00415B92"/>
    <w:rsid w:val="00415BCA"/>
    <w:rsid w:val="00415EED"/>
    <w:rsid w:val="00416106"/>
    <w:rsid w:val="00416230"/>
    <w:rsid w:val="0041655E"/>
    <w:rsid w:val="00416566"/>
    <w:rsid w:val="0041659F"/>
    <w:rsid w:val="004168A1"/>
    <w:rsid w:val="0041692F"/>
    <w:rsid w:val="004169DB"/>
    <w:rsid w:val="00416B86"/>
    <w:rsid w:val="00416BE0"/>
    <w:rsid w:val="00416C8A"/>
    <w:rsid w:val="00417530"/>
    <w:rsid w:val="00417936"/>
    <w:rsid w:val="00417BD1"/>
    <w:rsid w:val="00417D75"/>
    <w:rsid w:val="0042003C"/>
    <w:rsid w:val="004201E7"/>
    <w:rsid w:val="00420235"/>
    <w:rsid w:val="00420723"/>
    <w:rsid w:val="00420769"/>
    <w:rsid w:val="004209CD"/>
    <w:rsid w:val="00420B9A"/>
    <w:rsid w:val="00420BF8"/>
    <w:rsid w:val="00420CD7"/>
    <w:rsid w:val="00420E59"/>
    <w:rsid w:val="00420E5E"/>
    <w:rsid w:val="00421116"/>
    <w:rsid w:val="00421571"/>
    <w:rsid w:val="004215DF"/>
    <w:rsid w:val="00421646"/>
    <w:rsid w:val="00421C4B"/>
    <w:rsid w:val="00422288"/>
    <w:rsid w:val="0042269D"/>
    <w:rsid w:val="004230DA"/>
    <w:rsid w:val="004231B3"/>
    <w:rsid w:val="004232D7"/>
    <w:rsid w:val="00423468"/>
    <w:rsid w:val="00423BE9"/>
    <w:rsid w:val="00423E62"/>
    <w:rsid w:val="00424095"/>
    <w:rsid w:val="00424445"/>
    <w:rsid w:val="004244C0"/>
    <w:rsid w:val="00424520"/>
    <w:rsid w:val="00424954"/>
    <w:rsid w:val="00424B45"/>
    <w:rsid w:val="00424DBA"/>
    <w:rsid w:val="0042503A"/>
    <w:rsid w:val="0042516C"/>
    <w:rsid w:val="00425216"/>
    <w:rsid w:val="00425370"/>
    <w:rsid w:val="00425381"/>
    <w:rsid w:val="00425B1F"/>
    <w:rsid w:val="00425DAB"/>
    <w:rsid w:val="004263C9"/>
    <w:rsid w:val="00426897"/>
    <w:rsid w:val="004269FF"/>
    <w:rsid w:val="00426C9A"/>
    <w:rsid w:val="0042708A"/>
    <w:rsid w:val="004276B6"/>
    <w:rsid w:val="00427BB2"/>
    <w:rsid w:val="00427C3A"/>
    <w:rsid w:val="0043039F"/>
    <w:rsid w:val="0043041C"/>
    <w:rsid w:val="004304CD"/>
    <w:rsid w:val="004307E3"/>
    <w:rsid w:val="004307F5"/>
    <w:rsid w:val="00430AA5"/>
    <w:rsid w:val="00431025"/>
    <w:rsid w:val="0043108B"/>
    <w:rsid w:val="004315E6"/>
    <w:rsid w:val="00431637"/>
    <w:rsid w:val="00431684"/>
    <w:rsid w:val="00431737"/>
    <w:rsid w:val="0043196E"/>
    <w:rsid w:val="00431A90"/>
    <w:rsid w:val="00431B36"/>
    <w:rsid w:val="00431B68"/>
    <w:rsid w:val="00431C51"/>
    <w:rsid w:val="00431EE8"/>
    <w:rsid w:val="00431F3D"/>
    <w:rsid w:val="0043200B"/>
    <w:rsid w:val="004320F6"/>
    <w:rsid w:val="004321D0"/>
    <w:rsid w:val="004326DA"/>
    <w:rsid w:val="00432776"/>
    <w:rsid w:val="004329AB"/>
    <w:rsid w:val="00432A73"/>
    <w:rsid w:val="00432BB1"/>
    <w:rsid w:val="00432CB5"/>
    <w:rsid w:val="00432E20"/>
    <w:rsid w:val="00432FBE"/>
    <w:rsid w:val="004331C9"/>
    <w:rsid w:val="00433541"/>
    <w:rsid w:val="00433965"/>
    <w:rsid w:val="00433A29"/>
    <w:rsid w:val="00433E04"/>
    <w:rsid w:val="00433E7C"/>
    <w:rsid w:val="00433F0C"/>
    <w:rsid w:val="00433FD4"/>
    <w:rsid w:val="004341A7"/>
    <w:rsid w:val="00434492"/>
    <w:rsid w:val="00434724"/>
    <w:rsid w:val="0043488F"/>
    <w:rsid w:val="004348F5"/>
    <w:rsid w:val="00434D87"/>
    <w:rsid w:val="00434DF3"/>
    <w:rsid w:val="00434EA3"/>
    <w:rsid w:val="00434FA7"/>
    <w:rsid w:val="00434FDB"/>
    <w:rsid w:val="00435137"/>
    <w:rsid w:val="00435204"/>
    <w:rsid w:val="004357F9"/>
    <w:rsid w:val="00435940"/>
    <w:rsid w:val="004359ED"/>
    <w:rsid w:val="004361AF"/>
    <w:rsid w:val="0043625B"/>
    <w:rsid w:val="00436348"/>
    <w:rsid w:val="00436353"/>
    <w:rsid w:val="004365DD"/>
    <w:rsid w:val="00436EBC"/>
    <w:rsid w:val="00437144"/>
    <w:rsid w:val="00437278"/>
    <w:rsid w:val="00437441"/>
    <w:rsid w:val="00437556"/>
    <w:rsid w:val="00437A66"/>
    <w:rsid w:val="00437A6E"/>
    <w:rsid w:val="00437B39"/>
    <w:rsid w:val="00437CE0"/>
    <w:rsid w:val="004408B8"/>
    <w:rsid w:val="00440ACA"/>
    <w:rsid w:val="00440CC1"/>
    <w:rsid w:val="004413AC"/>
    <w:rsid w:val="0044141B"/>
    <w:rsid w:val="0044143B"/>
    <w:rsid w:val="004415BA"/>
    <w:rsid w:val="004415E7"/>
    <w:rsid w:val="00441655"/>
    <w:rsid w:val="00441921"/>
    <w:rsid w:val="00441DA2"/>
    <w:rsid w:val="004423DE"/>
    <w:rsid w:val="00442969"/>
    <w:rsid w:val="00442BE3"/>
    <w:rsid w:val="0044314A"/>
    <w:rsid w:val="004433B9"/>
    <w:rsid w:val="00443A85"/>
    <w:rsid w:val="00443D77"/>
    <w:rsid w:val="00443EC6"/>
    <w:rsid w:val="0044429B"/>
    <w:rsid w:val="00445344"/>
    <w:rsid w:val="00445444"/>
    <w:rsid w:val="004459C8"/>
    <w:rsid w:val="00445BA4"/>
    <w:rsid w:val="00445C00"/>
    <w:rsid w:val="00446009"/>
    <w:rsid w:val="00446087"/>
    <w:rsid w:val="0044645F"/>
    <w:rsid w:val="004465AB"/>
    <w:rsid w:val="004465D3"/>
    <w:rsid w:val="004467AC"/>
    <w:rsid w:val="0044697F"/>
    <w:rsid w:val="00446CB0"/>
    <w:rsid w:val="00447173"/>
    <w:rsid w:val="004473B7"/>
    <w:rsid w:val="0044744E"/>
    <w:rsid w:val="004477E4"/>
    <w:rsid w:val="004478F1"/>
    <w:rsid w:val="00447A22"/>
    <w:rsid w:val="00447B8F"/>
    <w:rsid w:val="0045006B"/>
    <w:rsid w:val="004500E6"/>
    <w:rsid w:val="004501B4"/>
    <w:rsid w:val="0045029F"/>
    <w:rsid w:val="004506EC"/>
    <w:rsid w:val="004507C0"/>
    <w:rsid w:val="004509F2"/>
    <w:rsid w:val="00450A0D"/>
    <w:rsid w:val="00450A39"/>
    <w:rsid w:val="00450D5E"/>
    <w:rsid w:val="00450DE7"/>
    <w:rsid w:val="00451415"/>
    <w:rsid w:val="004514DB"/>
    <w:rsid w:val="00451835"/>
    <w:rsid w:val="00451AFC"/>
    <w:rsid w:val="004521D7"/>
    <w:rsid w:val="004523A5"/>
    <w:rsid w:val="0045242B"/>
    <w:rsid w:val="00452460"/>
    <w:rsid w:val="004525E2"/>
    <w:rsid w:val="004528D8"/>
    <w:rsid w:val="00452D25"/>
    <w:rsid w:val="00452DB6"/>
    <w:rsid w:val="00452E72"/>
    <w:rsid w:val="004530FF"/>
    <w:rsid w:val="00453165"/>
    <w:rsid w:val="004533C1"/>
    <w:rsid w:val="004535EA"/>
    <w:rsid w:val="004536E1"/>
    <w:rsid w:val="004537BB"/>
    <w:rsid w:val="004539E2"/>
    <w:rsid w:val="004542F8"/>
    <w:rsid w:val="0045444F"/>
    <w:rsid w:val="00454476"/>
    <w:rsid w:val="0045459A"/>
    <w:rsid w:val="00454679"/>
    <w:rsid w:val="0045487E"/>
    <w:rsid w:val="004549A2"/>
    <w:rsid w:val="00454AB3"/>
    <w:rsid w:val="00454B2B"/>
    <w:rsid w:val="004553D1"/>
    <w:rsid w:val="00455528"/>
    <w:rsid w:val="004557D2"/>
    <w:rsid w:val="00455942"/>
    <w:rsid w:val="00455D2B"/>
    <w:rsid w:val="004564B9"/>
    <w:rsid w:val="004565D9"/>
    <w:rsid w:val="00456A4E"/>
    <w:rsid w:val="00456B73"/>
    <w:rsid w:val="00456BFA"/>
    <w:rsid w:val="00456DE7"/>
    <w:rsid w:val="00456EE1"/>
    <w:rsid w:val="00457527"/>
    <w:rsid w:val="004575B2"/>
    <w:rsid w:val="00457C36"/>
    <w:rsid w:val="00457D84"/>
    <w:rsid w:val="004603C2"/>
    <w:rsid w:val="00460456"/>
    <w:rsid w:val="0046046C"/>
    <w:rsid w:val="00460927"/>
    <w:rsid w:val="00460A7A"/>
    <w:rsid w:val="00460BA9"/>
    <w:rsid w:val="00460CE8"/>
    <w:rsid w:val="00460D79"/>
    <w:rsid w:val="00460F07"/>
    <w:rsid w:val="00461697"/>
    <w:rsid w:val="00461BA1"/>
    <w:rsid w:val="00461CEE"/>
    <w:rsid w:val="004622E8"/>
    <w:rsid w:val="00462329"/>
    <w:rsid w:val="00462437"/>
    <w:rsid w:val="0046245E"/>
    <w:rsid w:val="00462512"/>
    <w:rsid w:val="0046307C"/>
    <w:rsid w:val="004631C2"/>
    <w:rsid w:val="00463339"/>
    <w:rsid w:val="00463461"/>
    <w:rsid w:val="00463DF4"/>
    <w:rsid w:val="00463F5D"/>
    <w:rsid w:val="00464184"/>
    <w:rsid w:val="0046479F"/>
    <w:rsid w:val="004648CD"/>
    <w:rsid w:val="00464C8D"/>
    <w:rsid w:val="00464F29"/>
    <w:rsid w:val="00465168"/>
    <w:rsid w:val="00465277"/>
    <w:rsid w:val="0046540D"/>
    <w:rsid w:val="004655FF"/>
    <w:rsid w:val="0046560A"/>
    <w:rsid w:val="004656E1"/>
    <w:rsid w:val="004659B8"/>
    <w:rsid w:val="00465CE7"/>
    <w:rsid w:val="00465F06"/>
    <w:rsid w:val="00466336"/>
    <w:rsid w:val="00466795"/>
    <w:rsid w:val="0046690D"/>
    <w:rsid w:val="00466D73"/>
    <w:rsid w:val="004675D9"/>
    <w:rsid w:val="0046764E"/>
    <w:rsid w:val="004676C9"/>
    <w:rsid w:val="0046789D"/>
    <w:rsid w:val="00467953"/>
    <w:rsid w:val="00467B4A"/>
    <w:rsid w:val="00467F9A"/>
    <w:rsid w:val="0047006F"/>
    <w:rsid w:val="00470433"/>
    <w:rsid w:val="004707E6"/>
    <w:rsid w:val="004708EF"/>
    <w:rsid w:val="00470A54"/>
    <w:rsid w:val="00470A75"/>
    <w:rsid w:val="00470CB7"/>
    <w:rsid w:val="0047138E"/>
    <w:rsid w:val="00471560"/>
    <w:rsid w:val="004717E4"/>
    <w:rsid w:val="004719C3"/>
    <w:rsid w:val="00471B5D"/>
    <w:rsid w:val="00472096"/>
    <w:rsid w:val="004723E5"/>
    <w:rsid w:val="0047274C"/>
    <w:rsid w:val="0047297E"/>
    <w:rsid w:val="00472C4A"/>
    <w:rsid w:val="00472EC2"/>
    <w:rsid w:val="00472ECB"/>
    <w:rsid w:val="004735B4"/>
    <w:rsid w:val="004736A3"/>
    <w:rsid w:val="00473AC6"/>
    <w:rsid w:val="00473AD9"/>
    <w:rsid w:val="00473CDB"/>
    <w:rsid w:val="00473D79"/>
    <w:rsid w:val="00473ECB"/>
    <w:rsid w:val="004742F5"/>
    <w:rsid w:val="004742F6"/>
    <w:rsid w:val="00474A69"/>
    <w:rsid w:val="00474BD5"/>
    <w:rsid w:val="00474DE6"/>
    <w:rsid w:val="00474F0C"/>
    <w:rsid w:val="004752AE"/>
    <w:rsid w:val="0047553B"/>
    <w:rsid w:val="004756FA"/>
    <w:rsid w:val="00475BD7"/>
    <w:rsid w:val="00475E4F"/>
    <w:rsid w:val="00475EEF"/>
    <w:rsid w:val="0047600B"/>
    <w:rsid w:val="0047603D"/>
    <w:rsid w:val="004763EF"/>
    <w:rsid w:val="004769A2"/>
    <w:rsid w:val="00476F19"/>
    <w:rsid w:val="00477769"/>
    <w:rsid w:val="00477BD7"/>
    <w:rsid w:val="00477CF2"/>
    <w:rsid w:val="00480402"/>
    <w:rsid w:val="00480413"/>
    <w:rsid w:val="004808AF"/>
    <w:rsid w:val="004808DC"/>
    <w:rsid w:val="00480B2A"/>
    <w:rsid w:val="00480DE2"/>
    <w:rsid w:val="00480E1F"/>
    <w:rsid w:val="00480F2C"/>
    <w:rsid w:val="004812B0"/>
    <w:rsid w:val="004812C4"/>
    <w:rsid w:val="00481535"/>
    <w:rsid w:val="00481573"/>
    <w:rsid w:val="004815F0"/>
    <w:rsid w:val="00481970"/>
    <w:rsid w:val="00482218"/>
    <w:rsid w:val="004824A6"/>
    <w:rsid w:val="0048269B"/>
    <w:rsid w:val="004828DE"/>
    <w:rsid w:val="00482F01"/>
    <w:rsid w:val="00483096"/>
    <w:rsid w:val="00483196"/>
    <w:rsid w:val="00483285"/>
    <w:rsid w:val="0048393F"/>
    <w:rsid w:val="00483970"/>
    <w:rsid w:val="00483ABA"/>
    <w:rsid w:val="00483B06"/>
    <w:rsid w:val="00483BDC"/>
    <w:rsid w:val="00483C56"/>
    <w:rsid w:val="00483CC7"/>
    <w:rsid w:val="00483CCB"/>
    <w:rsid w:val="00483CDF"/>
    <w:rsid w:val="00483D34"/>
    <w:rsid w:val="004840CA"/>
    <w:rsid w:val="0048432C"/>
    <w:rsid w:val="00484638"/>
    <w:rsid w:val="0048491B"/>
    <w:rsid w:val="00484AC2"/>
    <w:rsid w:val="00484BD1"/>
    <w:rsid w:val="0048506F"/>
    <w:rsid w:val="00485148"/>
    <w:rsid w:val="004851CE"/>
    <w:rsid w:val="004853F7"/>
    <w:rsid w:val="004854EC"/>
    <w:rsid w:val="00485595"/>
    <w:rsid w:val="004855CC"/>
    <w:rsid w:val="00485657"/>
    <w:rsid w:val="004857E2"/>
    <w:rsid w:val="00485A56"/>
    <w:rsid w:val="00485DDF"/>
    <w:rsid w:val="00485EBC"/>
    <w:rsid w:val="004860E4"/>
    <w:rsid w:val="00486288"/>
    <w:rsid w:val="00486588"/>
    <w:rsid w:val="004866F8"/>
    <w:rsid w:val="004867A0"/>
    <w:rsid w:val="004868FF"/>
    <w:rsid w:val="00486D2D"/>
    <w:rsid w:val="00486E7E"/>
    <w:rsid w:val="004870D3"/>
    <w:rsid w:val="00487125"/>
    <w:rsid w:val="0048757C"/>
    <w:rsid w:val="0048770E"/>
    <w:rsid w:val="004879B4"/>
    <w:rsid w:val="00487A01"/>
    <w:rsid w:val="00487AB2"/>
    <w:rsid w:val="00487C6A"/>
    <w:rsid w:val="00487E6C"/>
    <w:rsid w:val="00487EBA"/>
    <w:rsid w:val="0049039D"/>
    <w:rsid w:val="004903B0"/>
    <w:rsid w:val="004906DD"/>
    <w:rsid w:val="00490CEE"/>
    <w:rsid w:val="00490D90"/>
    <w:rsid w:val="00490F1B"/>
    <w:rsid w:val="0049126E"/>
    <w:rsid w:val="00491C97"/>
    <w:rsid w:val="00492082"/>
    <w:rsid w:val="004922A9"/>
    <w:rsid w:val="004923AB"/>
    <w:rsid w:val="004925D2"/>
    <w:rsid w:val="00492628"/>
    <w:rsid w:val="00492815"/>
    <w:rsid w:val="00492ACF"/>
    <w:rsid w:val="00492C0F"/>
    <w:rsid w:val="00492DA4"/>
    <w:rsid w:val="004930FB"/>
    <w:rsid w:val="004936DD"/>
    <w:rsid w:val="00493989"/>
    <w:rsid w:val="00493BFB"/>
    <w:rsid w:val="004940D9"/>
    <w:rsid w:val="004940F8"/>
    <w:rsid w:val="0049427F"/>
    <w:rsid w:val="0049439D"/>
    <w:rsid w:val="0049449C"/>
    <w:rsid w:val="004944C1"/>
    <w:rsid w:val="00494AB4"/>
    <w:rsid w:val="00494B2C"/>
    <w:rsid w:val="00494C46"/>
    <w:rsid w:val="00494C7E"/>
    <w:rsid w:val="00494D9E"/>
    <w:rsid w:val="00494EF5"/>
    <w:rsid w:val="0049530A"/>
    <w:rsid w:val="0049532A"/>
    <w:rsid w:val="0049542B"/>
    <w:rsid w:val="00495B82"/>
    <w:rsid w:val="00495D09"/>
    <w:rsid w:val="0049606E"/>
    <w:rsid w:val="00496456"/>
    <w:rsid w:val="00496DF5"/>
    <w:rsid w:val="0049793C"/>
    <w:rsid w:val="00497B65"/>
    <w:rsid w:val="00497C76"/>
    <w:rsid w:val="004A006F"/>
    <w:rsid w:val="004A020E"/>
    <w:rsid w:val="004A032B"/>
    <w:rsid w:val="004A0489"/>
    <w:rsid w:val="004A0943"/>
    <w:rsid w:val="004A09CD"/>
    <w:rsid w:val="004A0EE5"/>
    <w:rsid w:val="004A1222"/>
    <w:rsid w:val="004A1357"/>
    <w:rsid w:val="004A1832"/>
    <w:rsid w:val="004A1E73"/>
    <w:rsid w:val="004A20A7"/>
    <w:rsid w:val="004A24A5"/>
    <w:rsid w:val="004A2725"/>
    <w:rsid w:val="004A278B"/>
    <w:rsid w:val="004A28B5"/>
    <w:rsid w:val="004A2ACE"/>
    <w:rsid w:val="004A2E83"/>
    <w:rsid w:val="004A2FD0"/>
    <w:rsid w:val="004A30C1"/>
    <w:rsid w:val="004A3620"/>
    <w:rsid w:val="004A3660"/>
    <w:rsid w:val="004A366E"/>
    <w:rsid w:val="004A3D73"/>
    <w:rsid w:val="004A3E47"/>
    <w:rsid w:val="004A3EC2"/>
    <w:rsid w:val="004A3EFE"/>
    <w:rsid w:val="004A4668"/>
    <w:rsid w:val="004A498C"/>
    <w:rsid w:val="004A4ED3"/>
    <w:rsid w:val="004A4F52"/>
    <w:rsid w:val="004A5084"/>
    <w:rsid w:val="004A5099"/>
    <w:rsid w:val="004A5285"/>
    <w:rsid w:val="004A5831"/>
    <w:rsid w:val="004A632B"/>
    <w:rsid w:val="004A63B8"/>
    <w:rsid w:val="004A6492"/>
    <w:rsid w:val="004A66B3"/>
    <w:rsid w:val="004A6817"/>
    <w:rsid w:val="004A6BA6"/>
    <w:rsid w:val="004A6C3B"/>
    <w:rsid w:val="004A6FFC"/>
    <w:rsid w:val="004A764E"/>
    <w:rsid w:val="004A771D"/>
    <w:rsid w:val="004B01CD"/>
    <w:rsid w:val="004B0273"/>
    <w:rsid w:val="004B030F"/>
    <w:rsid w:val="004B0377"/>
    <w:rsid w:val="004B0823"/>
    <w:rsid w:val="004B0885"/>
    <w:rsid w:val="004B0E16"/>
    <w:rsid w:val="004B0EEF"/>
    <w:rsid w:val="004B11B2"/>
    <w:rsid w:val="004B1227"/>
    <w:rsid w:val="004B128E"/>
    <w:rsid w:val="004B13EA"/>
    <w:rsid w:val="004B149E"/>
    <w:rsid w:val="004B149F"/>
    <w:rsid w:val="004B17B5"/>
    <w:rsid w:val="004B18D4"/>
    <w:rsid w:val="004B1BD0"/>
    <w:rsid w:val="004B1F4C"/>
    <w:rsid w:val="004B24B3"/>
    <w:rsid w:val="004B27B8"/>
    <w:rsid w:val="004B2812"/>
    <w:rsid w:val="004B2AE2"/>
    <w:rsid w:val="004B2B02"/>
    <w:rsid w:val="004B2DA1"/>
    <w:rsid w:val="004B354A"/>
    <w:rsid w:val="004B419B"/>
    <w:rsid w:val="004B41A8"/>
    <w:rsid w:val="004B41CC"/>
    <w:rsid w:val="004B4229"/>
    <w:rsid w:val="004B432D"/>
    <w:rsid w:val="004B5052"/>
    <w:rsid w:val="004B50B0"/>
    <w:rsid w:val="004B5AAB"/>
    <w:rsid w:val="004B5D89"/>
    <w:rsid w:val="004B5E76"/>
    <w:rsid w:val="004B669F"/>
    <w:rsid w:val="004B6A13"/>
    <w:rsid w:val="004B6A40"/>
    <w:rsid w:val="004B6C37"/>
    <w:rsid w:val="004B6FF2"/>
    <w:rsid w:val="004B709C"/>
    <w:rsid w:val="004B70C9"/>
    <w:rsid w:val="004B72E3"/>
    <w:rsid w:val="004B72E8"/>
    <w:rsid w:val="004B732E"/>
    <w:rsid w:val="004B7486"/>
    <w:rsid w:val="004B7762"/>
    <w:rsid w:val="004B776E"/>
    <w:rsid w:val="004B78B4"/>
    <w:rsid w:val="004B7CA5"/>
    <w:rsid w:val="004C015C"/>
    <w:rsid w:val="004C0753"/>
    <w:rsid w:val="004C0B5F"/>
    <w:rsid w:val="004C0BCE"/>
    <w:rsid w:val="004C11F4"/>
    <w:rsid w:val="004C13DE"/>
    <w:rsid w:val="004C1488"/>
    <w:rsid w:val="004C154B"/>
    <w:rsid w:val="004C16CD"/>
    <w:rsid w:val="004C1A66"/>
    <w:rsid w:val="004C1DF8"/>
    <w:rsid w:val="004C1E63"/>
    <w:rsid w:val="004C21E0"/>
    <w:rsid w:val="004C22E2"/>
    <w:rsid w:val="004C22E8"/>
    <w:rsid w:val="004C252D"/>
    <w:rsid w:val="004C2D25"/>
    <w:rsid w:val="004C2DA1"/>
    <w:rsid w:val="004C387A"/>
    <w:rsid w:val="004C3A83"/>
    <w:rsid w:val="004C3FDE"/>
    <w:rsid w:val="004C3FF0"/>
    <w:rsid w:val="004C40ED"/>
    <w:rsid w:val="004C437F"/>
    <w:rsid w:val="004C44E5"/>
    <w:rsid w:val="004C44FE"/>
    <w:rsid w:val="004C478B"/>
    <w:rsid w:val="004C4B40"/>
    <w:rsid w:val="004C53B6"/>
    <w:rsid w:val="004C5910"/>
    <w:rsid w:val="004C5B90"/>
    <w:rsid w:val="004C5BBF"/>
    <w:rsid w:val="004C5D24"/>
    <w:rsid w:val="004C5DC7"/>
    <w:rsid w:val="004C612D"/>
    <w:rsid w:val="004C627D"/>
    <w:rsid w:val="004C6453"/>
    <w:rsid w:val="004C6C0F"/>
    <w:rsid w:val="004C6C90"/>
    <w:rsid w:val="004C6EEA"/>
    <w:rsid w:val="004C72EA"/>
    <w:rsid w:val="004C7323"/>
    <w:rsid w:val="004C7472"/>
    <w:rsid w:val="004C754C"/>
    <w:rsid w:val="004C7666"/>
    <w:rsid w:val="004C778A"/>
    <w:rsid w:val="004C77FC"/>
    <w:rsid w:val="004C7E25"/>
    <w:rsid w:val="004C7FB5"/>
    <w:rsid w:val="004D002C"/>
    <w:rsid w:val="004D057F"/>
    <w:rsid w:val="004D09F6"/>
    <w:rsid w:val="004D0A19"/>
    <w:rsid w:val="004D0EB0"/>
    <w:rsid w:val="004D0FC4"/>
    <w:rsid w:val="004D11BD"/>
    <w:rsid w:val="004D11FA"/>
    <w:rsid w:val="004D13DB"/>
    <w:rsid w:val="004D1AA0"/>
    <w:rsid w:val="004D246F"/>
    <w:rsid w:val="004D25B7"/>
    <w:rsid w:val="004D28D2"/>
    <w:rsid w:val="004D29B9"/>
    <w:rsid w:val="004D2A7C"/>
    <w:rsid w:val="004D2C7C"/>
    <w:rsid w:val="004D307D"/>
    <w:rsid w:val="004D3305"/>
    <w:rsid w:val="004D37C4"/>
    <w:rsid w:val="004D3EC3"/>
    <w:rsid w:val="004D40C1"/>
    <w:rsid w:val="004D4167"/>
    <w:rsid w:val="004D42B7"/>
    <w:rsid w:val="004D4E5A"/>
    <w:rsid w:val="004D554D"/>
    <w:rsid w:val="004D5666"/>
    <w:rsid w:val="004D56B8"/>
    <w:rsid w:val="004D5922"/>
    <w:rsid w:val="004D5958"/>
    <w:rsid w:val="004D5A60"/>
    <w:rsid w:val="004D5B0A"/>
    <w:rsid w:val="004D5B43"/>
    <w:rsid w:val="004D5EE6"/>
    <w:rsid w:val="004D5EF6"/>
    <w:rsid w:val="004D602C"/>
    <w:rsid w:val="004D6054"/>
    <w:rsid w:val="004D62AD"/>
    <w:rsid w:val="004D6BB2"/>
    <w:rsid w:val="004D6E9A"/>
    <w:rsid w:val="004D6F41"/>
    <w:rsid w:val="004D6F83"/>
    <w:rsid w:val="004D6F8E"/>
    <w:rsid w:val="004D712B"/>
    <w:rsid w:val="004D72EE"/>
    <w:rsid w:val="004E04CC"/>
    <w:rsid w:val="004E0ADD"/>
    <w:rsid w:val="004E0BA6"/>
    <w:rsid w:val="004E0BD2"/>
    <w:rsid w:val="004E0C63"/>
    <w:rsid w:val="004E1E9C"/>
    <w:rsid w:val="004E222A"/>
    <w:rsid w:val="004E22DE"/>
    <w:rsid w:val="004E24C4"/>
    <w:rsid w:val="004E25B8"/>
    <w:rsid w:val="004E27DE"/>
    <w:rsid w:val="004E2896"/>
    <w:rsid w:val="004E3223"/>
    <w:rsid w:val="004E327E"/>
    <w:rsid w:val="004E37A6"/>
    <w:rsid w:val="004E37F4"/>
    <w:rsid w:val="004E3A55"/>
    <w:rsid w:val="004E3A5F"/>
    <w:rsid w:val="004E3C8D"/>
    <w:rsid w:val="004E3F72"/>
    <w:rsid w:val="004E41D0"/>
    <w:rsid w:val="004E42AB"/>
    <w:rsid w:val="004E444E"/>
    <w:rsid w:val="004E44B1"/>
    <w:rsid w:val="004E49BB"/>
    <w:rsid w:val="004E4A71"/>
    <w:rsid w:val="004E4B2F"/>
    <w:rsid w:val="004E4D2D"/>
    <w:rsid w:val="004E4DA8"/>
    <w:rsid w:val="004E4FC2"/>
    <w:rsid w:val="004E528D"/>
    <w:rsid w:val="004E52E8"/>
    <w:rsid w:val="004E53E9"/>
    <w:rsid w:val="004E5AF9"/>
    <w:rsid w:val="004E5B9B"/>
    <w:rsid w:val="004E5BC5"/>
    <w:rsid w:val="004E5D41"/>
    <w:rsid w:val="004E60F8"/>
    <w:rsid w:val="004E6131"/>
    <w:rsid w:val="004E6336"/>
    <w:rsid w:val="004E678F"/>
    <w:rsid w:val="004E699A"/>
    <w:rsid w:val="004E6C9B"/>
    <w:rsid w:val="004E6E46"/>
    <w:rsid w:val="004E7115"/>
    <w:rsid w:val="004E7300"/>
    <w:rsid w:val="004E7AF1"/>
    <w:rsid w:val="004E7EE6"/>
    <w:rsid w:val="004F0207"/>
    <w:rsid w:val="004F0315"/>
    <w:rsid w:val="004F08DB"/>
    <w:rsid w:val="004F091B"/>
    <w:rsid w:val="004F0EEF"/>
    <w:rsid w:val="004F1378"/>
    <w:rsid w:val="004F18D0"/>
    <w:rsid w:val="004F1D8D"/>
    <w:rsid w:val="004F1FFF"/>
    <w:rsid w:val="004F208A"/>
    <w:rsid w:val="004F20D5"/>
    <w:rsid w:val="004F2900"/>
    <w:rsid w:val="004F2B8B"/>
    <w:rsid w:val="004F352C"/>
    <w:rsid w:val="004F3CA0"/>
    <w:rsid w:val="004F3CF2"/>
    <w:rsid w:val="004F4181"/>
    <w:rsid w:val="004F4325"/>
    <w:rsid w:val="004F450A"/>
    <w:rsid w:val="004F4C1E"/>
    <w:rsid w:val="004F4D02"/>
    <w:rsid w:val="004F4DA1"/>
    <w:rsid w:val="004F4F31"/>
    <w:rsid w:val="004F5A9D"/>
    <w:rsid w:val="004F5AAA"/>
    <w:rsid w:val="004F5B9F"/>
    <w:rsid w:val="004F5C4C"/>
    <w:rsid w:val="004F5C6D"/>
    <w:rsid w:val="004F5D16"/>
    <w:rsid w:val="004F5DBA"/>
    <w:rsid w:val="004F62FF"/>
    <w:rsid w:val="004F67FC"/>
    <w:rsid w:val="004F6826"/>
    <w:rsid w:val="004F6848"/>
    <w:rsid w:val="004F6A6B"/>
    <w:rsid w:val="004F6D29"/>
    <w:rsid w:val="004F722F"/>
    <w:rsid w:val="004F7252"/>
    <w:rsid w:val="004F73C3"/>
    <w:rsid w:val="004F73E8"/>
    <w:rsid w:val="004F75F6"/>
    <w:rsid w:val="004F780B"/>
    <w:rsid w:val="004F7851"/>
    <w:rsid w:val="004F78EF"/>
    <w:rsid w:val="004F7FAA"/>
    <w:rsid w:val="005001F6"/>
    <w:rsid w:val="00500972"/>
    <w:rsid w:val="00500AF7"/>
    <w:rsid w:val="00500E0E"/>
    <w:rsid w:val="0050100E"/>
    <w:rsid w:val="0050111D"/>
    <w:rsid w:val="005018E2"/>
    <w:rsid w:val="0050198B"/>
    <w:rsid w:val="00501A0C"/>
    <w:rsid w:val="00502154"/>
    <w:rsid w:val="005022B3"/>
    <w:rsid w:val="0050240F"/>
    <w:rsid w:val="00502597"/>
    <w:rsid w:val="00502656"/>
    <w:rsid w:val="0050267D"/>
    <w:rsid w:val="00502696"/>
    <w:rsid w:val="00502B6C"/>
    <w:rsid w:val="00502C20"/>
    <w:rsid w:val="00502D01"/>
    <w:rsid w:val="00503066"/>
    <w:rsid w:val="00503257"/>
    <w:rsid w:val="0050380F"/>
    <w:rsid w:val="0050396C"/>
    <w:rsid w:val="0050398F"/>
    <w:rsid w:val="00503F20"/>
    <w:rsid w:val="00503F85"/>
    <w:rsid w:val="00504406"/>
    <w:rsid w:val="005047A9"/>
    <w:rsid w:val="00504871"/>
    <w:rsid w:val="0050490F"/>
    <w:rsid w:val="005049EC"/>
    <w:rsid w:val="00504A52"/>
    <w:rsid w:val="005052F4"/>
    <w:rsid w:val="0050533A"/>
    <w:rsid w:val="005054EC"/>
    <w:rsid w:val="00505570"/>
    <w:rsid w:val="0050560F"/>
    <w:rsid w:val="00505978"/>
    <w:rsid w:val="00505999"/>
    <w:rsid w:val="00505A6A"/>
    <w:rsid w:val="00505CC8"/>
    <w:rsid w:val="00505D69"/>
    <w:rsid w:val="00505D73"/>
    <w:rsid w:val="0050605A"/>
    <w:rsid w:val="00506734"/>
    <w:rsid w:val="00506805"/>
    <w:rsid w:val="00506B97"/>
    <w:rsid w:val="00506B9A"/>
    <w:rsid w:val="00506F8C"/>
    <w:rsid w:val="005073FC"/>
    <w:rsid w:val="005076E7"/>
    <w:rsid w:val="00507A97"/>
    <w:rsid w:val="00507BB7"/>
    <w:rsid w:val="00507C87"/>
    <w:rsid w:val="00507E56"/>
    <w:rsid w:val="00507F4D"/>
    <w:rsid w:val="005103C4"/>
    <w:rsid w:val="005105CC"/>
    <w:rsid w:val="00510707"/>
    <w:rsid w:val="005109EC"/>
    <w:rsid w:val="00510A77"/>
    <w:rsid w:val="00510B47"/>
    <w:rsid w:val="00510C2C"/>
    <w:rsid w:val="00510EF4"/>
    <w:rsid w:val="00510F10"/>
    <w:rsid w:val="00511177"/>
    <w:rsid w:val="00511263"/>
    <w:rsid w:val="0051137D"/>
    <w:rsid w:val="00511406"/>
    <w:rsid w:val="005116E3"/>
    <w:rsid w:val="005117F2"/>
    <w:rsid w:val="00511AC6"/>
    <w:rsid w:val="00512285"/>
    <w:rsid w:val="005122E7"/>
    <w:rsid w:val="00512631"/>
    <w:rsid w:val="005126F1"/>
    <w:rsid w:val="0051273D"/>
    <w:rsid w:val="00512967"/>
    <w:rsid w:val="005129E9"/>
    <w:rsid w:val="00512E71"/>
    <w:rsid w:val="00512EA8"/>
    <w:rsid w:val="00513211"/>
    <w:rsid w:val="00513695"/>
    <w:rsid w:val="0051369F"/>
    <w:rsid w:val="00513B09"/>
    <w:rsid w:val="00513F7A"/>
    <w:rsid w:val="0051488E"/>
    <w:rsid w:val="00514908"/>
    <w:rsid w:val="00514B91"/>
    <w:rsid w:val="00514CC8"/>
    <w:rsid w:val="00514CFA"/>
    <w:rsid w:val="00514DB9"/>
    <w:rsid w:val="00514E49"/>
    <w:rsid w:val="00514EAC"/>
    <w:rsid w:val="0051534B"/>
    <w:rsid w:val="00515650"/>
    <w:rsid w:val="0051573B"/>
    <w:rsid w:val="00515796"/>
    <w:rsid w:val="00515C62"/>
    <w:rsid w:val="00515EAF"/>
    <w:rsid w:val="005164FC"/>
    <w:rsid w:val="0051652A"/>
    <w:rsid w:val="00516575"/>
    <w:rsid w:val="0051657A"/>
    <w:rsid w:val="00516589"/>
    <w:rsid w:val="00516C40"/>
    <w:rsid w:val="00516E9F"/>
    <w:rsid w:val="00517070"/>
    <w:rsid w:val="00517081"/>
    <w:rsid w:val="0051727D"/>
    <w:rsid w:val="00517D02"/>
    <w:rsid w:val="00517DA8"/>
    <w:rsid w:val="00517E48"/>
    <w:rsid w:val="0052004F"/>
    <w:rsid w:val="0052013A"/>
    <w:rsid w:val="0052025C"/>
    <w:rsid w:val="0052049B"/>
    <w:rsid w:val="0052086C"/>
    <w:rsid w:val="00520987"/>
    <w:rsid w:val="00520A44"/>
    <w:rsid w:val="00520C13"/>
    <w:rsid w:val="00520E0A"/>
    <w:rsid w:val="00520FD6"/>
    <w:rsid w:val="005211FE"/>
    <w:rsid w:val="005215AF"/>
    <w:rsid w:val="005217A8"/>
    <w:rsid w:val="00521996"/>
    <w:rsid w:val="00521E74"/>
    <w:rsid w:val="00521E85"/>
    <w:rsid w:val="0052245F"/>
    <w:rsid w:val="005224DE"/>
    <w:rsid w:val="00522FA1"/>
    <w:rsid w:val="00523194"/>
    <w:rsid w:val="005233EE"/>
    <w:rsid w:val="0052342F"/>
    <w:rsid w:val="0052360D"/>
    <w:rsid w:val="00523F79"/>
    <w:rsid w:val="005242B1"/>
    <w:rsid w:val="005242F3"/>
    <w:rsid w:val="0052433C"/>
    <w:rsid w:val="00524348"/>
    <w:rsid w:val="005243C2"/>
    <w:rsid w:val="00524579"/>
    <w:rsid w:val="00524B4E"/>
    <w:rsid w:val="00524C30"/>
    <w:rsid w:val="005252C2"/>
    <w:rsid w:val="0052546C"/>
    <w:rsid w:val="00525C6B"/>
    <w:rsid w:val="00525E54"/>
    <w:rsid w:val="005261E4"/>
    <w:rsid w:val="00526340"/>
    <w:rsid w:val="0052673A"/>
    <w:rsid w:val="005267CA"/>
    <w:rsid w:val="0052690C"/>
    <w:rsid w:val="00526F17"/>
    <w:rsid w:val="00527C09"/>
    <w:rsid w:val="00527F02"/>
    <w:rsid w:val="005300AE"/>
    <w:rsid w:val="0053021E"/>
    <w:rsid w:val="00530A9A"/>
    <w:rsid w:val="00530B12"/>
    <w:rsid w:val="00530D1F"/>
    <w:rsid w:val="00530FD7"/>
    <w:rsid w:val="0053143F"/>
    <w:rsid w:val="00531A91"/>
    <w:rsid w:val="00531CA6"/>
    <w:rsid w:val="00531F79"/>
    <w:rsid w:val="0053201C"/>
    <w:rsid w:val="0053209F"/>
    <w:rsid w:val="00532269"/>
    <w:rsid w:val="005327E5"/>
    <w:rsid w:val="0053294A"/>
    <w:rsid w:val="00532D63"/>
    <w:rsid w:val="0053328E"/>
    <w:rsid w:val="005335E4"/>
    <w:rsid w:val="0053364B"/>
    <w:rsid w:val="00533683"/>
    <w:rsid w:val="00533B0F"/>
    <w:rsid w:val="00533C3A"/>
    <w:rsid w:val="00533FBF"/>
    <w:rsid w:val="00534006"/>
    <w:rsid w:val="005343E8"/>
    <w:rsid w:val="00534B2E"/>
    <w:rsid w:val="00534DC1"/>
    <w:rsid w:val="00534F5B"/>
    <w:rsid w:val="00535453"/>
    <w:rsid w:val="0053592C"/>
    <w:rsid w:val="005359AF"/>
    <w:rsid w:val="00535A75"/>
    <w:rsid w:val="00535B14"/>
    <w:rsid w:val="00535C63"/>
    <w:rsid w:val="0053605E"/>
    <w:rsid w:val="00536341"/>
    <w:rsid w:val="00536A88"/>
    <w:rsid w:val="00536C9D"/>
    <w:rsid w:val="0053714B"/>
    <w:rsid w:val="005371FA"/>
    <w:rsid w:val="00537304"/>
    <w:rsid w:val="00537485"/>
    <w:rsid w:val="0053752A"/>
    <w:rsid w:val="005379CB"/>
    <w:rsid w:val="00537A76"/>
    <w:rsid w:val="00537F14"/>
    <w:rsid w:val="005401B3"/>
    <w:rsid w:val="005402A7"/>
    <w:rsid w:val="005405EA"/>
    <w:rsid w:val="00540CC7"/>
    <w:rsid w:val="00540CCC"/>
    <w:rsid w:val="00540D6E"/>
    <w:rsid w:val="00540F0F"/>
    <w:rsid w:val="00541017"/>
    <w:rsid w:val="0054121F"/>
    <w:rsid w:val="005415CB"/>
    <w:rsid w:val="00541791"/>
    <w:rsid w:val="00541CF5"/>
    <w:rsid w:val="00541D9E"/>
    <w:rsid w:val="00542115"/>
    <w:rsid w:val="005422B7"/>
    <w:rsid w:val="00543507"/>
    <w:rsid w:val="0054363B"/>
    <w:rsid w:val="00543E1A"/>
    <w:rsid w:val="00543F4C"/>
    <w:rsid w:val="005440C6"/>
    <w:rsid w:val="005440FB"/>
    <w:rsid w:val="00544398"/>
    <w:rsid w:val="005443FA"/>
    <w:rsid w:val="0054470A"/>
    <w:rsid w:val="00544872"/>
    <w:rsid w:val="00544939"/>
    <w:rsid w:val="005451C8"/>
    <w:rsid w:val="0054530A"/>
    <w:rsid w:val="00545B98"/>
    <w:rsid w:val="00545D70"/>
    <w:rsid w:val="00546000"/>
    <w:rsid w:val="00546025"/>
    <w:rsid w:val="00546D0B"/>
    <w:rsid w:val="00547636"/>
    <w:rsid w:val="00547950"/>
    <w:rsid w:val="00547A39"/>
    <w:rsid w:val="00547AD2"/>
    <w:rsid w:val="00547B8C"/>
    <w:rsid w:val="00547B95"/>
    <w:rsid w:val="0055014C"/>
    <w:rsid w:val="00550975"/>
    <w:rsid w:val="00550AB0"/>
    <w:rsid w:val="00550BF4"/>
    <w:rsid w:val="00550CB6"/>
    <w:rsid w:val="00551430"/>
    <w:rsid w:val="00551485"/>
    <w:rsid w:val="00551759"/>
    <w:rsid w:val="00551C77"/>
    <w:rsid w:val="00551CE4"/>
    <w:rsid w:val="00551EAD"/>
    <w:rsid w:val="00551EB5"/>
    <w:rsid w:val="00551EE5"/>
    <w:rsid w:val="00551F00"/>
    <w:rsid w:val="00552144"/>
    <w:rsid w:val="005526C0"/>
    <w:rsid w:val="0055278D"/>
    <w:rsid w:val="0055280C"/>
    <w:rsid w:val="00552F1B"/>
    <w:rsid w:val="00553285"/>
    <w:rsid w:val="00553660"/>
    <w:rsid w:val="00553761"/>
    <w:rsid w:val="00553ABE"/>
    <w:rsid w:val="00553E2E"/>
    <w:rsid w:val="00554724"/>
    <w:rsid w:val="005547D3"/>
    <w:rsid w:val="00554863"/>
    <w:rsid w:val="00554999"/>
    <w:rsid w:val="005549E4"/>
    <w:rsid w:val="00554C75"/>
    <w:rsid w:val="005558F0"/>
    <w:rsid w:val="0055592C"/>
    <w:rsid w:val="0055598C"/>
    <w:rsid w:val="00555AC3"/>
    <w:rsid w:val="0055608E"/>
    <w:rsid w:val="0055609F"/>
    <w:rsid w:val="005560AC"/>
    <w:rsid w:val="005565C6"/>
    <w:rsid w:val="005565D6"/>
    <w:rsid w:val="00556A3D"/>
    <w:rsid w:val="00556B9A"/>
    <w:rsid w:val="00556C9A"/>
    <w:rsid w:val="00557441"/>
    <w:rsid w:val="0055773C"/>
    <w:rsid w:val="005579A3"/>
    <w:rsid w:val="00557B88"/>
    <w:rsid w:val="00557F00"/>
    <w:rsid w:val="005603E3"/>
    <w:rsid w:val="00560622"/>
    <w:rsid w:val="00560719"/>
    <w:rsid w:val="0056082B"/>
    <w:rsid w:val="00560C4D"/>
    <w:rsid w:val="00560CCD"/>
    <w:rsid w:val="00560E05"/>
    <w:rsid w:val="0056133F"/>
    <w:rsid w:val="00561B8A"/>
    <w:rsid w:val="00561C03"/>
    <w:rsid w:val="00561EED"/>
    <w:rsid w:val="005620BC"/>
    <w:rsid w:val="005621DC"/>
    <w:rsid w:val="00562378"/>
    <w:rsid w:val="0056242D"/>
    <w:rsid w:val="00562483"/>
    <w:rsid w:val="0056281E"/>
    <w:rsid w:val="00562873"/>
    <w:rsid w:val="005628D2"/>
    <w:rsid w:val="00563534"/>
    <w:rsid w:val="005640C5"/>
    <w:rsid w:val="00564129"/>
    <w:rsid w:val="005641A9"/>
    <w:rsid w:val="0056468A"/>
    <w:rsid w:val="00564822"/>
    <w:rsid w:val="00564853"/>
    <w:rsid w:val="0056571A"/>
    <w:rsid w:val="00565DF5"/>
    <w:rsid w:val="00565F15"/>
    <w:rsid w:val="00566235"/>
    <w:rsid w:val="00566352"/>
    <w:rsid w:val="00566583"/>
    <w:rsid w:val="00566ADE"/>
    <w:rsid w:val="00566BB2"/>
    <w:rsid w:val="00566CEF"/>
    <w:rsid w:val="00566FA8"/>
    <w:rsid w:val="005670C8"/>
    <w:rsid w:val="00567895"/>
    <w:rsid w:val="00567F88"/>
    <w:rsid w:val="00567F9A"/>
    <w:rsid w:val="00570115"/>
    <w:rsid w:val="00570537"/>
    <w:rsid w:val="00570C89"/>
    <w:rsid w:val="00570D57"/>
    <w:rsid w:val="005715A7"/>
    <w:rsid w:val="0057194D"/>
    <w:rsid w:val="00571A49"/>
    <w:rsid w:val="00571BA8"/>
    <w:rsid w:val="00571BF2"/>
    <w:rsid w:val="00571D30"/>
    <w:rsid w:val="005722BD"/>
    <w:rsid w:val="00572716"/>
    <w:rsid w:val="005729E7"/>
    <w:rsid w:val="00572B0B"/>
    <w:rsid w:val="00572D25"/>
    <w:rsid w:val="0057334C"/>
    <w:rsid w:val="0057389D"/>
    <w:rsid w:val="0057426E"/>
    <w:rsid w:val="005744C5"/>
    <w:rsid w:val="00574639"/>
    <w:rsid w:val="00574718"/>
    <w:rsid w:val="00574BBF"/>
    <w:rsid w:val="00574C1E"/>
    <w:rsid w:val="00574D6C"/>
    <w:rsid w:val="00574DAF"/>
    <w:rsid w:val="0057502D"/>
    <w:rsid w:val="0057528B"/>
    <w:rsid w:val="005754F7"/>
    <w:rsid w:val="00575FBF"/>
    <w:rsid w:val="00575FF9"/>
    <w:rsid w:val="005765AC"/>
    <w:rsid w:val="00576B44"/>
    <w:rsid w:val="00576E8C"/>
    <w:rsid w:val="0057727F"/>
    <w:rsid w:val="0057729D"/>
    <w:rsid w:val="005778C5"/>
    <w:rsid w:val="0058007A"/>
    <w:rsid w:val="005804AD"/>
    <w:rsid w:val="0058059C"/>
    <w:rsid w:val="00580641"/>
    <w:rsid w:val="00580C61"/>
    <w:rsid w:val="00580CE2"/>
    <w:rsid w:val="00580EE9"/>
    <w:rsid w:val="005814E6"/>
    <w:rsid w:val="00581C63"/>
    <w:rsid w:val="00581C9C"/>
    <w:rsid w:val="00581F20"/>
    <w:rsid w:val="00581F49"/>
    <w:rsid w:val="0058201C"/>
    <w:rsid w:val="00582148"/>
    <w:rsid w:val="00582559"/>
    <w:rsid w:val="00582916"/>
    <w:rsid w:val="00582AC7"/>
    <w:rsid w:val="00582DB3"/>
    <w:rsid w:val="00582F00"/>
    <w:rsid w:val="00582FC3"/>
    <w:rsid w:val="005830A2"/>
    <w:rsid w:val="005831E6"/>
    <w:rsid w:val="005834BC"/>
    <w:rsid w:val="00583A88"/>
    <w:rsid w:val="00583BD2"/>
    <w:rsid w:val="00583C20"/>
    <w:rsid w:val="00583EFD"/>
    <w:rsid w:val="00583F21"/>
    <w:rsid w:val="005842C4"/>
    <w:rsid w:val="005842DC"/>
    <w:rsid w:val="005842E8"/>
    <w:rsid w:val="00584618"/>
    <w:rsid w:val="0058475B"/>
    <w:rsid w:val="00584C09"/>
    <w:rsid w:val="00584CBE"/>
    <w:rsid w:val="00584D51"/>
    <w:rsid w:val="00584E94"/>
    <w:rsid w:val="00584F53"/>
    <w:rsid w:val="00585035"/>
    <w:rsid w:val="005850F5"/>
    <w:rsid w:val="005854AE"/>
    <w:rsid w:val="0058588D"/>
    <w:rsid w:val="00585E12"/>
    <w:rsid w:val="00585E66"/>
    <w:rsid w:val="00585FB6"/>
    <w:rsid w:val="0058627D"/>
    <w:rsid w:val="005862CD"/>
    <w:rsid w:val="005864CD"/>
    <w:rsid w:val="005865B7"/>
    <w:rsid w:val="00586C26"/>
    <w:rsid w:val="00586D41"/>
    <w:rsid w:val="005877C9"/>
    <w:rsid w:val="005878A1"/>
    <w:rsid w:val="00587C89"/>
    <w:rsid w:val="00587D76"/>
    <w:rsid w:val="00587D9E"/>
    <w:rsid w:val="00590641"/>
    <w:rsid w:val="005906A6"/>
    <w:rsid w:val="0059071B"/>
    <w:rsid w:val="00590AFB"/>
    <w:rsid w:val="00590C14"/>
    <w:rsid w:val="00590EA8"/>
    <w:rsid w:val="00590EFA"/>
    <w:rsid w:val="00591003"/>
    <w:rsid w:val="00591020"/>
    <w:rsid w:val="005911D0"/>
    <w:rsid w:val="005914ED"/>
    <w:rsid w:val="0059176D"/>
    <w:rsid w:val="00591797"/>
    <w:rsid w:val="00591BA0"/>
    <w:rsid w:val="0059254C"/>
    <w:rsid w:val="0059255A"/>
    <w:rsid w:val="0059293B"/>
    <w:rsid w:val="00592B1A"/>
    <w:rsid w:val="00593060"/>
    <w:rsid w:val="005930F4"/>
    <w:rsid w:val="005931B4"/>
    <w:rsid w:val="00593243"/>
    <w:rsid w:val="0059348D"/>
    <w:rsid w:val="005937FF"/>
    <w:rsid w:val="00593923"/>
    <w:rsid w:val="00593AA7"/>
    <w:rsid w:val="00593DD1"/>
    <w:rsid w:val="00593DDE"/>
    <w:rsid w:val="005940E1"/>
    <w:rsid w:val="00594422"/>
    <w:rsid w:val="005944B4"/>
    <w:rsid w:val="005946F0"/>
    <w:rsid w:val="0059476F"/>
    <w:rsid w:val="0059530A"/>
    <w:rsid w:val="0059548E"/>
    <w:rsid w:val="00595B9B"/>
    <w:rsid w:val="00595D73"/>
    <w:rsid w:val="00595E2E"/>
    <w:rsid w:val="00595E72"/>
    <w:rsid w:val="00596351"/>
    <w:rsid w:val="005966C0"/>
    <w:rsid w:val="005969C2"/>
    <w:rsid w:val="00596A78"/>
    <w:rsid w:val="00596B32"/>
    <w:rsid w:val="00596CDB"/>
    <w:rsid w:val="00596F85"/>
    <w:rsid w:val="00597639"/>
    <w:rsid w:val="00597670"/>
    <w:rsid w:val="005976DE"/>
    <w:rsid w:val="00597E04"/>
    <w:rsid w:val="00597FB3"/>
    <w:rsid w:val="005A0032"/>
    <w:rsid w:val="005A0AD0"/>
    <w:rsid w:val="005A0C31"/>
    <w:rsid w:val="005A102A"/>
    <w:rsid w:val="005A15DC"/>
    <w:rsid w:val="005A17E8"/>
    <w:rsid w:val="005A180C"/>
    <w:rsid w:val="005A2174"/>
    <w:rsid w:val="005A21E8"/>
    <w:rsid w:val="005A2213"/>
    <w:rsid w:val="005A2228"/>
    <w:rsid w:val="005A2380"/>
    <w:rsid w:val="005A2492"/>
    <w:rsid w:val="005A2888"/>
    <w:rsid w:val="005A2AD1"/>
    <w:rsid w:val="005A2C96"/>
    <w:rsid w:val="005A35B8"/>
    <w:rsid w:val="005A3A01"/>
    <w:rsid w:val="005A3BED"/>
    <w:rsid w:val="005A407B"/>
    <w:rsid w:val="005A4157"/>
    <w:rsid w:val="005A45C4"/>
    <w:rsid w:val="005A4975"/>
    <w:rsid w:val="005A4C6E"/>
    <w:rsid w:val="005A4F4B"/>
    <w:rsid w:val="005A511D"/>
    <w:rsid w:val="005A5197"/>
    <w:rsid w:val="005A5292"/>
    <w:rsid w:val="005A535B"/>
    <w:rsid w:val="005A551D"/>
    <w:rsid w:val="005A57C0"/>
    <w:rsid w:val="005A5986"/>
    <w:rsid w:val="005A5A52"/>
    <w:rsid w:val="005A5C86"/>
    <w:rsid w:val="005A5FF2"/>
    <w:rsid w:val="005A6124"/>
    <w:rsid w:val="005A61C1"/>
    <w:rsid w:val="005A6471"/>
    <w:rsid w:val="005A66C7"/>
    <w:rsid w:val="005A6901"/>
    <w:rsid w:val="005A6CAA"/>
    <w:rsid w:val="005A6CAD"/>
    <w:rsid w:val="005A6CCB"/>
    <w:rsid w:val="005A709A"/>
    <w:rsid w:val="005A736F"/>
    <w:rsid w:val="005A7582"/>
    <w:rsid w:val="005A75B0"/>
    <w:rsid w:val="005A769B"/>
    <w:rsid w:val="005A76D1"/>
    <w:rsid w:val="005A7736"/>
    <w:rsid w:val="005A77CF"/>
    <w:rsid w:val="005A7A24"/>
    <w:rsid w:val="005B057D"/>
    <w:rsid w:val="005B069A"/>
    <w:rsid w:val="005B06A6"/>
    <w:rsid w:val="005B0757"/>
    <w:rsid w:val="005B0846"/>
    <w:rsid w:val="005B0A39"/>
    <w:rsid w:val="005B0D23"/>
    <w:rsid w:val="005B1398"/>
    <w:rsid w:val="005B1646"/>
    <w:rsid w:val="005B1818"/>
    <w:rsid w:val="005B1B80"/>
    <w:rsid w:val="005B1BCA"/>
    <w:rsid w:val="005B1C0D"/>
    <w:rsid w:val="005B1E03"/>
    <w:rsid w:val="005B1FC9"/>
    <w:rsid w:val="005B2071"/>
    <w:rsid w:val="005B2196"/>
    <w:rsid w:val="005B271F"/>
    <w:rsid w:val="005B2903"/>
    <w:rsid w:val="005B292F"/>
    <w:rsid w:val="005B2B6E"/>
    <w:rsid w:val="005B2F55"/>
    <w:rsid w:val="005B3245"/>
    <w:rsid w:val="005B32CF"/>
    <w:rsid w:val="005B35B8"/>
    <w:rsid w:val="005B35EE"/>
    <w:rsid w:val="005B39C6"/>
    <w:rsid w:val="005B3A61"/>
    <w:rsid w:val="005B3C53"/>
    <w:rsid w:val="005B3F7A"/>
    <w:rsid w:val="005B469A"/>
    <w:rsid w:val="005B470B"/>
    <w:rsid w:val="005B4933"/>
    <w:rsid w:val="005B4A01"/>
    <w:rsid w:val="005B4BDB"/>
    <w:rsid w:val="005B4C32"/>
    <w:rsid w:val="005B50A9"/>
    <w:rsid w:val="005B50DB"/>
    <w:rsid w:val="005B5378"/>
    <w:rsid w:val="005B56CF"/>
    <w:rsid w:val="005B5989"/>
    <w:rsid w:val="005B5A17"/>
    <w:rsid w:val="005B5A64"/>
    <w:rsid w:val="005B5CD5"/>
    <w:rsid w:val="005B5FA0"/>
    <w:rsid w:val="005B63A4"/>
    <w:rsid w:val="005B682C"/>
    <w:rsid w:val="005B685D"/>
    <w:rsid w:val="005B6866"/>
    <w:rsid w:val="005B6AFE"/>
    <w:rsid w:val="005B7AA7"/>
    <w:rsid w:val="005B7C7D"/>
    <w:rsid w:val="005B7C9D"/>
    <w:rsid w:val="005B7E0A"/>
    <w:rsid w:val="005B7ED4"/>
    <w:rsid w:val="005B7EE0"/>
    <w:rsid w:val="005C03F2"/>
    <w:rsid w:val="005C03FA"/>
    <w:rsid w:val="005C070A"/>
    <w:rsid w:val="005C071F"/>
    <w:rsid w:val="005C0930"/>
    <w:rsid w:val="005C0C8E"/>
    <w:rsid w:val="005C11F8"/>
    <w:rsid w:val="005C1334"/>
    <w:rsid w:val="005C1346"/>
    <w:rsid w:val="005C17CD"/>
    <w:rsid w:val="005C1AF8"/>
    <w:rsid w:val="005C1C25"/>
    <w:rsid w:val="005C1C90"/>
    <w:rsid w:val="005C1EC1"/>
    <w:rsid w:val="005C2161"/>
    <w:rsid w:val="005C2585"/>
    <w:rsid w:val="005C2A9A"/>
    <w:rsid w:val="005C36C0"/>
    <w:rsid w:val="005C37E0"/>
    <w:rsid w:val="005C3A29"/>
    <w:rsid w:val="005C3D2D"/>
    <w:rsid w:val="005C4204"/>
    <w:rsid w:val="005C4239"/>
    <w:rsid w:val="005C42C9"/>
    <w:rsid w:val="005C443F"/>
    <w:rsid w:val="005C464F"/>
    <w:rsid w:val="005C466B"/>
    <w:rsid w:val="005C4867"/>
    <w:rsid w:val="005C4BD2"/>
    <w:rsid w:val="005C4D63"/>
    <w:rsid w:val="005C4F18"/>
    <w:rsid w:val="005C5053"/>
    <w:rsid w:val="005C528B"/>
    <w:rsid w:val="005C5AE0"/>
    <w:rsid w:val="005C5B7F"/>
    <w:rsid w:val="005C5DEE"/>
    <w:rsid w:val="005C5FE4"/>
    <w:rsid w:val="005C621D"/>
    <w:rsid w:val="005C6A9B"/>
    <w:rsid w:val="005C6AA2"/>
    <w:rsid w:val="005C6D23"/>
    <w:rsid w:val="005C6DAD"/>
    <w:rsid w:val="005C6F0F"/>
    <w:rsid w:val="005C6F5A"/>
    <w:rsid w:val="005C731B"/>
    <w:rsid w:val="005C75D1"/>
    <w:rsid w:val="005C7965"/>
    <w:rsid w:val="005D0455"/>
    <w:rsid w:val="005D05FE"/>
    <w:rsid w:val="005D0D9A"/>
    <w:rsid w:val="005D0F34"/>
    <w:rsid w:val="005D1027"/>
    <w:rsid w:val="005D112E"/>
    <w:rsid w:val="005D199C"/>
    <w:rsid w:val="005D208C"/>
    <w:rsid w:val="005D2090"/>
    <w:rsid w:val="005D2536"/>
    <w:rsid w:val="005D2777"/>
    <w:rsid w:val="005D2804"/>
    <w:rsid w:val="005D2D7C"/>
    <w:rsid w:val="005D304D"/>
    <w:rsid w:val="005D3432"/>
    <w:rsid w:val="005D3462"/>
    <w:rsid w:val="005D362A"/>
    <w:rsid w:val="005D3C13"/>
    <w:rsid w:val="005D3D0F"/>
    <w:rsid w:val="005D40CA"/>
    <w:rsid w:val="005D4167"/>
    <w:rsid w:val="005D45EA"/>
    <w:rsid w:val="005D460B"/>
    <w:rsid w:val="005D4D9E"/>
    <w:rsid w:val="005D4DD2"/>
    <w:rsid w:val="005D4F97"/>
    <w:rsid w:val="005D5232"/>
    <w:rsid w:val="005D5764"/>
    <w:rsid w:val="005D57B6"/>
    <w:rsid w:val="005D5892"/>
    <w:rsid w:val="005D58F7"/>
    <w:rsid w:val="005D5A20"/>
    <w:rsid w:val="005D5BD3"/>
    <w:rsid w:val="005D5D9C"/>
    <w:rsid w:val="005D5FBE"/>
    <w:rsid w:val="005D64CC"/>
    <w:rsid w:val="005D65F1"/>
    <w:rsid w:val="005D6785"/>
    <w:rsid w:val="005D6A1C"/>
    <w:rsid w:val="005D7306"/>
    <w:rsid w:val="005D7599"/>
    <w:rsid w:val="005D77AE"/>
    <w:rsid w:val="005D77C6"/>
    <w:rsid w:val="005D7957"/>
    <w:rsid w:val="005D79BD"/>
    <w:rsid w:val="005D7A16"/>
    <w:rsid w:val="005D7A8D"/>
    <w:rsid w:val="005D7BF0"/>
    <w:rsid w:val="005D7C4E"/>
    <w:rsid w:val="005D7C54"/>
    <w:rsid w:val="005E01C2"/>
    <w:rsid w:val="005E083E"/>
    <w:rsid w:val="005E08A1"/>
    <w:rsid w:val="005E09A5"/>
    <w:rsid w:val="005E0A20"/>
    <w:rsid w:val="005E0DD9"/>
    <w:rsid w:val="005E113C"/>
    <w:rsid w:val="005E1549"/>
    <w:rsid w:val="005E16B2"/>
    <w:rsid w:val="005E19A1"/>
    <w:rsid w:val="005E22D2"/>
    <w:rsid w:val="005E2501"/>
    <w:rsid w:val="005E26C7"/>
    <w:rsid w:val="005E2B40"/>
    <w:rsid w:val="005E2D6D"/>
    <w:rsid w:val="005E368F"/>
    <w:rsid w:val="005E374B"/>
    <w:rsid w:val="005E3763"/>
    <w:rsid w:val="005E3A63"/>
    <w:rsid w:val="005E3C33"/>
    <w:rsid w:val="005E42AC"/>
    <w:rsid w:val="005E43C7"/>
    <w:rsid w:val="005E451F"/>
    <w:rsid w:val="005E458F"/>
    <w:rsid w:val="005E472D"/>
    <w:rsid w:val="005E4ABC"/>
    <w:rsid w:val="005E5066"/>
    <w:rsid w:val="005E58A6"/>
    <w:rsid w:val="005E5A35"/>
    <w:rsid w:val="005E5A3C"/>
    <w:rsid w:val="005E5AC1"/>
    <w:rsid w:val="005E5CC7"/>
    <w:rsid w:val="005E5D7F"/>
    <w:rsid w:val="005E5E9D"/>
    <w:rsid w:val="005E601E"/>
    <w:rsid w:val="005E6181"/>
    <w:rsid w:val="005E62C2"/>
    <w:rsid w:val="005E6504"/>
    <w:rsid w:val="005E7003"/>
    <w:rsid w:val="005E73D0"/>
    <w:rsid w:val="005E75CF"/>
    <w:rsid w:val="005E77BA"/>
    <w:rsid w:val="005E78FC"/>
    <w:rsid w:val="005E7BF1"/>
    <w:rsid w:val="005E7D84"/>
    <w:rsid w:val="005F01EC"/>
    <w:rsid w:val="005F0214"/>
    <w:rsid w:val="005F0567"/>
    <w:rsid w:val="005F05E5"/>
    <w:rsid w:val="005F08AB"/>
    <w:rsid w:val="005F1052"/>
    <w:rsid w:val="005F11A1"/>
    <w:rsid w:val="005F11B5"/>
    <w:rsid w:val="005F11C1"/>
    <w:rsid w:val="005F133E"/>
    <w:rsid w:val="005F13F4"/>
    <w:rsid w:val="005F1FE5"/>
    <w:rsid w:val="005F216F"/>
    <w:rsid w:val="005F234F"/>
    <w:rsid w:val="005F275A"/>
    <w:rsid w:val="005F27DC"/>
    <w:rsid w:val="005F292F"/>
    <w:rsid w:val="005F2AFA"/>
    <w:rsid w:val="005F3167"/>
    <w:rsid w:val="005F3361"/>
    <w:rsid w:val="005F343A"/>
    <w:rsid w:val="005F36D8"/>
    <w:rsid w:val="005F4161"/>
    <w:rsid w:val="005F4322"/>
    <w:rsid w:val="005F4355"/>
    <w:rsid w:val="005F438C"/>
    <w:rsid w:val="005F4432"/>
    <w:rsid w:val="005F4553"/>
    <w:rsid w:val="005F466F"/>
    <w:rsid w:val="005F4698"/>
    <w:rsid w:val="005F477A"/>
    <w:rsid w:val="005F4A2C"/>
    <w:rsid w:val="005F532A"/>
    <w:rsid w:val="005F538A"/>
    <w:rsid w:val="005F53D5"/>
    <w:rsid w:val="005F5615"/>
    <w:rsid w:val="005F57F9"/>
    <w:rsid w:val="005F5901"/>
    <w:rsid w:val="005F5ADD"/>
    <w:rsid w:val="005F5DB1"/>
    <w:rsid w:val="005F5F1E"/>
    <w:rsid w:val="005F606D"/>
    <w:rsid w:val="005F6344"/>
    <w:rsid w:val="005F647D"/>
    <w:rsid w:val="005F6757"/>
    <w:rsid w:val="005F6A53"/>
    <w:rsid w:val="005F6C49"/>
    <w:rsid w:val="005F6E1C"/>
    <w:rsid w:val="005F6EA3"/>
    <w:rsid w:val="005F7229"/>
    <w:rsid w:val="005F734E"/>
    <w:rsid w:val="005F737B"/>
    <w:rsid w:val="005F7A12"/>
    <w:rsid w:val="005F7AAE"/>
    <w:rsid w:val="00600062"/>
    <w:rsid w:val="006000F4"/>
    <w:rsid w:val="00600206"/>
    <w:rsid w:val="00600DD9"/>
    <w:rsid w:val="00600F50"/>
    <w:rsid w:val="00600F93"/>
    <w:rsid w:val="00601410"/>
    <w:rsid w:val="00601956"/>
    <w:rsid w:val="00601BAD"/>
    <w:rsid w:val="00601E42"/>
    <w:rsid w:val="006021B5"/>
    <w:rsid w:val="00602323"/>
    <w:rsid w:val="00602678"/>
    <w:rsid w:val="00602959"/>
    <w:rsid w:val="00602B25"/>
    <w:rsid w:val="00602B61"/>
    <w:rsid w:val="00602BC8"/>
    <w:rsid w:val="00602C6B"/>
    <w:rsid w:val="0060347A"/>
    <w:rsid w:val="00603606"/>
    <w:rsid w:val="00603A5F"/>
    <w:rsid w:val="00603BB1"/>
    <w:rsid w:val="00603E2B"/>
    <w:rsid w:val="00603F1B"/>
    <w:rsid w:val="00604053"/>
    <w:rsid w:val="006041D0"/>
    <w:rsid w:val="0060459A"/>
    <w:rsid w:val="006045E9"/>
    <w:rsid w:val="0060476F"/>
    <w:rsid w:val="0060489E"/>
    <w:rsid w:val="00604C4B"/>
    <w:rsid w:val="00605435"/>
    <w:rsid w:val="0060548A"/>
    <w:rsid w:val="006056A0"/>
    <w:rsid w:val="006059E3"/>
    <w:rsid w:val="00605BD7"/>
    <w:rsid w:val="00605BDA"/>
    <w:rsid w:val="0060600A"/>
    <w:rsid w:val="00606117"/>
    <w:rsid w:val="00606157"/>
    <w:rsid w:val="00606328"/>
    <w:rsid w:val="006065AA"/>
    <w:rsid w:val="0060685B"/>
    <w:rsid w:val="006068D7"/>
    <w:rsid w:val="00606AEE"/>
    <w:rsid w:val="00606AFA"/>
    <w:rsid w:val="00606BCA"/>
    <w:rsid w:val="00607099"/>
    <w:rsid w:val="00607376"/>
    <w:rsid w:val="00607604"/>
    <w:rsid w:val="006076FB"/>
    <w:rsid w:val="00607AE3"/>
    <w:rsid w:val="00607C88"/>
    <w:rsid w:val="00607CF9"/>
    <w:rsid w:val="00607D67"/>
    <w:rsid w:val="0061008F"/>
    <w:rsid w:val="00610623"/>
    <w:rsid w:val="006111C1"/>
    <w:rsid w:val="0061145D"/>
    <w:rsid w:val="00611758"/>
    <w:rsid w:val="00611818"/>
    <w:rsid w:val="006118FC"/>
    <w:rsid w:val="00611909"/>
    <w:rsid w:val="00611B6D"/>
    <w:rsid w:val="00611BA4"/>
    <w:rsid w:val="00611D60"/>
    <w:rsid w:val="0061276E"/>
    <w:rsid w:val="0061282C"/>
    <w:rsid w:val="00612C81"/>
    <w:rsid w:val="006130CF"/>
    <w:rsid w:val="0061319A"/>
    <w:rsid w:val="0061348B"/>
    <w:rsid w:val="006134BA"/>
    <w:rsid w:val="006137F7"/>
    <w:rsid w:val="00613836"/>
    <w:rsid w:val="00613D66"/>
    <w:rsid w:val="006141C1"/>
    <w:rsid w:val="006141D6"/>
    <w:rsid w:val="006147FD"/>
    <w:rsid w:val="00614963"/>
    <w:rsid w:val="00614B39"/>
    <w:rsid w:val="006150BC"/>
    <w:rsid w:val="0061552D"/>
    <w:rsid w:val="00615572"/>
    <w:rsid w:val="00615578"/>
    <w:rsid w:val="0061598C"/>
    <w:rsid w:val="00615FD0"/>
    <w:rsid w:val="00616008"/>
    <w:rsid w:val="0061663B"/>
    <w:rsid w:val="006167F4"/>
    <w:rsid w:val="00616BAB"/>
    <w:rsid w:val="00616D53"/>
    <w:rsid w:val="00616F6B"/>
    <w:rsid w:val="00617693"/>
    <w:rsid w:val="006176A4"/>
    <w:rsid w:val="0061791E"/>
    <w:rsid w:val="00617A91"/>
    <w:rsid w:val="00617EBD"/>
    <w:rsid w:val="00617ECC"/>
    <w:rsid w:val="00617F12"/>
    <w:rsid w:val="006200F6"/>
    <w:rsid w:val="00620493"/>
    <w:rsid w:val="006204EC"/>
    <w:rsid w:val="00620677"/>
    <w:rsid w:val="00620690"/>
    <w:rsid w:val="00620724"/>
    <w:rsid w:val="0062089B"/>
    <w:rsid w:val="006208A0"/>
    <w:rsid w:val="00620AD5"/>
    <w:rsid w:val="00620D25"/>
    <w:rsid w:val="00620D3E"/>
    <w:rsid w:val="00620DF9"/>
    <w:rsid w:val="0062103A"/>
    <w:rsid w:val="006215E3"/>
    <w:rsid w:val="00621611"/>
    <w:rsid w:val="00622248"/>
    <w:rsid w:val="0062245F"/>
    <w:rsid w:val="00622594"/>
    <w:rsid w:val="006227A0"/>
    <w:rsid w:val="00622978"/>
    <w:rsid w:val="00622E42"/>
    <w:rsid w:val="0062300F"/>
    <w:rsid w:val="006230C9"/>
    <w:rsid w:val="00623115"/>
    <w:rsid w:val="006231D3"/>
    <w:rsid w:val="006231EE"/>
    <w:rsid w:val="006234E5"/>
    <w:rsid w:val="0062385B"/>
    <w:rsid w:val="00623954"/>
    <w:rsid w:val="0062414D"/>
    <w:rsid w:val="006241E7"/>
    <w:rsid w:val="006247D0"/>
    <w:rsid w:val="006249A7"/>
    <w:rsid w:val="006249E4"/>
    <w:rsid w:val="00624C33"/>
    <w:rsid w:val="00624C43"/>
    <w:rsid w:val="00624D44"/>
    <w:rsid w:val="006253A7"/>
    <w:rsid w:val="00625506"/>
    <w:rsid w:val="00625546"/>
    <w:rsid w:val="006256B9"/>
    <w:rsid w:val="00625DDE"/>
    <w:rsid w:val="00625F68"/>
    <w:rsid w:val="00626499"/>
    <w:rsid w:val="0062665C"/>
    <w:rsid w:val="006267A6"/>
    <w:rsid w:val="006268FC"/>
    <w:rsid w:val="00626E3B"/>
    <w:rsid w:val="00626F3A"/>
    <w:rsid w:val="00626FC1"/>
    <w:rsid w:val="00626FCB"/>
    <w:rsid w:val="00626FCD"/>
    <w:rsid w:val="006270BD"/>
    <w:rsid w:val="00627105"/>
    <w:rsid w:val="00627315"/>
    <w:rsid w:val="00627639"/>
    <w:rsid w:val="00627D1E"/>
    <w:rsid w:val="00627EC7"/>
    <w:rsid w:val="00630780"/>
    <w:rsid w:val="00630950"/>
    <w:rsid w:val="00630A44"/>
    <w:rsid w:val="00631067"/>
    <w:rsid w:val="006315F0"/>
    <w:rsid w:val="00631680"/>
    <w:rsid w:val="00631ADD"/>
    <w:rsid w:val="00631CA7"/>
    <w:rsid w:val="00631D54"/>
    <w:rsid w:val="00631D7A"/>
    <w:rsid w:val="00631E0C"/>
    <w:rsid w:val="00631F6A"/>
    <w:rsid w:val="0063208C"/>
    <w:rsid w:val="006320EB"/>
    <w:rsid w:val="006323FD"/>
    <w:rsid w:val="0063246E"/>
    <w:rsid w:val="00632971"/>
    <w:rsid w:val="006329BA"/>
    <w:rsid w:val="00632CF8"/>
    <w:rsid w:val="00633132"/>
    <w:rsid w:val="006334AC"/>
    <w:rsid w:val="00633EA4"/>
    <w:rsid w:val="00633FDC"/>
    <w:rsid w:val="00634231"/>
    <w:rsid w:val="006345D3"/>
    <w:rsid w:val="00634B17"/>
    <w:rsid w:val="00634B46"/>
    <w:rsid w:val="00634F4B"/>
    <w:rsid w:val="006350A0"/>
    <w:rsid w:val="00635302"/>
    <w:rsid w:val="00635457"/>
    <w:rsid w:val="00635529"/>
    <w:rsid w:val="0063557A"/>
    <w:rsid w:val="0063563E"/>
    <w:rsid w:val="0063582A"/>
    <w:rsid w:val="00635C93"/>
    <w:rsid w:val="00635CC7"/>
    <w:rsid w:val="00635E15"/>
    <w:rsid w:val="00636178"/>
    <w:rsid w:val="006362C9"/>
    <w:rsid w:val="00636872"/>
    <w:rsid w:val="0063695C"/>
    <w:rsid w:val="00636A97"/>
    <w:rsid w:val="00636C6A"/>
    <w:rsid w:val="00636DF5"/>
    <w:rsid w:val="006370A7"/>
    <w:rsid w:val="00637FA7"/>
    <w:rsid w:val="0064039A"/>
    <w:rsid w:val="00640D6C"/>
    <w:rsid w:val="00640D75"/>
    <w:rsid w:val="00640E23"/>
    <w:rsid w:val="006410A1"/>
    <w:rsid w:val="00641171"/>
    <w:rsid w:val="00641917"/>
    <w:rsid w:val="00641941"/>
    <w:rsid w:val="0064203C"/>
    <w:rsid w:val="006424A6"/>
    <w:rsid w:val="00642512"/>
    <w:rsid w:val="0064295D"/>
    <w:rsid w:val="00642B18"/>
    <w:rsid w:val="00642BCE"/>
    <w:rsid w:val="0064305E"/>
    <w:rsid w:val="00643412"/>
    <w:rsid w:val="006435E2"/>
    <w:rsid w:val="00643640"/>
    <w:rsid w:val="006436AB"/>
    <w:rsid w:val="0064373A"/>
    <w:rsid w:val="00643F31"/>
    <w:rsid w:val="0064419C"/>
    <w:rsid w:val="00644690"/>
    <w:rsid w:val="00644AC5"/>
    <w:rsid w:val="00644E00"/>
    <w:rsid w:val="00644E26"/>
    <w:rsid w:val="006451D5"/>
    <w:rsid w:val="0064551C"/>
    <w:rsid w:val="006455AB"/>
    <w:rsid w:val="00645686"/>
    <w:rsid w:val="00645875"/>
    <w:rsid w:val="006458D6"/>
    <w:rsid w:val="00645A3A"/>
    <w:rsid w:val="00645B64"/>
    <w:rsid w:val="00646254"/>
    <w:rsid w:val="00646290"/>
    <w:rsid w:val="006462DA"/>
    <w:rsid w:val="00646306"/>
    <w:rsid w:val="006463FD"/>
    <w:rsid w:val="006466D5"/>
    <w:rsid w:val="00646718"/>
    <w:rsid w:val="00646C1F"/>
    <w:rsid w:val="00646C61"/>
    <w:rsid w:val="00646E0B"/>
    <w:rsid w:val="00646FC2"/>
    <w:rsid w:val="006470B8"/>
    <w:rsid w:val="006474A6"/>
    <w:rsid w:val="00647ACD"/>
    <w:rsid w:val="00647BB7"/>
    <w:rsid w:val="00647CAC"/>
    <w:rsid w:val="00647CAF"/>
    <w:rsid w:val="00647D94"/>
    <w:rsid w:val="00647F06"/>
    <w:rsid w:val="006500A8"/>
    <w:rsid w:val="0065058A"/>
    <w:rsid w:val="00650622"/>
    <w:rsid w:val="00650706"/>
    <w:rsid w:val="0065074F"/>
    <w:rsid w:val="006507C5"/>
    <w:rsid w:val="006507DE"/>
    <w:rsid w:val="006508EA"/>
    <w:rsid w:val="00650C15"/>
    <w:rsid w:val="00650FAA"/>
    <w:rsid w:val="0065121F"/>
    <w:rsid w:val="0065143C"/>
    <w:rsid w:val="0065145A"/>
    <w:rsid w:val="006515D3"/>
    <w:rsid w:val="00651751"/>
    <w:rsid w:val="00651863"/>
    <w:rsid w:val="00651BC4"/>
    <w:rsid w:val="00651C46"/>
    <w:rsid w:val="00651CB3"/>
    <w:rsid w:val="00651CD6"/>
    <w:rsid w:val="00651CF9"/>
    <w:rsid w:val="00651EB8"/>
    <w:rsid w:val="00651F14"/>
    <w:rsid w:val="00651F7E"/>
    <w:rsid w:val="00652553"/>
    <w:rsid w:val="006528EE"/>
    <w:rsid w:val="00653049"/>
    <w:rsid w:val="00653133"/>
    <w:rsid w:val="006536DB"/>
    <w:rsid w:val="0065395E"/>
    <w:rsid w:val="00653A36"/>
    <w:rsid w:val="00653EA4"/>
    <w:rsid w:val="00653FBC"/>
    <w:rsid w:val="006540C8"/>
    <w:rsid w:val="0065481F"/>
    <w:rsid w:val="00654CBD"/>
    <w:rsid w:val="00654DEF"/>
    <w:rsid w:val="0065536A"/>
    <w:rsid w:val="00655371"/>
    <w:rsid w:val="006555E7"/>
    <w:rsid w:val="006557A5"/>
    <w:rsid w:val="0065590E"/>
    <w:rsid w:val="00655B7B"/>
    <w:rsid w:val="006568E4"/>
    <w:rsid w:val="00656960"/>
    <w:rsid w:val="0065758D"/>
    <w:rsid w:val="006578A6"/>
    <w:rsid w:val="0065797C"/>
    <w:rsid w:val="00657ACA"/>
    <w:rsid w:val="00657BB2"/>
    <w:rsid w:val="00657BCE"/>
    <w:rsid w:val="00660229"/>
    <w:rsid w:val="0066052E"/>
    <w:rsid w:val="00660801"/>
    <w:rsid w:val="00660803"/>
    <w:rsid w:val="0066093A"/>
    <w:rsid w:val="006609D0"/>
    <w:rsid w:val="00660B15"/>
    <w:rsid w:val="00660D72"/>
    <w:rsid w:val="00660E8A"/>
    <w:rsid w:val="00661246"/>
    <w:rsid w:val="006612D0"/>
    <w:rsid w:val="006613F2"/>
    <w:rsid w:val="0066159F"/>
    <w:rsid w:val="00661617"/>
    <w:rsid w:val="00661723"/>
    <w:rsid w:val="006617C4"/>
    <w:rsid w:val="00661C1B"/>
    <w:rsid w:val="00661E42"/>
    <w:rsid w:val="00661F09"/>
    <w:rsid w:val="0066215C"/>
    <w:rsid w:val="00662272"/>
    <w:rsid w:val="006625F5"/>
    <w:rsid w:val="00662A35"/>
    <w:rsid w:val="00662A8C"/>
    <w:rsid w:val="00662D91"/>
    <w:rsid w:val="00662DE7"/>
    <w:rsid w:val="00662F3D"/>
    <w:rsid w:val="00663450"/>
    <w:rsid w:val="006634D6"/>
    <w:rsid w:val="006634D8"/>
    <w:rsid w:val="00663869"/>
    <w:rsid w:val="006638B6"/>
    <w:rsid w:val="006639C8"/>
    <w:rsid w:val="00663BB1"/>
    <w:rsid w:val="00663DBA"/>
    <w:rsid w:val="00664463"/>
    <w:rsid w:val="00664626"/>
    <w:rsid w:val="00664C50"/>
    <w:rsid w:val="00664CF0"/>
    <w:rsid w:val="00665101"/>
    <w:rsid w:val="00665912"/>
    <w:rsid w:val="00665A1F"/>
    <w:rsid w:val="00665BE3"/>
    <w:rsid w:val="00665C30"/>
    <w:rsid w:val="00665D49"/>
    <w:rsid w:val="00665D79"/>
    <w:rsid w:val="00665EFC"/>
    <w:rsid w:val="0066618D"/>
    <w:rsid w:val="006661D2"/>
    <w:rsid w:val="0066625C"/>
    <w:rsid w:val="0066646A"/>
    <w:rsid w:val="006664D4"/>
    <w:rsid w:val="006667CF"/>
    <w:rsid w:val="00666A58"/>
    <w:rsid w:val="00666B21"/>
    <w:rsid w:val="00666CF2"/>
    <w:rsid w:val="00666DF7"/>
    <w:rsid w:val="00666E2C"/>
    <w:rsid w:val="00667341"/>
    <w:rsid w:val="0066759C"/>
    <w:rsid w:val="00667923"/>
    <w:rsid w:val="00667F97"/>
    <w:rsid w:val="0067019D"/>
    <w:rsid w:val="00670207"/>
    <w:rsid w:val="006705B9"/>
    <w:rsid w:val="00670C07"/>
    <w:rsid w:val="006710E4"/>
    <w:rsid w:val="006711C1"/>
    <w:rsid w:val="00671821"/>
    <w:rsid w:val="00671A43"/>
    <w:rsid w:val="00671BD1"/>
    <w:rsid w:val="00671DA3"/>
    <w:rsid w:val="00671DB9"/>
    <w:rsid w:val="006720C8"/>
    <w:rsid w:val="00672173"/>
    <w:rsid w:val="0067244F"/>
    <w:rsid w:val="006728CF"/>
    <w:rsid w:val="00672B87"/>
    <w:rsid w:val="00672D87"/>
    <w:rsid w:val="00672E0F"/>
    <w:rsid w:val="00672EE4"/>
    <w:rsid w:val="006733AC"/>
    <w:rsid w:val="0067373D"/>
    <w:rsid w:val="006738D7"/>
    <w:rsid w:val="006738E3"/>
    <w:rsid w:val="00673911"/>
    <w:rsid w:val="00673AF4"/>
    <w:rsid w:val="00673CD0"/>
    <w:rsid w:val="00673EEE"/>
    <w:rsid w:val="006740D0"/>
    <w:rsid w:val="00674164"/>
    <w:rsid w:val="00674421"/>
    <w:rsid w:val="006745F4"/>
    <w:rsid w:val="00674659"/>
    <w:rsid w:val="006746EF"/>
    <w:rsid w:val="006747F7"/>
    <w:rsid w:val="00674A5D"/>
    <w:rsid w:val="00674B33"/>
    <w:rsid w:val="00674E12"/>
    <w:rsid w:val="00674EB6"/>
    <w:rsid w:val="00675376"/>
    <w:rsid w:val="00675767"/>
    <w:rsid w:val="00675B17"/>
    <w:rsid w:val="00675EA1"/>
    <w:rsid w:val="00675F80"/>
    <w:rsid w:val="00675FDA"/>
    <w:rsid w:val="00676010"/>
    <w:rsid w:val="0067629F"/>
    <w:rsid w:val="00676980"/>
    <w:rsid w:val="006769BC"/>
    <w:rsid w:val="00676CD2"/>
    <w:rsid w:val="00676E56"/>
    <w:rsid w:val="00677094"/>
    <w:rsid w:val="00677740"/>
    <w:rsid w:val="00677812"/>
    <w:rsid w:val="0067784D"/>
    <w:rsid w:val="00677851"/>
    <w:rsid w:val="00677E1A"/>
    <w:rsid w:val="00677E66"/>
    <w:rsid w:val="0068010E"/>
    <w:rsid w:val="006801D4"/>
    <w:rsid w:val="00680231"/>
    <w:rsid w:val="006806C5"/>
    <w:rsid w:val="006809D3"/>
    <w:rsid w:val="00680E45"/>
    <w:rsid w:val="00680FD2"/>
    <w:rsid w:val="00680FD4"/>
    <w:rsid w:val="00681388"/>
    <w:rsid w:val="0068143D"/>
    <w:rsid w:val="0068145D"/>
    <w:rsid w:val="006815E1"/>
    <w:rsid w:val="006817AC"/>
    <w:rsid w:val="00681915"/>
    <w:rsid w:val="00681CAF"/>
    <w:rsid w:val="00681F34"/>
    <w:rsid w:val="006820B5"/>
    <w:rsid w:val="0068240C"/>
    <w:rsid w:val="0068253E"/>
    <w:rsid w:val="00682920"/>
    <w:rsid w:val="00682C8C"/>
    <w:rsid w:val="00682CCF"/>
    <w:rsid w:val="00682CE1"/>
    <w:rsid w:val="006831C1"/>
    <w:rsid w:val="006831FA"/>
    <w:rsid w:val="006832A4"/>
    <w:rsid w:val="006832BE"/>
    <w:rsid w:val="00683847"/>
    <w:rsid w:val="00683E60"/>
    <w:rsid w:val="00684196"/>
    <w:rsid w:val="0068517E"/>
    <w:rsid w:val="006859F0"/>
    <w:rsid w:val="00685A78"/>
    <w:rsid w:val="00685C07"/>
    <w:rsid w:val="00685C5E"/>
    <w:rsid w:val="00685DF8"/>
    <w:rsid w:val="00685E86"/>
    <w:rsid w:val="00686079"/>
    <w:rsid w:val="00686235"/>
    <w:rsid w:val="00686346"/>
    <w:rsid w:val="00686354"/>
    <w:rsid w:val="00686570"/>
    <w:rsid w:val="00686919"/>
    <w:rsid w:val="00686AD9"/>
    <w:rsid w:val="00686E6F"/>
    <w:rsid w:val="006872BF"/>
    <w:rsid w:val="0068773A"/>
    <w:rsid w:val="006878B5"/>
    <w:rsid w:val="00687D42"/>
    <w:rsid w:val="00687DC4"/>
    <w:rsid w:val="00687E06"/>
    <w:rsid w:val="00687E9C"/>
    <w:rsid w:val="00687FA0"/>
    <w:rsid w:val="006900C9"/>
    <w:rsid w:val="0069012A"/>
    <w:rsid w:val="00690209"/>
    <w:rsid w:val="006902E1"/>
    <w:rsid w:val="0069054B"/>
    <w:rsid w:val="006905B9"/>
    <w:rsid w:val="006906F6"/>
    <w:rsid w:val="0069092C"/>
    <w:rsid w:val="006909AB"/>
    <w:rsid w:val="00690DF3"/>
    <w:rsid w:val="00691497"/>
    <w:rsid w:val="00691530"/>
    <w:rsid w:val="00691749"/>
    <w:rsid w:val="00691796"/>
    <w:rsid w:val="00691C1C"/>
    <w:rsid w:val="00691C65"/>
    <w:rsid w:val="00691E6E"/>
    <w:rsid w:val="0069219A"/>
    <w:rsid w:val="006926FC"/>
    <w:rsid w:val="00692860"/>
    <w:rsid w:val="00692B59"/>
    <w:rsid w:val="00692C64"/>
    <w:rsid w:val="00692F8E"/>
    <w:rsid w:val="00693400"/>
    <w:rsid w:val="00693588"/>
    <w:rsid w:val="006936D7"/>
    <w:rsid w:val="00693792"/>
    <w:rsid w:val="006939BE"/>
    <w:rsid w:val="006939C8"/>
    <w:rsid w:val="00693C3F"/>
    <w:rsid w:val="00693D0D"/>
    <w:rsid w:val="00694075"/>
    <w:rsid w:val="006941BF"/>
    <w:rsid w:val="006946F9"/>
    <w:rsid w:val="006947EC"/>
    <w:rsid w:val="00694B8E"/>
    <w:rsid w:val="00694D18"/>
    <w:rsid w:val="00695157"/>
    <w:rsid w:val="00695445"/>
    <w:rsid w:val="00695498"/>
    <w:rsid w:val="006955F9"/>
    <w:rsid w:val="00695711"/>
    <w:rsid w:val="00695F5D"/>
    <w:rsid w:val="00696574"/>
    <w:rsid w:val="00696960"/>
    <w:rsid w:val="00696A79"/>
    <w:rsid w:val="00696BCA"/>
    <w:rsid w:val="00696F92"/>
    <w:rsid w:val="0069749E"/>
    <w:rsid w:val="006974C3"/>
    <w:rsid w:val="00697645"/>
    <w:rsid w:val="006977C6"/>
    <w:rsid w:val="00697CF7"/>
    <w:rsid w:val="00697D4B"/>
    <w:rsid w:val="00697E68"/>
    <w:rsid w:val="006A00B4"/>
    <w:rsid w:val="006A06FD"/>
    <w:rsid w:val="006A0D3C"/>
    <w:rsid w:val="006A1010"/>
    <w:rsid w:val="006A1070"/>
    <w:rsid w:val="006A11B0"/>
    <w:rsid w:val="006A1502"/>
    <w:rsid w:val="006A1846"/>
    <w:rsid w:val="006A1878"/>
    <w:rsid w:val="006A1D99"/>
    <w:rsid w:val="006A1DE0"/>
    <w:rsid w:val="006A238E"/>
    <w:rsid w:val="006A2458"/>
    <w:rsid w:val="006A24FC"/>
    <w:rsid w:val="006A2AF9"/>
    <w:rsid w:val="006A2E3F"/>
    <w:rsid w:val="006A347D"/>
    <w:rsid w:val="006A39DA"/>
    <w:rsid w:val="006A3C0A"/>
    <w:rsid w:val="006A3D12"/>
    <w:rsid w:val="006A4077"/>
    <w:rsid w:val="006A4147"/>
    <w:rsid w:val="006A494D"/>
    <w:rsid w:val="006A498B"/>
    <w:rsid w:val="006A4A9F"/>
    <w:rsid w:val="006A4B7A"/>
    <w:rsid w:val="006A4EA1"/>
    <w:rsid w:val="006A4EF6"/>
    <w:rsid w:val="006A4F2A"/>
    <w:rsid w:val="006A50D9"/>
    <w:rsid w:val="006A54DF"/>
    <w:rsid w:val="006A55B3"/>
    <w:rsid w:val="006A57B1"/>
    <w:rsid w:val="006A5E2F"/>
    <w:rsid w:val="006A5FF7"/>
    <w:rsid w:val="006A6185"/>
    <w:rsid w:val="006A632F"/>
    <w:rsid w:val="006A68BC"/>
    <w:rsid w:val="006A6A1B"/>
    <w:rsid w:val="006A6C80"/>
    <w:rsid w:val="006A6F60"/>
    <w:rsid w:val="006A70BF"/>
    <w:rsid w:val="006A72F0"/>
    <w:rsid w:val="006A766A"/>
    <w:rsid w:val="006A777F"/>
    <w:rsid w:val="006A77B6"/>
    <w:rsid w:val="006A7B59"/>
    <w:rsid w:val="006A7CA2"/>
    <w:rsid w:val="006A7ED6"/>
    <w:rsid w:val="006B0026"/>
    <w:rsid w:val="006B00C6"/>
    <w:rsid w:val="006B0137"/>
    <w:rsid w:val="006B02DB"/>
    <w:rsid w:val="006B0616"/>
    <w:rsid w:val="006B09BC"/>
    <w:rsid w:val="006B0F11"/>
    <w:rsid w:val="006B1177"/>
    <w:rsid w:val="006B11A7"/>
    <w:rsid w:val="006B12F1"/>
    <w:rsid w:val="006B16B4"/>
    <w:rsid w:val="006B1D0E"/>
    <w:rsid w:val="006B1DB0"/>
    <w:rsid w:val="006B20EC"/>
    <w:rsid w:val="006B2DDA"/>
    <w:rsid w:val="006B3035"/>
    <w:rsid w:val="006B3173"/>
    <w:rsid w:val="006B35AB"/>
    <w:rsid w:val="006B35F7"/>
    <w:rsid w:val="006B37ED"/>
    <w:rsid w:val="006B3965"/>
    <w:rsid w:val="006B3C46"/>
    <w:rsid w:val="006B3CEB"/>
    <w:rsid w:val="006B3E04"/>
    <w:rsid w:val="006B3F26"/>
    <w:rsid w:val="006B4312"/>
    <w:rsid w:val="006B44C9"/>
    <w:rsid w:val="006B48A9"/>
    <w:rsid w:val="006B4B79"/>
    <w:rsid w:val="006B4B81"/>
    <w:rsid w:val="006B4DC0"/>
    <w:rsid w:val="006B52B9"/>
    <w:rsid w:val="006B5456"/>
    <w:rsid w:val="006B57EA"/>
    <w:rsid w:val="006B5CF5"/>
    <w:rsid w:val="006B5D21"/>
    <w:rsid w:val="006B60A7"/>
    <w:rsid w:val="006B64DF"/>
    <w:rsid w:val="006B655B"/>
    <w:rsid w:val="006B6802"/>
    <w:rsid w:val="006B6C16"/>
    <w:rsid w:val="006B6D50"/>
    <w:rsid w:val="006B6FCA"/>
    <w:rsid w:val="006B70A4"/>
    <w:rsid w:val="006B718D"/>
    <w:rsid w:val="006B7282"/>
    <w:rsid w:val="006B7331"/>
    <w:rsid w:val="006B73E4"/>
    <w:rsid w:val="006B76F0"/>
    <w:rsid w:val="006B7913"/>
    <w:rsid w:val="006B79F5"/>
    <w:rsid w:val="006B7BEB"/>
    <w:rsid w:val="006B7C4F"/>
    <w:rsid w:val="006C0210"/>
    <w:rsid w:val="006C02B1"/>
    <w:rsid w:val="006C064C"/>
    <w:rsid w:val="006C0971"/>
    <w:rsid w:val="006C0D82"/>
    <w:rsid w:val="006C1333"/>
    <w:rsid w:val="006C1411"/>
    <w:rsid w:val="006C1447"/>
    <w:rsid w:val="006C152A"/>
    <w:rsid w:val="006C163D"/>
    <w:rsid w:val="006C1750"/>
    <w:rsid w:val="006C18AE"/>
    <w:rsid w:val="006C1DB0"/>
    <w:rsid w:val="006C1DCC"/>
    <w:rsid w:val="006C236F"/>
    <w:rsid w:val="006C30D7"/>
    <w:rsid w:val="006C32D4"/>
    <w:rsid w:val="006C3591"/>
    <w:rsid w:val="006C3658"/>
    <w:rsid w:val="006C37A8"/>
    <w:rsid w:val="006C37E5"/>
    <w:rsid w:val="006C3935"/>
    <w:rsid w:val="006C3C8A"/>
    <w:rsid w:val="006C3C8C"/>
    <w:rsid w:val="006C4246"/>
    <w:rsid w:val="006C510D"/>
    <w:rsid w:val="006C52DF"/>
    <w:rsid w:val="006C532A"/>
    <w:rsid w:val="006C5421"/>
    <w:rsid w:val="006C5610"/>
    <w:rsid w:val="006C5749"/>
    <w:rsid w:val="006C5876"/>
    <w:rsid w:val="006C5D89"/>
    <w:rsid w:val="006C635B"/>
    <w:rsid w:val="006C6417"/>
    <w:rsid w:val="006C67C3"/>
    <w:rsid w:val="006C6ED0"/>
    <w:rsid w:val="006C7374"/>
    <w:rsid w:val="006C7853"/>
    <w:rsid w:val="006C7E10"/>
    <w:rsid w:val="006C7E69"/>
    <w:rsid w:val="006D0324"/>
    <w:rsid w:val="006D0C88"/>
    <w:rsid w:val="006D1061"/>
    <w:rsid w:val="006D1144"/>
    <w:rsid w:val="006D1373"/>
    <w:rsid w:val="006D1CCB"/>
    <w:rsid w:val="006D1E5A"/>
    <w:rsid w:val="006D265E"/>
    <w:rsid w:val="006D2A2A"/>
    <w:rsid w:val="006D2BA0"/>
    <w:rsid w:val="006D2F0C"/>
    <w:rsid w:val="006D327D"/>
    <w:rsid w:val="006D3300"/>
    <w:rsid w:val="006D3723"/>
    <w:rsid w:val="006D39CA"/>
    <w:rsid w:val="006D40FC"/>
    <w:rsid w:val="006D4742"/>
    <w:rsid w:val="006D4B8F"/>
    <w:rsid w:val="006D4E4A"/>
    <w:rsid w:val="006D4FF2"/>
    <w:rsid w:val="006D5068"/>
    <w:rsid w:val="006D55F6"/>
    <w:rsid w:val="006D5B85"/>
    <w:rsid w:val="006D5E70"/>
    <w:rsid w:val="006D5EF1"/>
    <w:rsid w:val="006D6514"/>
    <w:rsid w:val="006D6711"/>
    <w:rsid w:val="006D6A48"/>
    <w:rsid w:val="006D6EEE"/>
    <w:rsid w:val="006D6FF4"/>
    <w:rsid w:val="006D6FF5"/>
    <w:rsid w:val="006D7167"/>
    <w:rsid w:val="006D7340"/>
    <w:rsid w:val="006D7394"/>
    <w:rsid w:val="006D750A"/>
    <w:rsid w:val="006D7612"/>
    <w:rsid w:val="006D7B13"/>
    <w:rsid w:val="006E000E"/>
    <w:rsid w:val="006E1042"/>
    <w:rsid w:val="006E13A1"/>
    <w:rsid w:val="006E162D"/>
    <w:rsid w:val="006E183D"/>
    <w:rsid w:val="006E19EA"/>
    <w:rsid w:val="006E1A80"/>
    <w:rsid w:val="006E1AB5"/>
    <w:rsid w:val="006E1E60"/>
    <w:rsid w:val="006E221E"/>
    <w:rsid w:val="006E2471"/>
    <w:rsid w:val="006E2542"/>
    <w:rsid w:val="006E25D0"/>
    <w:rsid w:val="006E28B8"/>
    <w:rsid w:val="006E2CEA"/>
    <w:rsid w:val="006E2FC0"/>
    <w:rsid w:val="006E30AC"/>
    <w:rsid w:val="006E3100"/>
    <w:rsid w:val="006E3312"/>
    <w:rsid w:val="006E3688"/>
    <w:rsid w:val="006E37D5"/>
    <w:rsid w:val="006E3CB2"/>
    <w:rsid w:val="006E3D20"/>
    <w:rsid w:val="006E4810"/>
    <w:rsid w:val="006E4BB1"/>
    <w:rsid w:val="006E4D54"/>
    <w:rsid w:val="006E4E7D"/>
    <w:rsid w:val="006E539C"/>
    <w:rsid w:val="006E55D4"/>
    <w:rsid w:val="006E57F6"/>
    <w:rsid w:val="006E5BFF"/>
    <w:rsid w:val="006E5DA4"/>
    <w:rsid w:val="006E5FB6"/>
    <w:rsid w:val="006E626A"/>
    <w:rsid w:val="006E63DE"/>
    <w:rsid w:val="006E6500"/>
    <w:rsid w:val="006E69B7"/>
    <w:rsid w:val="006E6A20"/>
    <w:rsid w:val="006E6ADD"/>
    <w:rsid w:val="006E6C21"/>
    <w:rsid w:val="006E6C88"/>
    <w:rsid w:val="006E6CDD"/>
    <w:rsid w:val="006E6CF9"/>
    <w:rsid w:val="006E6D79"/>
    <w:rsid w:val="006E71B3"/>
    <w:rsid w:val="006E7909"/>
    <w:rsid w:val="006E7DB6"/>
    <w:rsid w:val="006E7E36"/>
    <w:rsid w:val="006F0117"/>
    <w:rsid w:val="006F0257"/>
    <w:rsid w:val="006F02D5"/>
    <w:rsid w:val="006F063F"/>
    <w:rsid w:val="006F0BA6"/>
    <w:rsid w:val="006F0CC4"/>
    <w:rsid w:val="006F0CDD"/>
    <w:rsid w:val="006F0F70"/>
    <w:rsid w:val="006F107D"/>
    <w:rsid w:val="006F1230"/>
    <w:rsid w:val="006F17C5"/>
    <w:rsid w:val="006F180B"/>
    <w:rsid w:val="006F19C2"/>
    <w:rsid w:val="006F1A16"/>
    <w:rsid w:val="006F1AD1"/>
    <w:rsid w:val="006F1CBE"/>
    <w:rsid w:val="006F1CE0"/>
    <w:rsid w:val="006F1F8F"/>
    <w:rsid w:val="006F22F9"/>
    <w:rsid w:val="006F26AF"/>
    <w:rsid w:val="006F26B9"/>
    <w:rsid w:val="006F2A46"/>
    <w:rsid w:val="006F2D3E"/>
    <w:rsid w:val="006F2D8B"/>
    <w:rsid w:val="006F2E2D"/>
    <w:rsid w:val="006F2F02"/>
    <w:rsid w:val="006F37F0"/>
    <w:rsid w:val="006F4153"/>
    <w:rsid w:val="006F43E6"/>
    <w:rsid w:val="006F4556"/>
    <w:rsid w:val="006F4C66"/>
    <w:rsid w:val="006F4F3E"/>
    <w:rsid w:val="006F53E3"/>
    <w:rsid w:val="006F54A4"/>
    <w:rsid w:val="006F5581"/>
    <w:rsid w:val="006F5A61"/>
    <w:rsid w:val="006F5E2B"/>
    <w:rsid w:val="006F5F38"/>
    <w:rsid w:val="006F662C"/>
    <w:rsid w:val="006F66EC"/>
    <w:rsid w:val="006F6937"/>
    <w:rsid w:val="006F6B4B"/>
    <w:rsid w:val="006F6CFD"/>
    <w:rsid w:val="006F7170"/>
    <w:rsid w:val="006F7446"/>
    <w:rsid w:val="006F75E7"/>
    <w:rsid w:val="006F7640"/>
    <w:rsid w:val="006F7B30"/>
    <w:rsid w:val="006F7B4E"/>
    <w:rsid w:val="006F7D61"/>
    <w:rsid w:val="006F7E30"/>
    <w:rsid w:val="006F7EAB"/>
    <w:rsid w:val="00700058"/>
    <w:rsid w:val="0070025D"/>
    <w:rsid w:val="007004B5"/>
    <w:rsid w:val="007007A8"/>
    <w:rsid w:val="0070096D"/>
    <w:rsid w:val="00700C0E"/>
    <w:rsid w:val="00701306"/>
    <w:rsid w:val="00701547"/>
    <w:rsid w:val="00701648"/>
    <w:rsid w:val="00701E84"/>
    <w:rsid w:val="007021DD"/>
    <w:rsid w:val="00702792"/>
    <w:rsid w:val="007028BF"/>
    <w:rsid w:val="00702B6C"/>
    <w:rsid w:val="00702F4A"/>
    <w:rsid w:val="007033D4"/>
    <w:rsid w:val="00703589"/>
    <w:rsid w:val="0070399F"/>
    <w:rsid w:val="00703B90"/>
    <w:rsid w:val="00703BB7"/>
    <w:rsid w:val="00703C7F"/>
    <w:rsid w:val="00703CE9"/>
    <w:rsid w:val="00703D71"/>
    <w:rsid w:val="00703EBF"/>
    <w:rsid w:val="00703FF3"/>
    <w:rsid w:val="007041C7"/>
    <w:rsid w:val="007044A5"/>
    <w:rsid w:val="00704AFC"/>
    <w:rsid w:val="00704C93"/>
    <w:rsid w:val="00704E39"/>
    <w:rsid w:val="00704E68"/>
    <w:rsid w:val="00704EEF"/>
    <w:rsid w:val="007056F0"/>
    <w:rsid w:val="00705706"/>
    <w:rsid w:val="0070586B"/>
    <w:rsid w:val="00705F9B"/>
    <w:rsid w:val="00706004"/>
    <w:rsid w:val="007060D0"/>
    <w:rsid w:val="00706220"/>
    <w:rsid w:val="00706386"/>
    <w:rsid w:val="00706C23"/>
    <w:rsid w:val="00706CAD"/>
    <w:rsid w:val="00707026"/>
    <w:rsid w:val="00707115"/>
    <w:rsid w:val="007071E0"/>
    <w:rsid w:val="00707409"/>
    <w:rsid w:val="0070790F"/>
    <w:rsid w:val="00707C1A"/>
    <w:rsid w:val="00707D95"/>
    <w:rsid w:val="00707DC0"/>
    <w:rsid w:val="00707EF1"/>
    <w:rsid w:val="0071008E"/>
    <w:rsid w:val="007102A7"/>
    <w:rsid w:val="007102F6"/>
    <w:rsid w:val="00710644"/>
    <w:rsid w:val="00710861"/>
    <w:rsid w:val="007108BD"/>
    <w:rsid w:val="00710F9F"/>
    <w:rsid w:val="00711129"/>
    <w:rsid w:val="00711215"/>
    <w:rsid w:val="0071123F"/>
    <w:rsid w:val="00711701"/>
    <w:rsid w:val="0071173F"/>
    <w:rsid w:val="00711AC0"/>
    <w:rsid w:val="00711BD2"/>
    <w:rsid w:val="00711C13"/>
    <w:rsid w:val="00711CE3"/>
    <w:rsid w:val="00711D3C"/>
    <w:rsid w:val="00711F74"/>
    <w:rsid w:val="007121A3"/>
    <w:rsid w:val="00712279"/>
    <w:rsid w:val="007122C8"/>
    <w:rsid w:val="00712426"/>
    <w:rsid w:val="0071264E"/>
    <w:rsid w:val="00712B05"/>
    <w:rsid w:val="00712C2A"/>
    <w:rsid w:val="00712C89"/>
    <w:rsid w:val="00712EAF"/>
    <w:rsid w:val="00713280"/>
    <w:rsid w:val="007136D0"/>
    <w:rsid w:val="007139B9"/>
    <w:rsid w:val="00714360"/>
    <w:rsid w:val="00714ED1"/>
    <w:rsid w:val="00715006"/>
    <w:rsid w:val="00715936"/>
    <w:rsid w:val="00715962"/>
    <w:rsid w:val="00715D44"/>
    <w:rsid w:val="0071691E"/>
    <w:rsid w:val="00716F0F"/>
    <w:rsid w:val="00716F1C"/>
    <w:rsid w:val="007174AA"/>
    <w:rsid w:val="0071781C"/>
    <w:rsid w:val="00717A79"/>
    <w:rsid w:val="00717D44"/>
    <w:rsid w:val="00720435"/>
    <w:rsid w:val="007209C2"/>
    <w:rsid w:val="00720A82"/>
    <w:rsid w:val="00720BB0"/>
    <w:rsid w:val="00721246"/>
    <w:rsid w:val="007212BA"/>
    <w:rsid w:val="007214BC"/>
    <w:rsid w:val="007216F8"/>
    <w:rsid w:val="00721709"/>
    <w:rsid w:val="00721C83"/>
    <w:rsid w:val="00721D1D"/>
    <w:rsid w:val="00721F4B"/>
    <w:rsid w:val="00721FF9"/>
    <w:rsid w:val="007227CB"/>
    <w:rsid w:val="00722884"/>
    <w:rsid w:val="007230BE"/>
    <w:rsid w:val="00723101"/>
    <w:rsid w:val="00723644"/>
    <w:rsid w:val="00723DD0"/>
    <w:rsid w:val="00723E1D"/>
    <w:rsid w:val="007240DA"/>
    <w:rsid w:val="007242E7"/>
    <w:rsid w:val="0072446D"/>
    <w:rsid w:val="00725106"/>
    <w:rsid w:val="007254FB"/>
    <w:rsid w:val="0072564C"/>
    <w:rsid w:val="00725729"/>
    <w:rsid w:val="00725A24"/>
    <w:rsid w:val="007264AB"/>
    <w:rsid w:val="00726657"/>
    <w:rsid w:val="00726B91"/>
    <w:rsid w:val="00726C5D"/>
    <w:rsid w:val="0072708E"/>
    <w:rsid w:val="00727487"/>
    <w:rsid w:val="00727896"/>
    <w:rsid w:val="007279BB"/>
    <w:rsid w:val="00727A52"/>
    <w:rsid w:val="00727B5B"/>
    <w:rsid w:val="00727C3E"/>
    <w:rsid w:val="00727DBA"/>
    <w:rsid w:val="007304A7"/>
    <w:rsid w:val="007309D4"/>
    <w:rsid w:val="00730A66"/>
    <w:rsid w:val="00730A85"/>
    <w:rsid w:val="00730AFC"/>
    <w:rsid w:val="00730C3F"/>
    <w:rsid w:val="00730E54"/>
    <w:rsid w:val="007319DD"/>
    <w:rsid w:val="00731B0D"/>
    <w:rsid w:val="00732042"/>
    <w:rsid w:val="007322D2"/>
    <w:rsid w:val="0073272A"/>
    <w:rsid w:val="00732762"/>
    <w:rsid w:val="00732AAA"/>
    <w:rsid w:val="00732AFB"/>
    <w:rsid w:val="00732B14"/>
    <w:rsid w:val="00732B7D"/>
    <w:rsid w:val="00732C58"/>
    <w:rsid w:val="00732E6F"/>
    <w:rsid w:val="0073308E"/>
    <w:rsid w:val="00733109"/>
    <w:rsid w:val="007333B7"/>
    <w:rsid w:val="00733EB8"/>
    <w:rsid w:val="0073401D"/>
    <w:rsid w:val="007346DE"/>
    <w:rsid w:val="007347A6"/>
    <w:rsid w:val="00734A29"/>
    <w:rsid w:val="00734E9F"/>
    <w:rsid w:val="00735091"/>
    <w:rsid w:val="00735185"/>
    <w:rsid w:val="007351B4"/>
    <w:rsid w:val="00735216"/>
    <w:rsid w:val="00735238"/>
    <w:rsid w:val="0073534E"/>
    <w:rsid w:val="00735392"/>
    <w:rsid w:val="007354D9"/>
    <w:rsid w:val="00735765"/>
    <w:rsid w:val="00735E91"/>
    <w:rsid w:val="00735F8A"/>
    <w:rsid w:val="0073608C"/>
    <w:rsid w:val="007364F5"/>
    <w:rsid w:val="00736613"/>
    <w:rsid w:val="00736652"/>
    <w:rsid w:val="0073684E"/>
    <w:rsid w:val="00736885"/>
    <w:rsid w:val="00736D8C"/>
    <w:rsid w:val="00736E8D"/>
    <w:rsid w:val="0073720B"/>
    <w:rsid w:val="0073765D"/>
    <w:rsid w:val="007376A0"/>
    <w:rsid w:val="00737BDB"/>
    <w:rsid w:val="00737BFB"/>
    <w:rsid w:val="00737D0E"/>
    <w:rsid w:val="00737E1F"/>
    <w:rsid w:val="00740164"/>
    <w:rsid w:val="007403D8"/>
    <w:rsid w:val="0074064E"/>
    <w:rsid w:val="00740855"/>
    <w:rsid w:val="007409AE"/>
    <w:rsid w:val="00740F6D"/>
    <w:rsid w:val="00741167"/>
    <w:rsid w:val="007411A4"/>
    <w:rsid w:val="0074162D"/>
    <w:rsid w:val="0074163F"/>
    <w:rsid w:val="007419E2"/>
    <w:rsid w:val="00741E64"/>
    <w:rsid w:val="00742021"/>
    <w:rsid w:val="00742267"/>
    <w:rsid w:val="007422A9"/>
    <w:rsid w:val="0074235C"/>
    <w:rsid w:val="00742A59"/>
    <w:rsid w:val="00742AC0"/>
    <w:rsid w:val="007430BD"/>
    <w:rsid w:val="007433A7"/>
    <w:rsid w:val="0074346A"/>
    <w:rsid w:val="007434B3"/>
    <w:rsid w:val="007437F8"/>
    <w:rsid w:val="00743A4B"/>
    <w:rsid w:val="0074435F"/>
    <w:rsid w:val="00744445"/>
    <w:rsid w:val="007445B9"/>
    <w:rsid w:val="00744601"/>
    <w:rsid w:val="00744775"/>
    <w:rsid w:val="00744805"/>
    <w:rsid w:val="00744BC9"/>
    <w:rsid w:val="00744D09"/>
    <w:rsid w:val="00744DA6"/>
    <w:rsid w:val="00744EC1"/>
    <w:rsid w:val="00745164"/>
    <w:rsid w:val="007453E3"/>
    <w:rsid w:val="0074545A"/>
    <w:rsid w:val="00745C8F"/>
    <w:rsid w:val="00745E66"/>
    <w:rsid w:val="0074613C"/>
    <w:rsid w:val="0074619F"/>
    <w:rsid w:val="00746201"/>
    <w:rsid w:val="00746357"/>
    <w:rsid w:val="007464B2"/>
    <w:rsid w:val="00746505"/>
    <w:rsid w:val="00746CC3"/>
    <w:rsid w:val="00746EDB"/>
    <w:rsid w:val="00746F67"/>
    <w:rsid w:val="00747115"/>
    <w:rsid w:val="007471E2"/>
    <w:rsid w:val="0074725E"/>
    <w:rsid w:val="007472D1"/>
    <w:rsid w:val="00747890"/>
    <w:rsid w:val="00747BE6"/>
    <w:rsid w:val="00747D14"/>
    <w:rsid w:val="007500AA"/>
    <w:rsid w:val="0075053A"/>
    <w:rsid w:val="00750718"/>
    <w:rsid w:val="00750CB5"/>
    <w:rsid w:val="007512C8"/>
    <w:rsid w:val="00751624"/>
    <w:rsid w:val="0075168E"/>
    <w:rsid w:val="00751ECA"/>
    <w:rsid w:val="00751EDB"/>
    <w:rsid w:val="00751FB7"/>
    <w:rsid w:val="00752555"/>
    <w:rsid w:val="00752649"/>
    <w:rsid w:val="0075300E"/>
    <w:rsid w:val="00753134"/>
    <w:rsid w:val="007531A4"/>
    <w:rsid w:val="00753229"/>
    <w:rsid w:val="00753423"/>
    <w:rsid w:val="007536F1"/>
    <w:rsid w:val="00753E15"/>
    <w:rsid w:val="00754474"/>
    <w:rsid w:val="00754509"/>
    <w:rsid w:val="007546A9"/>
    <w:rsid w:val="007547EA"/>
    <w:rsid w:val="00754FFB"/>
    <w:rsid w:val="0075549E"/>
    <w:rsid w:val="00755DDF"/>
    <w:rsid w:val="00756023"/>
    <w:rsid w:val="007564A7"/>
    <w:rsid w:val="0075695A"/>
    <w:rsid w:val="00756D83"/>
    <w:rsid w:val="00756FC4"/>
    <w:rsid w:val="00757386"/>
    <w:rsid w:val="00757783"/>
    <w:rsid w:val="00757AF4"/>
    <w:rsid w:val="00757CE0"/>
    <w:rsid w:val="00760325"/>
    <w:rsid w:val="00760542"/>
    <w:rsid w:val="007605E7"/>
    <w:rsid w:val="00760624"/>
    <w:rsid w:val="007608E9"/>
    <w:rsid w:val="00760B89"/>
    <w:rsid w:val="00760BC4"/>
    <w:rsid w:val="00760C17"/>
    <w:rsid w:val="00760CF9"/>
    <w:rsid w:val="00760E65"/>
    <w:rsid w:val="007619E0"/>
    <w:rsid w:val="00761AB0"/>
    <w:rsid w:val="00761D01"/>
    <w:rsid w:val="00762402"/>
    <w:rsid w:val="0076286B"/>
    <w:rsid w:val="00762AD5"/>
    <w:rsid w:val="00762C67"/>
    <w:rsid w:val="00762FA9"/>
    <w:rsid w:val="007633B8"/>
    <w:rsid w:val="00763446"/>
    <w:rsid w:val="00763516"/>
    <w:rsid w:val="00763669"/>
    <w:rsid w:val="00763768"/>
    <w:rsid w:val="00763834"/>
    <w:rsid w:val="007638FD"/>
    <w:rsid w:val="00763BB4"/>
    <w:rsid w:val="00763E43"/>
    <w:rsid w:val="00763EC3"/>
    <w:rsid w:val="00763F05"/>
    <w:rsid w:val="0076410F"/>
    <w:rsid w:val="007643E7"/>
    <w:rsid w:val="00764675"/>
    <w:rsid w:val="007647DE"/>
    <w:rsid w:val="00764803"/>
    <w:rsid w:val="00764DC4"/>
    <w:rsid w:val="007651E7"/>
    <w:rsid w:val="00765C9F"/>
    <w:rsid w:val="00765D00"/>
    <w:rsid w:val="00765FC9"/>
    <w:rsid w:val="00765FCE"/>
    <w:rsid w:val="007660A3"/>
    <w:rsid w:val="00766120"/>
    <w:rsid w:val="00766204"/>
    <w:rsid w:val="007663B9"/>
    <w:rsid w:val="007663C6"/>
    <w:rsid w:val="007665CC"/>
    <w:rsid w:val="00766A65"/>
    <w:rsid w:val="00766B92"/>
    <w:rsid w:val="00767474"/>
    <w:rsid w:val="00767512"/>
    <w:rsid w:val="00767613"/>
    <w:rsid w:val="00767B64"/>
    <w:rsid w:val="00767C62"/>
    <w:rsid w:val="0077006F"/>
    <w:rsid w:val="00770620"/>
    <w:rsid w:val="007708DB"/>
    <w:rsid w:val="00770903"/>
    <w:rsid w:val="0077090D"/>
    <w:rsid w:val="00770BE6"/>
    <w:rsid w:val="00770C3A"/>
    <w:rsid w:val="00770CAD"/>
    <w:rsid w:val="00770D64"/>
    <w:rsid w:val="00770DD8"/>
    <w:rsid w:val="00770EAA"/>
    <w:rsid w:val="00771483"/>
    <w:rsid w:val="00771934"/>
    <w:rsid w:val="00771A2C"/>
    <w:rsid w:val="007723AC"/>
    <w:rsid w:val="0077266C"/>
    <w:rsid w:val="007727E8"/>
    <w:rsid w:val="007728A1"/>
    <w:rsid w:val="007729F3"/>
    <w:rsid w:val="00772BDB"/>
    <w:rsid w:val="007733D0"/>
    <w:rsid w:val="0077362B"/>
    <w:rsid w:val="00773A7A"/>
    <w:rsid w:val="00773C93"/>
    <w:rsid w:val="00773D5D"/>
    <w:rsid w:val="00773F04"/>
    <w:rsid w:val="00773FEC"/>
    <w:rsid w:val="0077417F"/>
    <w:rsid w:val="007746EF"/>
    <w:rsid w:val="007748F3"/>
    <w:rsid w:val="00774B44"/>
    <w:rsid w:val="00774B4C"/>
    <w:rsid w:val="00774F11"/>
    <w:rsid w:val="00775159"/>
    <w:rsid w:val="00775754"/>
    <w:rsid w:val="00775C9C"/>
    <w:rsid w:val="007761F2"/>
    <w:rsid w:val="0077625C"/>
    <w:rsid w:val="00776295"/>
    <w:rsid w:val="00776457"/>
    <w:rsid w:val="00776825"/>
    <w:rsid w:val="00776869"/>
    <w:rsid w:val="0077712B"/>
    <w:rsid w:val="00777247"/>
    <w:rsid w:val="0077774F"/>
    <w:rsid w:val="00777791"/>
    <w:rsid w:val="007778BF"/>
    <w:rsid w:val="00780307"/>
    <w:rsid w:val="007804C9"/>
    <w:rsid w:val="00780A2D"/>
    <w:rsid w:val="00780A8A"/>
    <w:rsid w:val="00780B17"/>
    <w:rsid w:val="00780C5F"/>
    <w:rsid w:val="00780C8E"/>
    <w:rsid w:val="00780E10"/>
    <w:rsid w:val="00780F44"/>
    <w:rsid w:val="00781536"/>
    <w:rsid w:val="0078178E"/>
    <w:rsid w:val="007818F4"/>
    <w:rsid w:val="00781B9D"/>
    <w:rsid w:val="00781C95"/>
    <w:rsid w:val="00781E1F"/>
    <w:rsid w:val="00781F4B"/>
    <w:rsid w:val="007821A7"/>
    <w:rsid w:val="007821E0"/>
    <w:rsid w:val="00782389"/>
    <w:rsid w:val="00782425"/>
    <w:rsid w:val="00782435"/>
    <w:rsid w:val="0078244E"/>
    <w:rsid w:val="00782B16"/>
    <w:rsid w:val="00782E26"/>
    <w:rsid w:val="00782EFF"/>
    <w:rsid w:val="0078301C"/>
    <w:rsid w:val="00783234"/>
    <w:rsid w:val="007832EF"/>
    <w:rsid w:val="00783667"/>
    <w:rsid w:val="00783B4D"/>
    <w:rsid w:val="00783D60"/>
    <w:rsid w:val="00783E32"/>
    <w:rsid w:val="00784146"/>
    <w:rsid w:val="007848A4"/>
    <w:rsid w:val="007848B0"/>
    <w:rsid w:val="00784DB2"/>
    <w:rsid w:val="0078500A"/>
    <w:rsid w:val="0078511F"/>
    <w:rsid w:val="007853A9"/>
    <w:rsid w:val="0078547E"/>
    <w:rsid w:val="00785DA7"/>
    <w:rsid w:val="007861A7"/>
    <w:rsid w:val="007864FE"/>
    <w:rsid w:val="00786717"/>
    <w:rsid w:val="00786A9B"/>
    <w:rsid w:val="00786AB5"/>
    <w:rsid w:val="00786B49"/>
    <w:rsid w:val="0078734D"/>
    <w:rsid w:val="0078782E"/>
    <w:rsid w:val="00787863"/>
    <w:rsid w:val="00787962"/>
    <w:rsid w:val="00790129"/>
    <w:rsid w:val="007903EA"/>
    <w:rsid w:val="00790869"/>
    <w:rsid w:val="0079094F"/>
    <w:rsid w:val="00790AEE"/>
    <w:rsid w:val="00790B16"/>
    <w:rsid w:val="007911E2"/>
    <w:rsid w:val="00791686"/>
    <w:rsid w:val="00791762"/>
    <w:rsid w:val="00791A67"/>
    <w:rsid w:val="00791D2C"/>
    <w:rsid w:val="00791F78"/>
    <w:rsid w:val="007922E4"/>
    <w:rsid w:val="00792311"/>
    <w:rsid w:val="00792774"/>
    <w:rsid w:val="007927D0"/>
    <w:rsid w:val="007927E4"/>
    <w:rsid w:val="007927F9"/>
    <w:rsid w:val="00792AD5"/>
    <w:rsid w:val="00792AF1"/>
    <w:rsid w:val="0079306A"/>
    <w:rsid w:val="007931EF"/>
    <w:rsid w:val="0079341D"/>
    <w:rsid w:val="007934E2"/>
    <w:rsid w:val="00793ABF"/>
    <w:rsid w:val="00793C01"/>
    <w:rsid w:val="00793C77"/>
    <w:rsid w:val="00794259"/>
    <w:rsid w:val="00794AF3"/>
    <w:rsid w:val="00794CBD"/>
    <w:rsid w:val="00794D85"/>
    <w:rsid w:val="00794DE0"/>
    <w:rsid w:val="007950DC"/>
    <w:rsid w:val="007956F6"/>
    <w:rsid w:val="007957C5"/>
    <w:rsid w:val="00795BFD"/>
    <w:rsid w:val="0079602E"/>
    <w:rsid w:val="007960A4"/>
    <w:rsid w:val="0079615F"/>
    <w:rsid w:val="00796819"/>
    <w:rsid w:val="007968F7"/>
    <w:rsid w:val="00796F3F"/>
    <w:rsid w:val="00796FEB"/>
    <w:rsid w:val="0079715D"/>
    <w:rsid w:val="0079723E"/>
    <w:rsid w:val="007972DE"/>
    <w:rsid w:val="0079799E"/>
    <w:rsid w:val="00797AB8"/>
    <w:rsid w:val="00797C31"/>
    <w:rsid w:val="00797ED8"/>
    <w:rsid w:val="00797F12"/>
    <w:rsid w:val="007A00A4"/>
    <w:rsid w:val="007A01C3"/>
    <w:rsid w:val="007A075C"/>
    <w:rsid w:val="007A0C94"/>
    <w:rsid w:val="007A0D4F"/>
    <w:rsid w:val="007A1385"/>
    <w:rsid w:val="007A1534"/>
    <w:rsid w:val="007A171C"/>
    <w:rsid w:val="007A1821"/>
    <w:rsid w:val="007A1CBF"/>
    <w:rsid w:val="007A1E69"/>
    <w:rsid w:val="007A1E83"/>
    <w:rsid w:val="007A1FCE"/>
    <w:rsid w:val="007A2071"/>
    <w:rsid w:val="007A2324"/>
    <w:rsid w:val="007A2532"/>
    <w:rsid w:val="007A256C"/>
    <w:rsid w:val="007A2606"/>
    <w:rsid w:val="007A2EDC"/>
    <w:rsid w:val="007A345C"/>
    <w:rsid w:val="007A3689"/>
    <w:rsid w:val="007A3859"/>
    <w:rsid w:val="007A3BB5"/>
    <w:rsid w:val="007A3CBC"/>
    <w:rsid w:val="007A3ED3"/>
    <w:rsid w:val="007A3FC4"/>
    <w:rsid w:val="007A42DE"/>
    <w:rsid w:val="007A445F"/>
    <w:rsid w:val="007A44A9"/>
    <w:rsid w:val="007A473A"/>
    <w:rsid w:val="007A4CCB"/>
    <w:rsid w:val="007A5039"/>
    <w:rsid w:val="007A519E"/>
    <w:rsid w:val="007A5301"/>
    <w:rsid w:val="007A5775"/>
    <w:rsid w:val="007A5884"/>
    <w:rsid w:val="007A5891"/>
    <w:rsid w:val="007A5905"/>
    <w:rsid w:val="007A63FA"/>
    <w:rsid w:val="007A641A"/>
    <w:rsid w:val="007A6469"/>
    <w:rsid w:val="007A64E6"/>
    <w:rsid w:val="007A67D9"/>
    <w:rsid w:val="007A6B6C"/>
    <w:rsid w:val="007A6BCC"/>
    <w:rsid w:val="007A6CAE"/>
    <w:rsid w:val="007A6EF3"/>
    <w:rsid w:val="007A7529"/>
    <w:rsid w:val="007A752A"/>
    <w:rsid w:val="007A7934"/>
    <w:rsid w:val="007A7BAA"/>
    <w:rsid w:val="007A7C8B"/>
    <w:rsid w:val="007A7CD9"/>
    <w:rsid w:val="007A7D51"/>
    <w:rsid w:val="007A7D9A"/>
    <w:rsid w:val="007A7DB4"/>
    <w:rsid w:val="007B0052"/>
    <w:rsid w:val="007B0137"/>
    <w:rsid w:val="007B022B"/>
    <w:rsid w:val="007B08E5"/>
    <w:rsid w:val="007B0A77"/>
    <w:rsid w:val="007B0AE0"/>
    <w:rsid w:val="007B0BBD"/>
    <w:rsid w:val="007B0EDA"/>
    <w:rsid w:val="007B0F80"/>
    <w:rsid w:val="007B129F"/>
    <w:rsid w:val="007B1391"/>
    <w:rsid w:val="007B15E6"/>
    <w:rsid w:val="007B187D"/>
    <w:rsid w:val="007B1BA2"/>
    <w:rsid w:val="007B1BD9"/>
    <w:rsid w:val="007B20FE"/>
    <w:rsid w:val="007B23C9"/>
    <w:rsid w:val="007B2636"/>
    <w:rsid w:val="007B2D77"/>
    <w:rsid w:val="007B2EAC"/>
    <w:rsid w:val="007B3133"/>
    <w:rsid w:val="007B31B2"/>
    <w:rsid w:val="007B33FB"/>
    <w:rsid w:val="007B3676"/>
    <w:rsid w:val="007B37EF"/>
    <w:rsid w:val="007B3A55"/>
    <w:rsid w:val="007B43B4"/>
    <w:rsid w:val="007B4808"/>
    <w:rsid w:val="007B4BFD"/>
    <w:rsid w:val="007B50E3"/>
    <w:rsid w:val="007B5142"/>
    <w:rsid w:val="007B529D"/>
    <w:rsid w:val="007B559C"/>
    <w:rsid w:val="007B55B8"/>
    <w:rsid w:val="007B5857"/>
    <w:rsid w:val="007B59D3"/>
    <w:rsid w:val="007B5C83"/>
    <w:rsid w:val="007B600C"/>
    <w:rsid w:val="007B6236"/>
    <w:rsid w:val="007B6387"/>
    <w:rsid w:val="007B66C2"/>
    <w:rsid w:val="007B67FC"/>
    <w:rsid w:val="007B69E3"/>
    <w:rsid w:val="007B6C84"/>
    <w:rsid w:val="007B6F68"/>
    <w:rsid w:val="007B7052"/>
    <w:rsid w:val="007B729D"/>
    <w:rsid w:val="007B73F8"/>
    <w:rsid w:val="007B749D"/>
    <w:rsid w:val="007B75EF"/>
    <w:rsid w:val="007B775E"/>
    <w:rsid w:val="007B7A1F"/>
    <w:rsid w:val="007B7ACE"/>
    <w:rsid w:val="007B7E6A"/>
    <w:rsid w:val="007C0696"/>
    <w:rsid w:val="007C06BA"/>
    <w:rsid w:val="007C06C5"/>
    <w:rsid w:val="007C0BD9"/>
    <w:rsid w:val="007C0C9B"/>
    <w:rsid w:val="007C0FAB"/>
    <w:rsid w:val="007C11DC"/>
    <w:rsid w:val="007C1280"/>
    <w:rsid w:val="007C13B2"/>
    <w:rsid w:val="007C1CED"/>
    <w:rsid w:val="007C1EFA"/>
    <w:rsid w:val="007C2330"/>
    <w:rsid w:val="007C2551"/>
    <w:rsid w:val="007C25FE"/>
    <w:rsid w:val="007C264E"/>
    <w:rsid w:val="007C2AE2"/>
    <w:rsid w:val="007C2C4F"/>
    <w:rsid w:val="007C2D7D"/>
    <w:rsid w:val="007C3128"/>
    <w:rsid w:val="007C3284"/>
    <w:rsid w:val="007C3542"/>
    <w:rsid w:val="007C39D2"/>
    <w:rsid w:val="007C3DC9"/>
    <w:rsid w:val="007C3DD3"/>
    <w:rsid w:val="007C3E93"/>
    <w:rsid w:val="007C3EBB"/>
    <w:rsid w:val="007C4222"/>
    <w:rsid w:val="007C455B"/>
    <w:rsid w:val="007C47C4"/>
    <w:rsid w:val="007C47EE"/>
    <w:rsid w:val="007C4B3A"/>
    <w:rsid w:val="007C4B68"/>
    <w:rsid w:val="007C4D89"/>
    <w:rsid w:val="007C4F22"/>
    <w:rsid w:val="007C4FAC"/>
    <w:rsid w:val="007C5066"/>
    <w:rsid w:val="007C512D"/>
    <w:rsid w:val="007C519D"/>
    <w:rsid w:val="007C57AF"/>
    <w:rsid w:val="007C58BB"/>
    <w:rsid w:val="007C5A3C"/>
    <w:rsid w:val="007C5A45"/>
    <w:rsid w:val="007C5AC4"/>
    <w:rsid w:val="007C5C04"/>
    <w:rsid w:val="007C5C2A"/>
    <w:rsid w:val="007C5C7B"/>
    <w:rsid w:val="007C5CBD"/>
    <w:rsid w:val="007C5F14"/>
    <w:rsid w:val="007C64D6"/>
    <w:rsid w:val="007C6584"/>
    <w:rsid w:val="007C6757"/>
    <w:rsid w:val="007C68B0"/>
    <w:rsid w:val="007C74CE"/>
    <w:rsid w:val="007C7958"/>
    <w:rsid w:val="007C7B2E"/>
    <w:rsid w:val="007C7DCA"/>
    <w:rsid w:val="007D0451"/>
    <w:rsid w:val="007D0501"/>
    <w:rsid w:val="007D07CC"/>
    <w:rsid w:val="007D0B6C"/>
    <w:rsid w:val="007D0B72"/>
    <w:rsid w:val="007D0BF8"/>
    <w:rsid w:val="007D0EF8"/>
    <w:rsid w:val="007D12C6"/>
    <w:rsid w:val="007D1640"/>
    <w:rsid w:val="007D1641"/>
    <w:rsid w:val="007D1C29"/>
    <w:rsid w:val="007D1F9F"/>
    <w:rsid w:val="007D20D3"/>
    <w:rsid w:val="007D2196"/>
    <w:rsid w:val="007D2383"/>
    <w:rsid w:val="007D2624"/>
    <w:rsid w:val="007D2C76"/>
    <w:rsid w:val="007D2E9C"/>
    <w:rsid w:val="007D315B"/>
    <w:rsid w:val="007D31CD"/>
    <w:rsid w:val="007D35D2"/>
    <w:rsid w:val="007D3954"/>
    <w:rsid w:val="007D3A1E"/>
    <w:rsid w:val="007D3DD3"/>
    <w:rsid w:val="007D3E41"/>
    <w:rsid w:val="007D3FAD"/>
    <w:rsid w:val="007D4206"/>
    <w:rsid w:val="007D430E"/>
    <w:rsid w:val="007D4F7B"/>
    <w:rsid w:val="007D4FD3"/>
    <w:rsid w:val="007D534D"/>
    <w:rsid w:val="007D53AD"/>
    <w:rsid w:val="007D5848"/>
    <w:rsid w:val="007D5C47"/>
    <w:rsid w:val="007D5D96"/>
    <w:rsid w:val="007D628B"/>
    <w:rsid w:val="007D64F6"/>
    <w:rsid w:val="007D64FF"/>
    <w:rsid w:val="007D65C1"/>
    <w:rsid w:val="007D66A0"/>
    <w:rsid w:val="007D68B4"/>
    <w:rsid w:val="007D70D4"/>
    <w:rsid w:val="007D71EC"/>
    <w:rsid w:val="007D723A"/>
    <w:rsid w:val="007D751B"/>
    <w:rsid w:val="007D75EB"/>
    <w:rsid w:val="007D7620"/>
    <w:rsid w:val="007D76D2"/>
    <w:rsid w:val="007D7C8B"/>
    <w:rsid w:val="007D7F09"/>
    <w:rsid w:val="007E024F"/>
    <w:rsid w:val="007E02EE"/>
    <w:rsid w:val="007E04E1"/>
    <w:rsid w:val="007E0507"/>
    <w:rsid w:val="007E07D2"/>
    <w:rsid w:val="007E08A1"/>
    <w:rsid w:val="007E093D"/>
    <w:rsid w:val="007E0A06"/>
    <w:rsid w:val="007E0C14"/>
    <w:rsid w:val="007E106B"/>
    <w:rsid w:val="007E13AC"/>
    <w:rsid w:val="007E191F"/>
    <w:rsid w:val="007E1F77"/>
    <w:rsid w:val="007E2351"/>
    <w:rsid w:val="007E283E"/>
    <w:rsid w:val="007E28B8"/>
    <w:rsid w:val="007E2917"/>
    <w:rsid w:val="007E29F7"/>
    <w:rsid w:val="007E29FF"/>
    <w:rsid w:val="007E2FD7"/>
    <w:rsid w:val="007E32BB"/>
    <w:rsid w:val="007E3A04"/>
    <w:rsid w:val="007E3AD8"/>
    <w:rsid w:val="007E3CAB"/>
    <w:rsid w:val="007E4565"/>
    <w:rsid w:val="007E45FF"/>
    <w:rsid w:val="007E47B3"/>
    <w:rsid w:val="007E4E90"/>
    <w:rsid w:val="007E5215"/>
    <w:rsid w:val="007E57A5"/>
    <w:rsid w:val="007E6223"/>
    <w:rsid w:val="007E6330"/>
    <w:rsid w:val="007E64CA"/>
    <w:rsid w:val="007E6E5B"/>
    <w:rsid w:val="007E6F49"/>
    <w:rsid w:val="007E729A"/>
    <w:rsid w:val="007E73CC"/>
    <w:rsid w:val="007E78D5"/>
    <w:rsid w:val="007E7A1D"/>
    <w:rsid w:val="007E7C5C"/>
    <w:rsid w:val="007E7CE3"/>
    <w:rsid w:val="007E7F55"/>
    <w:rsid w:val="007E7F91"/>
    <w:rsid w:val="007F0C87"/>
    <w:rsid w:val="007F12A0"/>
    <w:rsid w:val="007F1BFF"/>
    <w:rsid w:val="007F1C7E"/>
    <w:rsid w:val="007F1C9D"/>
    <w:rsid w:val="007F1D91"/>
    <w:rsid w:val="007F1E6B"/>
    <w:rsid w:val="007F203D"/>
    <w:rsid w:val="007F2689"/>
    <w:rsid w:val="007F2849"/>
    <w:rsid w:val="007F2B43"/>
    <w:rsid w:val="007F2D37"/>
    <w:rsid w:val="007F2D4F"/>
    <w:rsid w:val="007F2E74"/>
    <w:rsid w:val="007F2F93"/>
    <w:rsid w:val="007F2FCA"/>
    <w:rsid w:val="007F2FFA"/>
    <w:rsid w:val="007F30D1"/>
    <w:rsid w:val="007F312A"/>
    <w:rsid w:val="007F3229"/>
    <w:rsid w:val="007F3295"/>
    <w:rsid w:val="007F3429"/>
    <w:rsid w:val="007F343D"/>
    <w:rsid w:val="007F36B9"/>
    <w:rsid w:val="007F36DF"/>
    <w:rsid w:val="007F37EB"/>
    <w:rsid w:val="007F4348"/>
    <w:rsid w:val="007F45B3"/>
    <w:rsid w:val="007F45BC"/>
    <w:rsid w:val="007F475A"/>
    <w:rsid w:val="007F49D0"/>
    <w:rsid w:val="007F4A04"/>
    <w:rsid w:val="007F4EEE"/>
    <w:rsid w:val="007F51B7"/>
    <w:rsid w:val="007F553E"/>
    <w:rsid w:val="007F5574"/>
    <w:rsid w:val="007F559B"/>
    <w:rsid w:val="007F5A58"/>
    <w:rsid w:val="007F5AD4"/>
    <w:rsid w:val="007F5ADA"/>
    <w:rsid w:val="007F5D94"/>
    <w:rsid w:val="007F6727"/>
    <w:rsid w:val="007F69A6"/>
    <w:rsid w:val="007F6B2A"/>
    <w:rsid w:val="007F6C12"/>
    <w:rsid w:val="007F6F8C"/>
    <w:rsid w:val="007F7818"/>
    <w:rsid w:val="007F7A75"/>
    <w:rsid w:val="007F7A99"/>
    <w:rsid w:val="007F7B7F"/>
    <w:rsid w:val="007F7BE0"/>
    <w:rsid w:val="007F7C4A"/>
    <w:rsid w:val="007F7ED4"/>
    <w:rsid w:val="008001FF"/>
    <w:rsid w:val="0080050F"/>
    <w:rsid w:val="008006C6"/>
    <w:rsid w:val="00800D35"/>
    <w:rsid w:val="008012F2"/>
    <w:rsid w:val="00801543"/>
    <w:rsid w:val="00801C2A"/>
    <w:rsid w:val="00801E64"/>
    <w:rsid w:val="00802669"/>
    <w:rsid w:val="00802852"/>
    <w:rsid w:val="008029FB"/>
    <w:rsid w:val="00802A0E"/>
    <w:rsid w:val="00802CF0"/>
    <w:rsid w:val="00802D02"/>
    <w:rsid w:val="00802DB3"/>
    <w:rsid w:val="008031EE"/>
    <w:rsid w:val="0080334D"/>
    <w:rsid w:val="008034FA"/>
    <w:rsid w:val="008036BD"/>
    <w:rsid w:val="008037A9"/>
    <w:rsid w:val="00803891"/>
    <w:rsid w:val="008039FA"/>
    <w:rsid w:val="00803A84"/>
    <w:rsid w:val="00803CBC"/>
    <w:rsid w:val="00803DE4"/>
    <w:rsid w:val="008044B7"/>
    <w:rsid w:val="0080480A"/>
    <w:rsid w:val="008048E2"/>
    <w:rsid w:val="00804B00"/>
    <w:rsid w:val="00804BF7"/>
    <w:rsid w:val="00804D72"/>
    <w:rsid w:val="00804DAB"/>
    <w:rsid w:val="008051D5"/>
    <w:rsid w:val="008052E8"/>
    <w:rsid w:val="008053B3"/>
    <w:rsid w:val="008053E0"/>
    <w:rsid w:val="0080543B"/>
    <w:rsid w:val="00805703"/>
    <w:rsid w:val="00805814"/>
    <w:rsid w:val="0080591A"/>
    <w:rsid w:val="00805BA1"/>
    <w:rsid w:val="00805CF7"/>
    <w:rsid w:val="00805D07"/>
    <w:rsid w:val="008060D6"/>
    <w:rsid w:val="00806E76"/>
    <w:rsid w:val="0080729A"/>
    <w:rsid w:val="0080738D"/>
    <w:rsid w:val="008073B0"/>
    <w:rsid w:val="00807734"/>
    <w:rsid w:val="00807B31"/>
    <w:rsid w:val="00807B35"/>
    <w:rsid w:val="00807C35"/>
    <w:rsid w:val="00807F5D"/>
    <w:rsid w:val="00810546"/>
    <w:rsid w:val="008105FF"/>
    <w:rsid w:val="00810C45"/>
    <w:rsid w:val="00810E5E"/>
    <w:rsid w:val="0081126D"/>
    <w:rsid w:val="008114B1"/>
    <w:rsid w:val="00811641"/>
    <w:rsid w:val="00811666"/>
    <w:rsid w:val="00811797"/>
    <w:rsid w:val="0081230D"/>
    <w:rsid w:val="0081242B"/>
    <w:rsid w:val="00812591"/>
    <w:rsid w:val="008125B5"/>
    <w:rsid w:val="00812AEA"/>
    <w:rsid w:val="00812BA4"/>
    <w:rsid w:val="00812BE3"/>
    <w:rsid w:val="00812E12"/>
    <w:rsid w:val="008136A2"/>
    <w:rsid w:val="00813F69"/>
    <w:rsid w:val="008140E4"/>
    <w:rsid w:val="008141E6"/>
    <w:rsid w:val="0081423F"/>
    <w:rsid w:val="008144E2"/>
    <w:rsid w:val="00814A4E"/>
    <w:rsid w:val="00814E9C"/>
    <w:rsid w:val="008150E2"/>
    <w:rsid w:val="0081522E"/>
    <w:rsid w:val="00815521"/>
    <w:rsid w:val="00815989"/>
    <w:rsid w:val="00815AA9"/>
    <w:rsid w:val="00815CFC"/>
    <w:rsid w:val="00815E31"/>
    <w:rsid w:val="00815E61"/>
    <w:rsid w:val="00816013"/>
    <w:rsid w:val="008162F0"/>
    <w:rsid w:val="008168E9"/>
    <w:rsid w:val="00816CE1"/>
    <w:rsid w:val="00817176"/>
    <w:rsid w:val="00817390"/>
    <w:rsid w:val="00817540"/>
    <w:rsid w:val="008175B2"/>
    <w:rsid w:val="008176B6"/>
    <w:rsid w:val="008176BE"/>
    <w:rsid w:val="00817776"/>
    <w:rsid w:val="0081783B"/>
    <w:rsid w:val="00817A48"/>
    <w:rsid w:val="00817BAB"/>
    <w:rsid w:val="00817CF0"/>
    <w:rsid w:val="00817D76"/>
    <w:rsid w:val="0082025B"/>
    <w:rsid w:val="0082040D"/>
    <w:rsid w:val="008204AF"/>
    <w:rsid w:val="0082070E"/>
    <w:rsid w:val="008208FF"/>
    <w:rsid w:val="008209D5"/>
    <w:rsid w:val="00820CA0"/>
    <w:rsid w:val="00820EA3"/>
    <w:rsid w:val="00820EF7"/>
    <w:rsid w:val="00821423"/>
    <w:rsid w:val="0082186D"/>
    <w:rsid w:val="0082198A"/>
    <w:rsid w:val="00821A79"/>
    <w:rsid w:val="00821FEA"/>
    <w:rsid w:val="00822080"/>
    <w:rsid w:val="00822227"/>
    <w:rsid w:val="008224F3"/>
    <w:rsid w:val="008229AC"/>
    <w:rsid w:val="008234C7"/>
    <w:rsid w:val="00823500"/>
    <w:rsid w:val="00823904"/>
    <w:rsid w:val="008239C7"/>
    <w:rsid w:val="00823BDF"/>
    <w:rsid w:val="00823CB5"/>
    <w:rsid w:val="008240D0"/>
    <w:rsid w:val="00824271"/>
    <w:rsid w:val="0082439C"/>
    <w:rsid w:val="008243E6"/>
    <w:rsid w:val="008243EE"/>
    <w:rsid w:val="00824405"/>
    <w:rsid w:val="00824810"/>
    <w:rsid w:val="00824AE8"/>
    <w:rsid w:val="00824C69"/>
    <w:rsid w:val="00825333"/>
    <w:rsid w:val="00825739"/>
    <w:rsid w:val="008257E5"/>
    <w:rsid w:val="00825A44"/>
    <w:rsid w:val="00825A64"/>
    <w:rsid w:val="00825AFF"/>
    <w:rsid w:val="00825B5D"/>
    <w:rsid w:val="00825F2C"/>
    <w:rsid w:val="00825F66"/>
    <w:rsid w:val="00826279"/>
    <w:rsid w:val="00826348"/>
    <w:rsid w:val="00826457"/>
    <w:rsid w:val="00826571"/>
    <w:rsid w:val="00826970"/>
    <w:rsid w:val="008269FF"/>
    <w:rsid w:val="00826E1E"/>
    <w:rsid w:val="008272ED"/>
    <w:rsid w:val="00827531"/>
    <w:rsid w:val="008276FB"/>
    <w:rsid w:val="00827B5E"/>
    <w:rsid w:val="00827C9A"/>
    <w:rsid w:val="00827CFC"/>
    <w:rsid w:val="00827D28"/>
    <w:rsid w:val="00827DDC"/>
    <w:rsid w:val="0083039E"/>
    <w:rsid w:val="00830432"/>
    <w:rsid w:val="0083060C"/>
    <w:rsid w:val="008307B0"/>
    <w:rsid w:val="00830A2A"/>
    <w:rsid w:val="00830C68"/>
    <w:rsid w:val="00830E12"/>
    <w:rsid w:val="00830EA1"/>
    <w:rsid w:val="00830F6B"/>
    <w:rsid w:val="00831089"/>
    <w:rsid w:val="008310B3"/>
    <w:rsid w:val="00831121"/>
    <w:rsid w:val="00831153"/>
    <w:rsid w:val="008312C8"/>
    <w:rsid w:val="0083134B"/>
    <w:rsid w:val="00831634"/>
    <w:rsid w:val="00831BC5"/>
    <w:rsid w:val="00832154"/>
    <w:rsid w:val="008326D3"/>
    <w:rsid w:val="008328DA"/>
    <w:rsid w:val="00832914"/>
    <w:rsid w:val="00832AFE"/>
    <w:rsid w:val="00833645"/>
    <w:rsid w:val="00833697"/>
    <w:rsid w:val="0083380B"/>
    <w:rsid w:val="008338E8"/>
    <w:rsid w:val="0083399E"/>
    <w:rsid w:val="00833D38"/>
    <w:rsid w:val="00833F39"/>
    <w:rsid w:val="00833FF9"/>
    <w:rsid w:val="00834082"/>
    <w:rsid w:val="008341A8"/>
    <w:rsid w:val="008344D2"/>
    <w:rsid w:val="008345BD"/>
    <w:rsid w:val="00834CB0"/>
    <w:rsid w:val="00834F91"/>
    <w:rsid w:val="008351EC"/>
    <w:rsid w:val="008352D5"/>
    <w:rsid w:val="00835330"/>
    <w:rsid w:val="00835452"/>
    <w:rsid w:val="0083549E"/>
    <w:rsid w:val="008359C4"/>
    <w:rsid w:val="00835A39"/>
    <w:rsid w:val="00835B88"/>
    <w:rsid w:val="00835B8D"/>
    <w:rsid w:val="00835BD9"/>
    <w:rsid w:val="00835C60"/>
    <w:rsid w:val="00835D42"/>
    <w:rsid w:val="00836091"/>
    <w:rsid w:val="0083630B"/>
    <w:rsid w:val="00836450"/>
    <w:rsid w:val="00836AED"/>
    <w:rsid w:val="0083748E"/>
    <w:rsid w:val="00837D5E"/>
    <w:rsid w:val="00837F53"/>
    <w:rsid w:val="0084029C"/>
    <w:rsid w:val="008407F4"/>
    <w:rsid w:val="00840987"/>
    <w:rsid w:val="00840B45"/>
    <w:rsid w:val="00840DC5"/>
    <w:rsid w:val="00840FB6"/>
    <w:rsid w:val="00841058"/>
    <w:rsid w:val="0084171B"/>
    <w:rsid w:val="00841FAF"/>
    <w:rsid w:val="0084212E"/>
    <w:rsid w:val="00842399"/>
    <w:rsid w:val="008423F5"/>
    <w:rsid w:val="008425DA"/>
    <w:rsid w:val="00842608"/>
    <w:rsid w:val="0084285E"/>
    <w:rsid w:val="00842CB4"/>
    <w:rsid w:val="00843204"/>
    <w:rsid w:val="008434F8"/>
    <w:rsid w:val="0084351E"/>
    <w:rsid w:val="008435EA"/>
    <w:rsid w:val="008436E9"/>
    <w:rsid w:val="00843D56"/>
    <w:rsid w:val="00843F63"/>
    <w:rsid w:val="0084403B"/>
    <w:rsid w:val="008444E8"/>
    <w:rsid w:val="00844678"/>
    <w:rsid w:val="00844A03"/>
    <w:rsid w:val="00844A6B"/>
    <w:rsid w:val="00844BDA"/>
    <w:rsid w:val="00844BEA"/>
    <w:rsid w:val="00844C17"/>
    <w:rsid w:val="00844CF6"/>
    <w:rsid w:val="0084518D"/>
    <w:rsid w:val="00845308"/>
    <w:rsid w:val="008453FA"/>
    <w:rsid w:val="008454AC"/>
    <w:rsid w:val="0084553B"/>
    <w:rsid w:val="00845D12"/>
    <w:rsid w:val="0084611A"/>
    <w:rsid w:val="008467EC"/>
    <w:rsid w:val="008467FC"/>
    <w:rsid w:val="00846A45"/>
    <w:rsid w:val="00846A9B"/>
    <w:rsid w:val="00846F30"/>
    <w:rsid w:val="0084739B"/>
    <w:rsid w:val="008477F7"/>
    <w:rsid w:val="00847D17"/>
    <w:rsid w:val="00847FD7"/>
    <w:rsid w:val="00850033"/>
    <w:rsid w:val="00850067"/>
    <w:rsid w:val="008501F2"/>
    <w:rsid w:val="00850BB2"/>
    <w:rsid w:val="008511F9"/>
    <w:rsid w:val="0085134E"/>
    <w:rsid w:val="0085171A"/>
    <w:rsid w:val="0085175E"/>
    <w:rsid w:val="00851769"/>
    <w:rsid w:val="0085192F"/>
    <w:rsid w:val="00851C08"/>
    <w:rsid w:val="00851C51"/>
    <w:rsid w:val="00851DCE"/>
    <w:rsid w:val="008521E1"/>
    <w:rsid w:val="0085252A"/>
    <w:rsid w:val="0085290F"/>
    <w:rsid w:val="00852A1D"/>
    <w:rsid w:val="00852CEA"/>
    <w:rsid w:val="00852DDE"/>
    <w:rsid w:val="00852E9B"/>
    <w:rsid w:val="00852F86"/>
    <w:rsid w:val="00852FCC"/>
    <w:rsid w:val="00852FF8"/>
    <w:rsid w:val="00853125"/>
    <w:rsid w:val="00853681"/>
    <w:rsid w:val="00853A73"/>
    <w:rsid w:val="00853B82"/>
    <w:rsid w:val="00853BC0"/>
    <w:rsid w:val="00853E30"/>
    <w:rsid w:val="00853FFE"/>
    <w:rsid w:val="0085480F"/>
    <w:rsid w:val="00854BB7"/>
    <w:rsid w:val="00854C52"/>
    <w:rsid w:val="00854E0E"/>
    <w:rsid w:val="00854E51"/>
    <w:rsid w:val="00855193"/>
    <w:rsid w:val="00855417"/>
    <w:rsid w:val="00855484"/>
    <w:rsid w:val="00855606"/>
    <w:rsid w:val="0085562C"/>
    <w:rsid w:val="00855846"/>
    <w:rsid w:val="00855BCE"/>
    <w:rsid w:val="00855C41"/>
    <w:rsid w:val="00855F72"/>
    <w:rsid w:val="00856117"/>
    <w:rsid w:val="0085628E"/>
    <w:rsid w:val="0085637F"/>
    <w:rsid w:val="008564DC"/>
    <w:rsid w:val="008569BD"/>
    <w:rsid w:val="00856A13"/>
    <w:rsid w:val="00856C13"/>
    <w:rsid w:val="00857061"/>
    <w:rsid w:val="008571CE"/>
    <w:rsid w:val="0085773C"/>
    <w:rsid w:val="0086034F"/>
    <w:rsid w:val="0086068A"/>
    <w:rsid w:val="008606F0"/>
    <w:rsid w:val="0086090B"/>
    <w:rsid w:val="008609EF"/>
    <w:rsid w:val="00860AB4"/>
    <w:rsid w:val="00860C8D"/>
    <w:rsid w:val="00860CA7"/>
    <w:rsid w:val="00860CD6"/>
    <w:rsid w:val="00860CED"/>
    <w:rsid w:val="00861031"/>
    <w:rsid w:val="00861217"/>
    <w:rsid w:val="00861370"/>
    <w:rsid w:val="008617DA"/>
    <w:rsid w:val="008623BA"/>
    <w:rsid w:val="00862444"/>
    <w:rsid w:val="008624E3"/>
    <w:rsid w:val="00862B35"/>
    <w:rsid w:val="00862D17"/>
    <w:rsid w:val="00862F0C"/>
    <w:rsid w:val="0086320F"/>
    <w:rsid w:val="008632E6"/>
    <w:rsid w:val="00863749"/>
    <w:rsid w:val="00863B19"/>
    <w:rsid w:val="00863EC6"/>
    <w:rsid w:val="00863FD2"/>
    <w:rsid w:val="008641C9"/>
    <w:rsid w:val="0086421E"/>
    <w:rsid w:val="0086491C"/>
    <w:rsid w:val="00864A87"/>
    <w:rsid w:val="00864A92"/>
    <w:rsid w:val="00864B69"/>
    <w:rsid w:val="00864D93"/>
    <w:rsid w:val="00864E31"/>
    <w:rsid w:val="00864E34"/>
    <w:rsid w:val="008654F7"/>
    <w:rsid w:val="00865535"/>
    <w:rsid w:val="008655A8"/>
    <w:rsid w:val="00865A00"/>
    <w:rsid w:val="00865D8C"/>
    <w:rsid w:val="00866135"/>
    <w:rsid w:val="008667BA"/>
    <w:rsid w:val="00866F96"/>
    <w:rsid w:val="00867014"/>
    <w:rsid w:val="008674E3"/>
    <w:rsid w:val="0086750B"/>
    <w:rsid w:val="00867572"/>
    <w:rsid w:val="0086765F"/>
    <w:rsid w:val="00867667"/>
    <w:rsid w:val="008677E9"/>
    <w:rsid w:val="00867B2E"/>
    <w:rsid w:val="00867D7E"/>
    <w:rsid w:val="00867E4E"/>
    <w:rsid w:val="00870487"/>
    <w:rsid w:val="0087094B"/>
    <w:rsid w:val="00870D26"/>
    <w:rsid w:val="00870DF9"/>
    <w:rsid w:val="00870F76"/>
    <w:rsid w:val="00870FE6"/>
    <w:rsid w:val="0087106D"/>
    <w:rsid w:val="008711EC"/>
    <w:rsid w:val="00871294"/>
    <w:rsid w:val="008716DF"/>
    <w:rsid w:val="0087184D"/>
    <w:rsid w:val="00871BB1"/>
    <w:rsid w:val="00871D18"/>
    <w:rsid w:val="00871D35"/>
    <w:rsid w:val="00871D51"/>
    <w:rsid w:val="00871D66"/>
    <w:rsid w:val="00871F1D"/>
    <w:rsid w:val="0087208C"/>
    <w:rsid w:val="00872340"/>
    <w:rsid w:val="0087259D"/>
    <w:rsid w:val="008728A1"/>
    <w:rsid w:val="00872B5E"/>
    <w:rsid w:val="00872F82"/>
    <w:rsid w:val="00873055"/>
    <w:rsid w:val="008732CB"/>
    <w:rsid w:val="00873C89"/>
    <w:rsid w:val="00873E02"/>
    <w:rsid w:val="008742A2"/>
    <w:rsid w:val="00874614"/>
    <w:rsid w:val="00874C91"/>
    <w:rsid w:val="00874DC1"/>
    <w:rsid w:val="00874E1B"/>
    <w:rsid w:val="00874F07"/>
    <w:rsid w:val="008750F0"/>
    <w:rsid w:val="0087517D"/>
    <w:rsid w:val="00875228"/>
    <w:rsid w:val="00875747"/>
    <w:rsid w:val="0087592B"/>
    <w:rsid w:val="00875962"/>
    <w:rsid w:val="00875A1A"/>
    <w:rsid w:val="00875A65"/>
    <w:rsid w:val="00875A9F"/>
    <w:rsid w:val="00875DB0"/>
    <w:rsid w:val="0087675B"/>
    <w:rsid w:val="0087695A"/>
    <w:rsid w:val="00876A92"/>
    <w:rsid w:val="00876FB3"/>
    <w:rsid w:val="008770D3"/>
    <w:rsid w:val="00877326"/>
    <w:rsid w:val="00877380"/>
    <w:rsid w:val="00877CEE"/>
    <w:rsid w:val="00880125"/>
    <w:rsid w:val="0088025F"/>
    <w:rsid w:val="0088050A"/>
    <w:rsid w:val="0088057D"/>
    <w:rsid w:val="00880870"/>
    <w:rsid w:val="00880959"/>
    <w:rsid w:val="00880B84"/>
    <w:rsid w:val="00880C37"/>
    <w:rsid w:val="00880D88"/>
    <w:rsid w:val="0088111C"/>
    <w:rsid w:val="008813BA"/>
    <w:rsid w:val="008813EC"/>
    <w:rsid w:val="00881E4D"/>
    <w:rsid w:val="00882028"/>
    <w:rsid w:val="00882A89"/>
    <w:rsid w:val="00882B9F"/>
    <w:rsid w:val="00882CB0"/>
    <w:rsid w:val="00882D81"/>
    <w:rsid w:val="00882DDF"/>
    <w:rsid w:val="00882DF9"/>
    <w:rsid w:val="00882DFD"/>
    <w:rsid w:val="00882FFC"/>
    <w:rsid w:val="00883481"/>
    <w:rsid w:val="00883658"/>
    <w:rsid w:val="00883762"/>
    <w:rsid w:val="008838AE"/>
    <w:rsid w:val="00883919"/>
    <w:rsid w:val="00883C10"/>
    <w:rsid w:val="00883FD3"/>
    <w:rsid w:val="00884146"/>
    <w:rsid w:val="00884201"/>
    <w:rsid w:val="00884276"/>
    <w:rsid w:val="0088454B"/>
    <w:rsid w:val="008846C5"/>
    <w:rsid w:val="008846EB"/>
    <w:rsid w:val="00884A43"/>
    <w:rsid w:val="00884C93"/>
    <w:rsid w:val="00884CA2"/>
    <w:rsid w:val="00884F8E"/>
    <w:rsid w:val="0088566D"/>
    <w:rsid w:val="00886090"/>
    <w:rsid w:val="00886153"/>
    <w:rsid w:val="008861EE"/>
    <w:rsid w:val="00886795"/>
    <w:rsid w:val="0088680F"/>
    <w:rsid w:val="00886E89"/>
    <w:rsid w:val="00887546"/>
    <w:rsid w:val="0088769B"/>
    <w:rsid w:val="00890669"/>
    <w:rsid w:val="0089090B"/>
    <w:rsid w:val="00890F66"/>
    <w:rsid w:val="00890F8B"/>
    <w:rsid w:val="00890FD3"/>
    <w:rsid w:val="008912BD"/>
    <w:rsid w:val="00891631"/>
    <w:rsid w:val="008916C9"/>
    <w:rsid w:val="0089176D"/>
    <w:rsid w:val="00891FD3"/>
    <w:rsid w:val="008923B8"/>
    <w:rsid w:val="0089256A"/>
    <w:rsid w:val="00892AAE"/>
    <w:rsid w:val="00892DA8"/>
    <w:rsid w:val="00893054"/>
    <w:rsid w:val="00893081"/>
    <w:rsid w:val="0089327D"/>
    <w:rsid w:val="00893417"/>
    <w:rsid w:val="008935CF"/>
    <w:rsid w:val="008937FB"/>
    <w:rsid w:val="00893A82"/>
    <w:rsid w:val="00893B44"/>
    <w:rsid w:val="00893E7F"/>
    <w:rsid w:val="00894046"/>
    <w:rsid w:val="0089440F"/>
    <w:rsid w:val="0089473E"/>
    <w:rsid w:val="0089484A"/>
    <w:rsid w:val="0089497D"/>
    <w:rsid w:val="00894B6D"/>
    <w:rsid w:val="00894DEA"/>
    <w:rsid w:val="008958AD"/>
    <w:rsid w:val="00895988"/>
    <w:rsid w:val="008960FD"/>
    <w:rsid w:val="00896225"/>
    <w:rsid w:val="0089622F"/>
    <w:rsid w:val="00896FE1"/>
    <w:rsid w:val="00897040"/>
    <w:rsid w:val="00897528"/>
    <w:rsid w:val="008975FB"/>
    <w:rsid w:val="0089760C"/>
    <w:rsid w:val="00897735"/>
    <w:rsid w:val="008977DD"/>
    <w:rsid w:val="00897881"/>
    <w:rsid w:val="00897902"/>
    <w:rsid w:val="00897948"/>
    <w:rsid w:val="00897E2F"/>
    <w:rsid w:val="008A0213"/>
    <w:rsid w:val="008A037D"/>
    <w:rsid w:val="008A073C"/>
    <w:rsid w:val="008A07A7"/>
    <w:rsid w:val="008A0CEC"/>
    <w:rsid w:val="008A0D42"/>
    <w:rsid w:val="008A0ECF"/>
    <w:rsid w:val="008A0F5A"/>
    <w:rsid w:val="008A1032"/>
    <w:rsid w:val="008A1314"/>
    <w:rsid w:val="008A1AE3"/>
    <w:rsid w:val="008A1D22"/>
    <w:rsid w:val="008A1DE0"/>
    <w:rsid w:val="008A1FD8"/>
    <w:rsid w:val="008A23E2"/>
    <w:rsid w:val="008A2486"/>
    <w:rsid w:val="008A27F0"/>
    <w:rsid w:val="008A27F1"/>
    <w:rsid w:val="008A2827"/>
    <w:rsid w:val="008A3458"/>
    <w:rsid w:val="008A381C"/>
    <w:rsid w:val="008A3C25"/>
    <w:rsid w:val="008A3CD6"/>
    <w:rsid w:val="008A406B"/>
    <w:rsid w:val="008A40EA"/>
    <w:rsid w:val="008A4A72"/>
    <w:rsid w:val="008A4BFF"/>
    <w:rsid w:val="008A4D0B"/>
    <w:rsid w:val="008A4E27"/>
    <w:rsid w:val="008A535D"/>
    <w:rsid w:val="008A5496"/>
    <w:rsid w:val="008A57A7"/>
    <w:rsid w:val="008A599E"/>
    <w:rsid w:val="008A5B37"/>
    <w:rsid w:val="008A5BDC"/>
    <w:rsid w:val="008A5BED"/>
    <w:rsid w:val="008A5E8A"/>
    <w:rsid w:val="008A5F75"/>
    <w:rsid w:val="008A6039"/>
    <w:rsid w:val="008A6308"/>
    <w:rsid w:val="008A64CD"/>
    <w:rsid w:val="008A693E"/>
    <w:rsid w:val="008A71EE"/>
    <w:rsid w:val="008A7844"/>
    <w:rsid w:val="008A787C"/>
    <w:rsid w:val="008A79BD"/>
    <w:rsid w:val="008A79D9"/>
    <w:rsid w:val="008A7B0C"/>
    <w:rsid w:val="008A7D66"/>
    <w:rsid w:val="008B02C9"/>
    <w:rsid w:val="008B0BE7"/>
    <w:rsid w:val="008B0D5A"/>
    <w:rsid w:val="008B1ECF"/>
    <w:rsid w:val="008B2090"/>
    <w:rsid w:val="008B209D"/>
    <w:rsid w:val="008B22FF"/>
    <w:rsid w:val="008B24FF"/>
    <w:rsid w:val="008B28B6"/>
    <w:rsid w:val="008B2980"/>
    <w:rsid w:val="008B2A40"/>
    <w:rsid w:val="008B2FBD"/>
    <w:rsid w:val="008B34AD"/>
    <w:rsid w:val="008B355E"/>
    <w:rsid w:val="008B3D17"/>
    <w:rsid w:val="008B3D23"/>
    <w:rsid w:val="008B3FC1"/>
    <w:rsid w:val="008B4359"/>
    <w:rsid w:val="008B4523"/>
    <w:rsid w:val="008B45BB"/>
    <w:rsid w:val="008B4CB0"/>
    <w:rsid w:val="008B4E8C"/>
    <w:rsid w:val="008B5059"/>
    <w:rsid w:val="008B5195"/>
    <w:rsid w:val="008B5272"/>
    <w:rsid w:val="008B5516"/>
    <w:rsid w:val="008B5917"/>
    <w:rsid w:val="008B5A13"/>
    <w:rsid w:val="008B66F2"/>
    <w:rsid w:val="008B68AB"/>
    <w:rsid w:val="008B690E"/>
    <w:rsid w:val="008B6A88"/>
    <w:rsid w:val="008B6CA5"/>
    <w:rsid w:val="008B729B"/>
    <w:rsid w:val="008B729D"/>
    <w:rsid w:val="008B75A8"/>
    <w:rsid w:val="008B794F"/>
    <w:rsid w:val="008B799E"/>
    <w:rsid w:val="008B79DF"/>
    <w:rsid w:val="008B7AE4"/>
    <w:rsid w:val="008C0008"/>
    <w:rsid w:val="008C0280"/>
    <w:rsid w:val="008C033A"/>
    <w:rsid w:val="008C037F"/>
    <w:rsid w:val="008C0EF3"/>
    <w:rsid w:val="008C100B"/>
    <w:rsid w:val="008C12F9"/>
    <w:rsid w:val="008C14A5"/>
    <w:rsid w:val="008C1B5E"/>
    <w:rsid w:val="008C1CFA"/>
    <w:rsid w:val="008C220A"/>
    <w:rsid w:val="008C2363"/>
    <w:rsid w:val="008C2749"/>
    <w:rsid w:val="008C2867"/>
    <w:rsid w:val="008C2872"/>
    <w:rsid w:val="008C28C7"/>
    <w:rsid w:val="008C298F"/>
    <w:rsid w:val="008C2E55"/>
    <w:rsid w:val="008C32D0"/>
    <w:rsid w:val="008C3487"/>
    <w:rsid w:val="008C35FF"/>
    <w:rsid w:val="008C39E9"/>
    <w:rsid w:val="008C39F1"/>
    <w:rsid w:val="008C3A4B"/>
    <w:rsid w:val="008C3F2A"/>
    <w:rsid w:val="008C4149"/>
    <w:rsid w:val="008C42E4"/>
    <w:rsid w:val="008C4C30"/>
    <w:rsid w:val="008C50B0"/>
    <w:rsid w:val="008C5342"/>
    <w:rsid w:val="008C53EE"/>
    <w:rsid w:val="008C5E8D"/>
    <w:rsid w:val="008C5FA4"/>
    <w:rsid w:val="008C61E7"/>
    <w:rsid w:val="008C637B"/>
    <w:rsid w:val="008C6D1F"/>
    <w:rsid w:val="008C6EA4"/>
    <w:rsid w:val="008C6F94"/>
    <w:rsid w:val="008C7080"/>
    <w:rsid w:val="008C70ED"/>
    <w:rsid w:val="008C7113"/>
    <w:rsid w:val="008C728D"/>
    <w:rsid w:val="008C7769"/>
    <w:rsid w:val="008C77F3"/>
    <w:rsid w:val="008C7907"/>
    <w:rsid w:val="008C7C28"/>
    <w:rsid w:val="008C7E8C"/>
    <w:rsid w:val="008C7F13"/>
    <w:rsid w:val="008C7F75"/>
    <w:rsid w:val="008D062F"/>
    <w:rsid w:val="008D0687"/>
    <w:rsid w:val="008D06EE"/>
    <w:rsid w:val="008D0AAE"/>
    <w:rsid w:val="008D0BC6"/>
    <w:rsid w:val="008D0DFE"/>
    <w:rsid w:val="008D11CA"/>
    <w:rsid w:val="008D1264"/>
    <w:rsid w:val="008D1548"/>
    <w:rsid w:val="008D1A47"/>
    <w:rsid w:val="008D1A79"/>
    <w:rsid w:val="008D1ABD"/>
    <w:rsid w:val="008D1C96"/>
    <w:rsid w:val="008D1E99"/>
    <w:rsid w:val="008D2043"/>
    <w:rsid w:val="008D2503"/>
    <w:rsid w:val="008D2916"/>
    <w:rsid w:val="008D2B0F"/>
    <w:rsid w:val="008D3467"/>
    <w:rsid w:val="008D34D4"/>
    <w:rsid w:val="008D36AA"/>
    <w:rsid w:val="008D3721"/>
    <w:rsid w:val="008D3738"/>
    <w:rsid w:val="008D3848"/>
    <w:rsid w:val="008D3AF4"/>
    <w:rsid w:val="008D3EB2"/>
    <w:rsid w:val="008D3EDB"/>
    <w:rsid w:val="008D3F21"/>
    <w:rsid w:val="008D46AB"/>
    <w:rsid w:val="008D4813"/>
    <w:rsid w:val="008D4F19"/>
    <w:rsid w:val="008D5335"/>
    <w:rsid w:val="008D5B1D"/>
    <w:rsid w:val="008D5F0D"/>
    <w:rsid w:val="008D5FC5"/>
    <w:rsid w:val="008D6047"/>
    <w:rsid w:val="008D60BC"/>
    <w:rsid w:val="008D6149"/>
    <w:rsid w:val="008D63E8"/>
    <w:rsid w:val="008D6B3C"/>
    <w:rsid w:val="008D6CD6"/>
    <w:rsid w:val="008D7525"/>
    <w:rsid w:val="008D75B7"/>
    <w:rsid w:val="008E01A0"/>
    <w:rsid w:val="008E01EC"/>
    <w:rsid w:val="008E0448"/>
    <w:rsid w:val="008E063D"/>
    <w:rsid w:val="008E0C12"/>
    <w:rsid w:val="008E0D36"/>
    <w:rsid w:val="008E0DCD"/>
    <w:rsid w:val="008E15AF"/>
    <w:rsid w:val="008E15E9"/>
    <w:rsid w:val="008E17AE"/>
    <w:rsid w:val="008E1D63"/>
    <w:rsid w:val="008E2055"/>
    <w:rsid w:val="008E223F"/>
    <w:rsid w:val="008E2A7D"/>
    <w:rsid w:val="008E33A1"/>
    <w:rsid w:val="008E3541"/>
    <w:rsid w:val="008E3739"/>
    <w:rsid w:val="008E3A38"/>
    <w:rsid w:val="008E3AD4"/>
    <w:rsid w:val="008E4174"/>
    <w:rsid w:val="008E4C17"/>
    <w:rsid w:val="008E53B2"/>
    <w:rsid w:val="008E5C11"/>
    <w:rsid w:val="008E5C82"/>
    <w:rsid w:val="008E61D2"/>
    <w:rsid w:val="008E66FF"/>
    <w:rsid w:val="008E6729"/>
    <w:rsid w:val="008E67F0"/>
    <w:rsid w:val="008E682D"/>
    <w:rsid w:val="008E691B"/>
    <w:rsid w:val="008E6B15"/>
    <w:rsid w:val="008E6B31"/>
    <w:rsid w:val="008E6C9E"/>
    <w:rsid w:val="008E7181"/>
    <w:rsid w:val="008E71FA"/>
    <w:rsid w:val="008E7444"/>
    <w:rsid w:val="008E7477"/>
    <w:rsid w:val="008E786F"/>
    <w:rsid w:val="008E78D5"/>
    <w:rsid w:val="008E7928"/>
    <w:rsid w:val="008F01F4"/>
    <w:rsid w:val="008F0323"/>
    <w:rsid w:val="008F059D"/>
    <w:rsid w:val="008F064E"/>
    <w:rsid w:val="008F0869"/>
    <w:rsid w:val="008F0B9D"/>
    <w:rsid w:val="008F0EE8"/>
    <w:rsid w:val="008F0F34"/>
    <w:rsid w:val="008F0FA9"/>
    <w:rsid w:val="008F16B2"/>
    <w:rsid w:val="008F16D5"/>
    <w:rsid w:val="008F182D"/>
    <w:rsid w:val="008F19B2"/>
    <w:rsid w:val="008F1A4E"/>
    <w:rsid w:val="008F1A63"/>
    <w:rsid w:val="008F1A74"/>
    <w:rsid w:val="008F2602"/>
    <w:rsid w:val="008F2A97"/>
    <w:rsid w:val="008F2CA1"/>
    <w:rsid w:val="008F2CE6"/>
    <w:rsid w:val="008F2D54"/>
    <w:rsid w:val="008F2EB2"/>
    <w:rsid w:val="008F2EC3"/>
    <w:rsid w:val="008F30D9"/>
    <w:rsid w:val="008F34BD"/>
    <w:rsid w:val="008F3831"/>
    <w:rsid w:val="008F3AB3"/>
    <w:rsid w:val="008F3C2B"/>
    <w:rsid w:val="008F3CC7"/>
    <w:rsid w:val="008F3E6C"/>
    <w:rsid w:val="008F47CC"/>
    <w:rsid w:val="008F4AEC"/>
    <w:rsid w:val="008F4B54"/>
    <w:rsid w:val="008F4DCE"/>
    <w:rsid w:val="008F4E97"/>
    <w:rsid w:val="008F4EFB"/>
    <w:rsid w:val="008F50EF"/>
    <w:rsid w:val="008F5299"/>
    <w:rsid w:val="008F54EB"/>
    <w:rsid w:val="008F558C"/>
    <w:rsid w:val="008F5595"/>
    <w:rsid w:val="008F594C"/>
    <w:rsid w:val="008F5AB5"/>
    <w:rsid w:val="008F5ACD"/>
    <w:rsid w:val="008F5B30"/>
    <w:rsid w:val="008F5C47"/>
    <w:rsid w:val="008F5EA2"/>
    <w:rsid w:val="008F5F0D"/>
    <w:rsid w:val="008F5F6D"/>
    <w:rsid w:val="008F62C3"/>
    <w:rsid w:val="008F648A"/>
    <w:rsid w:val="008F6512"/>
    <w:rsid w:val="008F6AC9"/>
    <w:rsid w:val="008F6AD0"/>
    <w:rsid w:val="008F6EA1"/>
    <w:rsid w:val="008F70DC"/>
    <w:rsid w:val="008F7250"/>
    <w:rsid w:val="008F7951"/>
    <w:rsid w:val="008F7DF0"/>
    <w:rsid w:val="00900143"/>
    <w:rsid w:val="0090014F"/>
    <w:rsid w:val="00900706"/>
    <w:rsid w:val="00900CFF"/>
    <w:rsid w:val="00900DB0"/>
    <w:rsid w:val="0090110C"/>
    <w:rsid w:val="0090156F"/>
    <w:rsid w:val="00901603"/>
    <w:rsid w:val="00901824"/>
    <w:rsid w:val="00901D00"/>
    <w:rsid w:val="00901D0B"/>
    <w:rsid w:val="00901E01"/>
    <w:rsid w:val="009021B1"/>
    <w:rsid w:val="00902456"/>
    <w:rsid w:val="00902AB3"/>
    <w:rsid w:val="00902E28"/>
    <w:rsid w:val="00903705"/>
    <w:rsid w:val="00903734"/>
    <w:rsid w:val="009039E4"/>
    <w:rsid w:val="00903B92"/>
    <w:rsid w:val="0090418E"/>
    <w:rsid w:val="009044A2"/>
    <w:rsid w:val="0090454E"/>
    <w:rsid w:val="009045A7"/>
    <w:rsid w:val="00904E48"/>
    <w:rsid w:val="00905151"/>
    <w:rsid w:val="0090517D"/>
    <w:rsid w:val="009051C8"/>
    <w:rsid w:val="009051CF"/>
    <w:rsid w:val="009058A3"/>
    <w:rsid w:val="00905C85"/>
    <w:rsid w:val="009060D4"/>
    <w:rsid w:val="00906103"/>
    <w:rsid w:val="00906287"/>
    <w:rsid w:val="0090655D"/>
    <w:rsid w:val="0090662B"/>
    <w:rsid w:val="0090667A"/>
    <w:rsid w:val="009066CE"/>
    <w:rsid w:val="009067D0"/>
    <w:rsid w:val="00906D37"/>
    <w:rsid w:val="00906DA7"/>
    <w:rsid w:val="009075A5"/>
    <w:rsid w:val="00907A1C"/>
    <w:rsid w:val="00907A5D"/>
    <w:rsid w:val="00907BD3"/>
    <w:rsid w:val="00907C5D"/>
    <w:rsid w:val="00907CB6"/>
    <w:rsid w:val="00907D16"/>
    <w:rsid w:val="00907E16"/>
    <w:rsid w:val="00907EC1"/>
    <w:rsid w:val="00907F55"/>
    <w:rsid w:val="0091036C"/>
    <w:rsid w:val="0091052D"/>
    <w:rsid w:val="00910666"/>
    <w:rsid w:val="009106ED"/>
    <w:rsid w:val="009107BF"/>
    <w:rsid w:val="00910823"/>
    <w:rsid w:val="00910BF9"/>
    <w:rsid w:val="00911398"/>
    <w:rsid w:val="009113D5"/>
    <w:rsid w:val="009116B5"/>
    <w:rsid w:val="0091176F"/>
    <w:rsid w:val="00911830"/>
    <w:rsid w:val="00911C34"/>
    <w:rsid w:val="00911CF6"/>
    <w:rsid w:val="00912082"/>
    <w:rsid w:val="0091335C"/>
    <w:rsid w:val="00913390"/>
    <w:rsid w:val="00913434"/>
    <w:rsid w:val="00913449"/>
    <w:rsid w:val="00913734"/>
    <w:rsid w:val="009139EF"/>
    <w:rsid w:val="00913BBB"/>
    <w:rsid w:val="00913D1C"/>
    <w:rsid w:val="00913E86"/>
    <w:rsid w:val="00914720"/>
    <w:rsid w:val="00914BB8"/>
    <w:rsid w:val="0091588C"/>
    <w:rsid w:val="00915D51"/>
    <w:rsid w:val="00915DC5"/>
    <w:rsid w:val="00915F92"/>
    <w:rsid w:val="00916376"/>
    <w:rsid w:val="00916603"/>
    <w:rsid w:val="009166C3"/>
    <w:rsid w:val="00916901"/>
    <w:rsid w:val="00916EEE"/>
    <w:rsid w:val="009174BC"/>
    <w:rsid w:val="009176D1"/>
    <w:rsid w:val="009178DA"/>
    <w:rsid w:val="00917CD5"/>
    <w:rsid w:val="00917D40"/>
    <w:rsid w:val="00917F67"/>
    <w:rsid w:val="0092000F"/>
    <w:rsid w:val="0092034E"/>
    <w:rsid w:val="0092062F"/>
    <w:rsid w:val="0092064D"/>
    <w:rsid w:val="00920740"/>
    <w:rsid w:val="00920C4D"/>
    <w:rsid w:val="00920DCF"/>
    <w:rsid w:val="0092149D"/>
    <w:rsid w:val="009215BC"/>
    <w:rsid w:val="00921CC1"/>
    <w:rsid w:val="00921D50"/>
    <w:rsid w:val="00921EE1"/>
    <w:rsid w:val="00921F51"/>
    <w:rsid w:val="00921FE1"/>
    <w:rsid w:val="0092229A"/>
    <w:rsid w:val="009224C2"/>
    <w:rsid w:val="009233C0"/>
    <w:rsid w:val="00923699"/>
    <w:rsid w:val="009237E5"/>
    <w:rsid w:val="009238B6"/>
    <w:rsid w:val="009238D4"/>
    <w:rsid w:val="00923AA1"/>
    <w:rsid w:val="00923F09"/>
    <w:rsid w:val="00923F1C"/>
    <w:rsid w:val="00924314"/>
    <w:rsid w:val="00924C50"/>
    <w:rsid w:val="00924CB0"/>
    <w:rsid w:val="00925AFF"/>
    <w:rsid w:val="00925D02"/>
    <w:rsid w:val="00925D09"/>
    <w:rsid w:val="00925F16"/>
    <w:rsid w:val="009261B5"/>
    <w:rsid w:val="0092649A"/>
    <w:rsid w:val="00926601"/>
    <w:rsid w:val="009268D3"/>
    <w:rsid w:val="00926D41"/>
    <w:rsid w:val="00926DD1"/>
    <w:rsid w:val="00926EF8"/>
    <w:rsid w:val="009270A7"/>
    <w:rsid w:val="0092750B"/>
    <w:rsid w:val="0092777A"/>
    <w:rsid w:val="00927858"/>
    <w:rsid w:val="009278A2"/>
    <w:rsid w:val="00927A01"/>
    <w:rsid w:val="00927A10"/>
    <w:rsid w:val="00927BE2"/>
    <w:rsid w:val="009301DC"/>
    <w:rsid w:val="009301E5"/>
    <w:rsid w:val="00930536"/>
    <w:rsid w:val="00930720"/>
    <w:rsid w:val="00930A56"/>
    <w:rsid w:val="00930B72"/>
    <w:rsid w:val="009311DF"/>
    <w:rsid w:val="0093153D"/>
    <w:rsid w:val="00931C1B"/>
    <w:rsid w:val="00931C3B"/>
    <w:rsid w:val="00931CEF"/>
    <w:rsid w:val="00931DB8"/>
    <w:rsid w:val="00931DC5"/>
    <w:rsid w:val="00932072"/>
    <w:rsid w:val="00932230"/>
    <w:rsid w:val="0093228F"/>
    <w:rsid w:val="009325EB"/>
    <w:rsid w:val="009325F9"/>
    <w:rsid w:val="0093260E"/>
    <w:rsid w:val="009326BA"/>
    <w:rsid w:val="00932FBE"/>
    <w:rsid w:val="00933522"/>
    <w:rsid w:val="009335E2"/>
    <w:rsid w:val="0093385F"/>
    <w:rsid w:val="00933C29"/>
    <w:rsid w:val="00933DD0"/>
    <w:rsid w:val="00933F14"/>
    <w:rsid w:val="00933F42"/>
    <w:rsid w:val="00934565"/>
    <w:rsid w:val="00934BFF"/>
    <w:rsid w:val="00934D42"/>
    <w:rsid w:val="009351B7"/>
    <w:rsid w:val="00935A06"/>
    <w:rsid w:val="00935C5A"/>
    <w:rsid w:val="00935D8C"/>
    <w:rsid w:val="00935F84"/>
    <w:rsid w:val="00935F85"/>
    <w:rsid w:val="00936C00"/>
    <w:rsid w:val="00936D77"/>
    <w:rsid w:val="00937169"/>
    <w:rsid w:val="009371E1"/>
    <w:rsid w:val="00937AFF"/>
    <w:rsid w:val="00937B0B"/>
    <w:rsid w:val="009401D4"/>
    <w:rsid w:val="009407C5"/>
    <w:rsid w:val="009408C4"/>
    <w:rsid w:val="009408F3"/>
    <w:rsid w:val="0094093B"/>
    <w:rsid w:val="00940D60"/>
    <w:rsid w:val="00941156"/>
    <w:rsid w:val="00941872"/>
    <w:rsid w:val="00941873"/>
    <w:rsid w:val="00941B7E"/>
    <w:rsid w:val="00942255"/>
    <w:rsid w:val="009423B9"/>
    <w:rsid w:val="00942495"/>
    <w:rsid w:val="009424A2"/>
    <w:rsid w:val="00942624"/>
    <w:rsid w:val="00942661"/>
    <w:rsid w:val="009426C7"/>
    <w:rsid w:val="009427AA"/>
    <w:rsid w:val="00942C60"/>
    <w:rsid w:val="009430FC"/>
    <w:rsid w:val="009432B5"/>
    <w:rsid w:val="009432C0"/>
    <w:rsid w:val="009433F7"/>
    <w:rsid w:val="00943764"/>
    <w:rsid w:val="009437E4"/>
    <w:rsid w:val="0094394D"/>
    <w:rsid w:val="00943EC7"/>
    <w:rsid w:val="0094417B"/>
    <w:rsid w:val="0094469A"/>
    <w:rsid w:val="00944E13"/>
    <w:rsid w:val="00944E28"/>
    <w:rsid w:val="009452F4"/>
    <w:rsid w:val="009459AE"/>
    <w:rsid w:val="00945A4E"/>
    <w:rsid w:val="00945BD1"/>
    <w:rsid w:val="00945EAF"/>
    <w:rsid w:val="00945EC7"/>
    <w:rsid w:val="00945FA9"/>
    <w:rsid w:val="00946139"/>
    <w:rsid w:val="009463C2"/>
    <w:rsid w:val="0094652F"/>
    <w:rsid w:val="00946741"/>
    <w:rsid w:val="00946850"/>
    <w:rsid w:val="00946B41"/>
    <w:rsid w:val="00946ED4"/>
    <w:rsid w:val="00947235"/>
    <w:rsid w:val="009475C0"/>
    <w:rsid w:val="00947B70"/>
    <w:rsid w:val="00950057"/>
    <w:rsid w:val="009501C5"/>
    <w:rsid w:val="0095046D"/>
    <w:rsid w:val="0095055B"/>
    <w:rsid w:val="0095059C"/>
    <w:rsid w:val="00950606"/>
    <w:rsid w:val="009506A7"/>
    <w:rsid w:val="009506D3"/>
    <w:rsid w:val="009507B2"/>
    <w:rsid w:val="00950AF3"/>
    <w:rsid w:val="00950CC1"/>
    <w:rsid w:val="009517B8"/>
    <w:rsid w:val="00951BE0"/>
    <w:rsid w:val="009521B2"/>
    <w:rsid w:val="00952490"/>
    <w:rsid w:val="00952609"/>
    <w:rsid w:val="00952998"/>
    <w:rsid w:val="0095301E"/>
    <w:rsid w:val="0095319A"/>
    <w:rsid w:val="00953366"/>
    <w:rsid w:val="00953621"/>
    <w:rsid w:val="009536F2"/>
    <w:rsid w:val="00953BDF"/>
    <w:rsid w:val="00953EAA"/>
    <w:rsid w:val="00953FA8"/>
    <w:rsid w:val="009540A9"/>
    <w:rsid w:val="00954216"/>
    <w:rsid w:val="00954498"/>
    <w:rsid w:val="009544BA"/>
    <w:rsid w:val="00954710"/>
    <w:rsid w:val="00954AA8"/>
    <w:rsid w:val="00954E65"/>
    <w:rsid w:val="00955255"/>
    <w:rsid w:val="009554D3"/>
    <w:rsid w:val="00955608"/>
    <w:rsid w:val="0095598F"/>
    <w:rsid w:val="00955A8C"/>
    <w:rsid w:val="009566EA"/>
    <w:rsid w:val="009567FB"/>
    <w:rsid w:val="00956A01"/>
    <w:rsid w:val="00956D3E"/>
    <w:rsid w:val="00956FA0"/>
    <w:rsid w:val="00956FAF"/>
    <w:rsid w:val="00957108"/>
    <w:rsid w:val="00957224"/>
    <w:rsid w:val="00957639"/>
    <w:rsid w:val="00957692"/>
    <w:rsid w:val="009576FE"/>
    <w:rsid w:val="009578B4"/>
    <w:rsid w:val="00957F88"/>
    <w:rsid w:val="009606E2"/>
    <w:rsid w:val="00960838"/>
    <w:rsid w:val="00960859"/>
    <w:rsid w:val="009608CA"/>
    <w:rsid w:val="009609A3"/>
    <w:rsid w:val="00960E34"/>
    <w:rsid w:val="00960E56"/>
    <w:rsid w:val="0096123B"/>
    <w:rsid w:val="0096129E"/>
    <w:rsid w:val="0096136B"/>
    <w:rsid w:val="0096192E"/>
    <w:rsid w:val="00961E52"/>
    <w:rsid w:val="009622EA"/>
    <w:rsid w:val="00962425"/>
    <w:rsid w:val="009624B5"/>
    <w:rsid w:val="00962C95"/>
    <w:rsid w:val="00962E00"/>
    <w:rsid w:val="00963057"/>
    <w:rsid w:val="00963567"/>
    <w:rsid w:val="0096366A"/>
    <w:rsid w:val="00963701"/>
    <w:rsid w:val="00963988"/>
    <w:rsid w:val="00963AC0"/>
    <w:rsid w:val="00963D83"/>
    <w:rsid w:val="0096458B"/>
    <w:rsid w:val="0096470A"/>
    <w:rsid w:val="0096475A"/>
    <w:rsid w:val="00964831"/>
    <w:rsid w:val="0096498A"/>
    <w:rsid w:val="0096498F"/>
    <w:rsid w:val="00964B18"/>
    <w:rsid w:val="00964BD5"/>
    <w:rsid w:val="00964D06"/>
    <w:rsid w:val="00964E36"/>
    <w:rsid w:val="009653DB"/>
    <w:rsid w:val="0096560A"/>
    <w:rsid w:val="00965A2B"/>
    <w:rsid w:val="00965C66"/>
    <w:rsid w:val="0096608C"/>
    <w:rsid w:val="0096627F"/>
    <w:rsid w:val="009662FE"/>
    <w:rsid w:val="009662FF"/>
    <w:rsid w:val="00966621"/>
    <w:rsid w:val="0096666E"/>
    <w:rsid w:val="00966A99"/>
    <w:rsid w:val="00966C6A"/>
    <w:rsid w:val="00966C92"/>
    <w:rsid w:val="00966DFC"/>
    <w:rsid w:val="00966E0E"/>
    <w:rsid w:val="00966F2C"/>
    <w:rsid w:val="00967007"/>
    <w:rsid w:val="0096713E"/>
    <w:rsid w:val="009671FD"/>
    <w:rsid w:val="00967213"/>
    <w:rsid w:val="0096728A"/>
    <w:rsid w:val="0096737F"/>
    <w:rsid w:val="00967585"/>
    <w:rsid w:val="009677DA"/>
    <w:rsid w:val="00967E9E"/>
    <w:rsid w:val="0097010B"/>
    <w:rsid w:val="00970275"/>
    <w:rsid w:val="0097040C"/>
    <w:rsid w:val="00970580"/>
    <w:rsid w:val="00970636"/>
    <w:rsid w:val="009706AC"/>
    <w:rsid w:val="0097077B"/>
    <w:rsid w:val="009708B3"/>
    <w:rsid w:val="00970E51"/>
    <w:rsid w:val="00970E7A"/>
    <w:rsid w:val="00970E84"/>
    <w:rsid w:val="0097114E"/>
    <w:rsid w:val="009718AB"/>
    <w:rsid w:val="00971B52"/>
    <w:rsid w:val="00971BA1"/>
    <w:rsid w:val="00971C19"/>
    <w:rsid w:val="0097205C"/>
    <w:rsid w:val="009722E0"/>
    <w:rsid w:val="009722F4"/>
    <w:rsid w:val="0097255D"/>
    <w:rsid w:val="009725BC"/>
    <w:rsid w:val="00972794"/>
    <w:rsid w:val="00972814"/>
    <w:rsid w:val="00972A98"/>
    <w:rsid w:val="00972E48"/>
    <w:rsid w:val="00973262"/>
    <w:rsid w:val="0097330A"/>
    <w:rsid w:val="0097370B"/>
    <w:rsid w:val="00973892"/>
    <w:rsid w:val="009738EC"/>
    <w:rsid w:val="00973986"/>
    <w:rsid w:val="00973A64"/>
    <w:rsid w:val="00973D52"/>
    <w:rsid w:val="00973E03"/>
    <w:rsid w:val="00974284"/>
    <w:rsid w:val="009742ED"/>
    <w:rsid w:val="0097455D"/>
    <w:rsid w:val="00974882"/>
    <w:rsid w:val="00974A94"/>
    <w:rsid w:val="00974C82"/>
    <w:rsid w:val="00975040"/>
    <w:rsid w:val="0097532B"/>
    <w:rsid w:val="00975340"/>
    <w:rsid w:val="0097540A"/>
    <w:rsid w:val="009758A1"/>
    <w:rsid w:val="0097592F"/>
    <w:rsid w:val="00975A51"/>
    <w:rsid w:val="00975AB4"/>
    <w:rsid w:val="00976031"/>
    <w:rsid w:val="00976283"/>
    <w:rsid w:val="009762ED"/>
    <w:rsid w:val="0097637A"/>
    <w:rsid w:val="00976558"/>
    <w:rsid w:val="009766FC"/>
    <w:rsid w:val="00976858"/>
    <w:rsid w:val="00976C14"/>
    <w:rsid w:val="00976E25"/>
    <w:rsid w:val="009771C4"/>
    <w:rsid w:val="00977513"/>
    <w:rsid w:val="0097758B"/>
    <w:rsid w:val="00977776"/>
    <w:rsid w:val="00977961"/>
    <w:rsid w:val="00977D79"/>
    <w:rsid w:val="00977FA1"/>
    <w:rsid w:val="00980107"/>
    <w:rsid w:val="009809A1"/>
    <w:rsid w:val="00981181"/>
    <w:rsid w:val="009812E7"/>
    <w:rsid w:val="00981423"/>
    <w:rsid w:val="00981732"/>
    <w:rsid w:val="00981A14"/>
    <w:rsid w:val="009821AC"/>
    <w:rsid w:val="00982331"/>
    <w:rsid w:val="00982658"/>
    <w:rsid w:val="0098284C"/>
    <w:rsid w:val="0098291A"/>
    <w:rsid w:val="00983082"/>
    <w:rsid w:val="009830B5"/>
    <w:rsid w:val="0098322C"/>
    <w:rsid w:val="0098323B"/>
    <w:rsid w:val="00983387"/>
    <w:rsid w:val="0098343E"/>
    <w:rsid w:val="0098345E"/>
    <w:rsid w:val="009835DA"/>
    <w:rsid w:val="00983D77"/>
    <w:rsid w:val="00983D9A"/>
    <w:rsid w:val="00983DDF"/>
    <w:rsid w:val="00983DE5"/>
    <w:rsid w:val="00983F38"/>
    <w:rsid w:val="0098409B"/>
    <w:rsid w:val="009840FE"/>
    <w:rsid w:val="009843D6"/>
    <w:rsid w:val="009843E7"/>
    <w:rsid w:val="009845EB"/>
    <w:rsid w:val="0098465A"/>
    <w:rsid w:val="009849F2"/>
    <w:rsid w:val="00984A79"/>
    <w:rsid w:val="00984D5C"/>
    <w:rsid w:val="00984FAB"/>
    <w:rsid w:val="009850A7"/>
    <w:rsid w:val="009857D3"/>
    <w:rsid w:val="00985989"/>
    <w:rsid w:val="009859C9"/>
    <w:rsid w:val="00985F52"/>
    <w:rsid w:val="00986140"/>
    <w:rsid w:val="00986337"/>
    <w:rsid w:val="00986A15"/>
    <w:rsid w:val="00987589"/>
    <w:rsid w:val="00987A04"/>
    <w:rsid w:val="00987A0F"/>
    <w:rsid w:val="00987A6B"/>
    <w:rsid w:val="00987A7A"/>
    <w:rsid w:val="00987D7A"/>
    <w:rsid w:val="00990117"/>
    <w:rsid w:val="0099012E"/>
    <w:rsid w:val="00990596"/>
    <w:rsid w:val="0099076F"/>
    <w:rsid w:val="009908E3"/>
    <w:rsid w:val="00990A42"/>
    <w:rsid w:val="00990AB6"/>
    <w:rsid w:val="00990C93"/>
    <w:rsid w:val="00990E46"/>
    <w:rsid w:val="00991123"/>
    <w:rsid w:val="009912B8"/>
    <w:rsid w:val="00991750"/>
    <w:rsid w:val="00991DAE"/>
    <w:rsid w:val="0099220F"/>
    <w:rsid w:val="009922D8"/>
    <w:rsid w:val="00992BC7"/>
    <w:rsid w:val="00993690"/>
    <w:rsid w:val="0099370C"/>
    <w:rsid w:val="00993943"/>
    <w:rsid w:val="00993B25"/>
    <w:rsid w:val="009940AF"/>
    <w:rsid w:val="0099412E"/>
    <w:rsid w:val="00994432"/>
    <w:rsid w:val="00994ACF"/>
    <w:rsid w:val="00995678"/>
    <w:rsid w:val="00995800"/>
    <w:rsid w:val="00995C32"/>
    <w:rsid w:val="00996390"/>
    <w:rsid w:val="009966E4"/>
    <w:rsid w:val="009969E0"/>
    <w:rsid w:val="00996B21"/>
    <w:rsid w:val="00996B6C"/>
    <w:rsid w:val="00997486"/>
    <w:rsid w:val="00997566"/>
    <w:rsid w:val="0099764E"/>
    <w:rsid w:val="0099790F"/>
    <w:rsid w:val="009979F9"/>
    <w:rsid w:val="00997D09"/>
    <w:rsid w:val="00997E1A"/>
    <w:rsid w:val="00997EF4"/>
    <w:rsid w:val="009A0357"/>
    <w:rsid w:val="009A03AE"/>
    <w:rsid w:val="009A0455"/>
    <w:rsid w:val="009A0499"/>
    <w:rsid w:val="009A052B"/>
    <w:rsid w:val="009A099A"/>
    <w:rsid w:val="009A0D77"/>
    <w:rsid w:val="009A13C9"/>
    <w:rsid w:val="009A14BE"/>
    <w:rsid w:val="009A1511"/>
    <w:rsid w:val="009A15C2"/>
    <w:rsid w:val="009A1AE4"/>
    <w:rsid w:val="009A1B56"/>
    <w:rsid w:val="009A1BA3"/>
    <w:rsid w:val="009A1E1E"/>
    <w:rsid w:val="009A1E64"/>
    <w:rsid w:val="009A1EA4"/>
    <w:rsid w:val="009A21A2"/>
    <w:rsid w:val="009A22B9"/>
    <w:rsid w:val="009A2695"/>
    <w:rsid w:val="009A2F2C"/>
    <w:rsid w:val="009A3070"/>
    <w:rsid w:val="009A3083"/>
    <w:rsid w:val="009A30C6"/>
    <w:rsid w:val="009A3331"/>
    <w:rsid w:val="009A3509"/>
    <w:rsid w:val="009A3528"/>
    <w:rsid w:val="009A3C31"/>
    <w:rsid w:val="009A3D98"/>
    <w:rsid w:val="009A472C"/>
    <w:rsid w:val="009A4B44"/>
    <w:rsid w:val="009A4BA6"/>
    <w:rsid w:val="009A4C0A"/>
    <w:rsid w:val="009A5618"/>
    <w:rsid w:val="009A5844"/>
    <w:rsid w:val="009A5BEF"/>
    <w:rsid w:val="009A61FC"/>
    <w:rsid w:val="009A6285"/>
    <w:rsid w:val="009A6297"/>
    <w:rsid w:val="009A63C2"/>
    <w:rsid w:val="009A64FC"/>
    <w:rsid w:val="009A6584"/>
    <w:rsid w:val="009A65F9"/>
    <w:rsid w:val="009A672E"/>
    <w:rsid w:val="009A6764"/>
    <w:rsid w:val="009A68BB"/>
    <w:rsid w:val="009A702B"/>
    <w:rsid w:val="009A7777"/>
    <w:rsid w:val="009A77CC"/>
    <w:rsid w:val="009A7842"/>
    <w:rsid w:val="009A795B"/>
    <w:rsid w:val="009A7A35"/>
    <w:rsid w:val="009A7D94"/>
    <w:rsid w:val="009A7F7C"/>
    <w:rsid w:val="009B050B"/>
    <w:rsid w:val="009B0834"/>
    <w:rsid w:val="009B0BC5"/>
    <w:rsid w:val="009B0C03"/>
    <w:rsid w:val="009B1250"/>
    <w:rsid w:val="009B1338"/>
    <w:rsid w:val="009B19BE"/>
    <w:rsid w:val="009B212C"/>
    <w:rsid w:val="009B213D"/>
    <w:rsid w:val="009B22B9"/>
    <w:rsid w:val="009B22F2"/>
    <w:rsid w:val="009B231C"/>
    <w:rsid w:val="009B2417"/>
    <w:rsid w:val="009B24C6"/>
    <w:rsid w:val="009B2B06"/>
    <w:rsid w:val="009B3781"/>
    <w:rsid w:val="009B37F3"/>
    <w:rsid w:val="009B38E5"/>
    <w:rsid w:val="009B3AAF"/>
    <w:rsid w:val="009B3BC7"/>
    <w:rsid w:val="009B3C34"/>
    <w:rsid w:val="009B42E1"/>
    <w:rsid w:val="009B4350"/>
    <w:rsid w:val="009B4356"/>
    <w:rsid w:val="009B4C15"/>
    <w:rsid w:val="009B56FD"/>
    <w:rsid w:val="009B5977"/>
    <w:rsid w:val="009B5C15"/>
    <w:rsid w:val="009B5CF6"/>
    <w:rsid w:val="009B5DC4"/>
    <w:rsid w:val="009B604C"/>
    <w:rsid w:val="009B61DD"/>
    <w:rsid w:val="009B6623"/>
    <w:rsid w:val="009B6760"/>
    <w:rsid w:val="009B6886"/>
    <w:rsid w:val="009B691A"/>
    <w:rsid w:val="009B6D37"/>
    <w:rsid w:val="009B6E28"/>
    <w:rsid w:val="009B6F96"/>
    <w:rsid w:val="009B6FA2"/>
    <w:rsid w:val="009B716A"/>
    <w:rsid w:val="009B78EE"/>
    <w:rsid w:val="009B7C20"/>
    <w:rsid w:val="009B7D87"/>
    <w:rsid w:val="009B7ED7"/>
    <w:rsid w:val="009C039E"/>
    <w:rsid w:val="009C062E"/>
    <w:rsid w:val="009C0665"/>
    <w:rsid w:val="009C0718"/>
    <w:rsid w:val="009C08AB"/>
    <w:rsid w:val="009C11E6"/>
    <w:rsid w:val="009C133E"/>
    <w:rsid w:val="009C15A0"/>
    <w:rsid w:val="009C1C3A"/>
    <w:rsid w:val="009C1C57"/>
    <w:rsid w:val="009C1D38"/>
    <w:rsid w:val="009C2188"/>
    <w:rsid w:val="009C2796"/>
    <w:rsid w:val="009C29AE"/>
    <w:rsid w:val="009C2B68"/>
    <w:rsid w:val="009C2CF1"/>
    <w:rsid w:val="009C31B5"/>
    <w:rsid w:val="009C3374"/>
    <w:rsid w:val="009C3379"/>
    <w:rsid w:val="009C33EB"/>
    <w:rsid w:val="009C35F4"/>
    <w:rsid w:val="009C384A"/>
    <w:rsid w:val="009C38E0"/>
    <w:rsid w:val="009C3904"/>
    <w:rsid w:val="009C39A1"/>
    <w:rsid w:val="009C3CA8"/>
    <w:rsid w:val="009C40F8"/>
    <w:rsid w:val="009C424F"/>
    <w:rsid w:val="009C42B3"/>
    <w:rsid w:val="009C454F"/>
    <w:rsid w:val="009C4977"/>
    <w:rsid w:val="009C4CC4"/>
    <w:rsid w:val="009C51F1"/>
    <w:rsid w:val="009C5336"/>
    <w:rsid w:val="009C5C79"/>
    <w:rsid w:val="009C5D61"/>
    <w:rsid w:val="009C623C"/>
    <w:rsid w:val="009C6B4F"/>
    <w:rsid w:val="009C6CE1"/>
    <w:rsid w:val="009C76DC"/>
    <w:rsid w:val="009C7C22"/>
    <w:rsid w:val="009C7C49"/>
    <w:rsid w:val="009C7EBE"/>
    <w:rsid w:val="009D001B"/>
    <w:rsid w:val="009D0149"/>
    <w:rsid w:val="009D03EF"/>
    <w:rsid w:val="009D0786"/>
    <w:rsid w:val="009D07D5"/>
    <w:rsid w:val="009D0847"/>
    <w:rsid w:val="009D0906"/>
    <w:rsid w:val="009D0FAF"/>
    <w:rsid w:val="009D1870"/>
    <w:rsid w:val="009D1D33"/>
    <w:rsid w:val="009D21D6"/>
    <w:rsid w:val="009D22E1"/>
    <w:rsid w:val="009D236A"/>
    <w:rsid w:val="009D275E"/>
    <w:rsid w:val="009D29CA"/>
    <w:rsid w:val="009D29F5"/>
    <w:rsid w:val="009D3521"/>
    <w:rsid w:val="009D3AE0"/>
    <w:rsid w:val="009D4251"/>
    <w:rsid w:val="009D4350"/>
    <w:rsid w:val="009D4352"/>
    <w:rsid w:val="009D45CB"/>
    <w:rsid w:val="009D4ABE"/>
    <w:rsid w:val="009D4F86"/>
    <w:rsid w:val="009D4FA9"/>
    <w:rsid w:val="009D50CC"/>
    <w:rsid w:val="009D5172"/>
    <w:rsid w:val="009D55B3"/>
    <w:rsid w:val="009D585E"/>
    <w:rsid w:val="009D5A18"/>
    <w:rsid w:val="009D5C8C"/>
    <w:rsid w:val="009D5D42"/>
    <w:rsid w:val="009D603D"/>
    <w:rsid w:val="009D6660"/>
    <w:rsid w:val="009D6A88"/>
    <w:rsid w:val="009D709F"/>
    <w:rsid w:val="009D70EC"/>
    <w:rsid w:val="009D73EF"/>
    <w:rsid w:val="009D76BB"/>
    <w:rsid w:val="009D7D8C"/>
    <w:rsid w:val="009E01ED"/>
    <w:rsid w:val="009E1344"/>
    <w:rsid w:val="009E16AF"/>
    <w:rsid w:val="009E1844"/>
    <w:rsid w:val="009E18AB"/>
    <w:rsid w:val="009E1BAE"/>
    <w:rsid w:val="009E1CD8"/>
    <w:rsid w:val="009E1F24"/>
    <w:rsid w:val="009E2046"/>
    <w:rsid w:val="009E20F5"/>
    <w:rsid w:val="009E219E"/>
    <w:rsid w:val="009E274D"/>
    <w:rsid w:val="009E27F0"/>
    <w:rsid w:val="009E2878"/>
    <w:rsid w:val="009E287A"/>
    <w:rsid w:val="009E2A28"/>
    <w:rsid w:val="009E2FC6"/>
    <w:rsid w:val="009E319E"/>
    <w:rsid w:val="009E40C4"/>
    <w:rsid w:val="009E42D6"/>
    <w:rsid w:val="009E4F9A"/>
    <w:rsid w:val="009E5011"/>
    <w:rsid w:val="009E5084"/>
    <w:rsid w:val="009E5137"/>
    <w:rsid w:val="009E528E"/>
    <w:rsid w:val="009E5DDC"/>
    <w:rsid w:val="009E5FB0"/>
    <w:rsid w:val="009E66B0"/>
    <w:rsid w:val="009E67BC"/>
    <w:rsid w:val="009E6C67"/>
    <w:rsid w:val="009E6C7A"/>
    <w:rsid w:val="009E6ED6"/>
    <w:rsid w:val="009E70D3"/>
    <w:rsid w:val="009E7158"/>
    <w:rsid w:val="009E71B3"/>
    <w:rsid w:val="009E721A"/>
    <w:rsid w:val="009E7717"/>
    <w:rsid w:val="009E7D2D"/>
    <w:rsid w:val="009F0239"/>
    <w:rsid w:val="009F02A6"/>
    <w:rsid w:val="009F07D4"/>
    <w:rsid w:val="009F08F7"/>
    <w:rsid w:val="009F0F0E"/>
    <w:rsid w:val="009F0F2C"/>
    <w:rsid w:val="009F0F42"/>
    <w:rsid w:val="009F0FB8"/>
    <w:rsid w:val="009F16C3"/>
    <w:rsid w:val="009F16F7"/>
    <w:rsid w:val="009F19A5"/>
    <w:rsid w:val="009F1D19"/>
    <w:rsid w:val="009F1D7B"/>
    <w:rsid w:val="009F1DB2"/>
    <w:rsid w:val="009F225B"/>
    <w:rsid w:val="009F2497"/>
    <w:rsid w:val="009F2584"/>
    <w:rsid w:val="009F259B"/>
    <w:rsid w:val="009F2859"/>
    <w:rsid w:val="009F2B8E"/>
    <w:rsid w:val="009F3193"/>
    <w:rsid w:val="009F3365"/>
    <w:rsid w:val="009F3747"/>
    <w:rsid w:val="009F39F4"/>
    <w:rsid w:val="009F41C9"/>
    <w:rsid w:val="009F4951"/>
    <w:rsid w:val="009F4B57"/>
    <w:rsid w:val="009F4E65"/>
    <w:rsid w:val="009F4FDD"/>
    <w:rsid w:val="009F5201"/>
    <w:rsid w:val="009F5414"/>
    <w:rsid w:val="009F5823"/>
    <w:rsid w:val="009F594E"/>
    <w:rsid w:val="009F5990"/>
    <w:rsid w:val="009F5FDF"/>
    <w:rsid w:val="009F6027"/>
    <w:rsid w:val="009F65D9"/>
    <w:rsid w:val="009F65DF"/>
    <w:rsid w:val="009F670F"/>
    <w:rsid w:val="009F67A9"/>
    <w:rsid w:val="009F68A3"/>
    <w:rsid w:val="009F6ABD"/>
    <w:rsid w:val="009F6AE7"/>
    <w:rsid w:val="009F6B89"/>
    <w:rsid w:val="009F6F86"/>
    <w:rsid w:val="009F6FA3"/>
    <w:rsid w:val="009F7263"/>
    <w:rsid w:val="009F72EC"/>
    <w:rsid w:val="009F746D"/>
    <w:rsid w:val="009F7550"/>
    <w:rsid w:val="009F7616"/>
    <w:rsid w:val="009F7621"/>
    <w:rsid w:val="009F7B6F"/>
    <w:rsid w:val="009F7BDC"/>
    <w:rsid w:val="00A0000E"/>
    <w:rsid w:val="00A000A1"/>
    <w:rsid w:val="00A0010C"/>
    <w:rsid w:val="00A003BB"/>
    <w:rsid w:val="00A00566"/>
    <w:rsid w:val="00A00575"/>
    <w:rsid w:val="00A007EF"/>
    <w:rsid w:val="00A008B2"/>
    <w:rsid w:val="00A009AE"/>
    <w:rsid w:val="00A00C53"/>
    <w:rsid w:val="00A00D93"/>
    <w:rsid w:val="00A00DE7"/>
    <w:rsid w:val="00A00E8F"/>
    <w:rsid w:val="00A00F34"/>
    <w:rsid w:val="00A012DE"/>
    <w:rsid w:val="00A0148B"/>
    <w:rsid w:val="00A01842"/>
    <w:rsid w:val="00A01AC3"/>
    <w:rsid w:val="00A02570"/>
    <w:rsid w:val="00A02687"/>
    <w:rsid w:val="00A02849"/>
    <w:rsid w:val="00A02938"/>
    <w:rsid w:val="00A02A51"/>
    <w:rsid w:val="00A03061"/>
    <w:rsid w:val="00A0307E"/>
    <w:rsid w:val="00A0310C"/>
    <w:rsid w:val="00A031E1"/>
    <w:rsid w:val="00A038DA"/>
    <w:rsid w:val="00A03AA6"/>
    <w:rsid w:val="00A03B58"/>
    <w:rsid w:val="00A03CB6"/>
    <w:rsid w:val="00A03D3B"/>
    <w:rsid w:val="00A03E0F"/>
    <w:rsid w:val="00A040E7"/>
    <w:rsid w:val="00A041D2"/>
    <w:rsid w:val="00A04265"/>
    <w:rsid w:val="00A042FF"/>
    <w:rsid w:val="00A04849"/>
    <w:rsid w:val="00A0498D"/>
    <w:rsid w:val="00A04DD3"/>
    <w:rsid w:val="00A04DDA"/>
    <w:rsid w:val="00A04EF3"/>
    <w:rsid w:val="00A04F37"/>
    <w:rsid w:val="00A04F68"/>
    <w:rsid w:val="00A05133"/>
    <w:rsid w:val="00A0524D"/>
    <w:rsid w:val="00A0571D"/>
    <w:rsid w:val="00A05B49"/>
    <w:rsid w:val="00A05BAC"/>
    <w:rsid w:val="00A06072"/>
    <w:rsid w:val="00A0693C"/>
    <w:rsid w:val="00A06A88"/>
    <w:rsid w:val="00A06F2E"/>
    <w:rsid w:val="00A0733D"/>
    <w:rsid w:val="00A07A58"/>
    <w:rsid w:val="00A07E47"/>
    <w:rsid w:val="00A10659"/>
    <w:rsid w:val="00A108B7"/>
    <w:rsid w:val="00A1095A"/>
    <w:rsid w:val="00A10C9B"/>
    <w:rsid w:val="00A10F01"/>
    <w:rsid w:val="00A11165"/>
    <w:rsid w:val="00A11230"/>
    <w:rsid w:val="00A113E6"/>
    <w:rsid w:val="00A11777"/>
    <w:rsid w:val="00A11EDC"/>
    <w:rsid w:val="00A11F33"/>
    <w:rsid w:val="00A137A9"/>
    <w:rsid w:val="00A13933"/>
    <w:rsid w:val="00A13A0D"/>
    <w:rsid w:val="00A13A8B"/>
    <w:rsid w:val="00A13A9A"/>
    <w:rsid w:val="00A13B45"/>
    <w:rsid w:val="00A13EA2"/>
    <w:rsid w:val="00A13FB0"/>
    <w:rsid w:val="00A141CD"/>
    <w:rsid w:val="00A143CF"/>
    <w:rsid w:val="00A144A4"/>
    <w:rsid w:val="00A14524"/>
    <w:rsid w:val="00A1485D"/>
    <w:rsid w:val="00A1494C"/>
    <w:rsid w:val="00A14AF8"/>
    <w:rsid w:val="00A14D31"/>
    <w:rsid w:val="00A15D65"/>
    <w:rsid w:val="00A15FA0"/>
    <w:rsid w:val="00A15FF1"/>
    <w:rsid w:val="00A1653B"/>
    <w:rsid w:val="00A165EA"/>
    <w:rsid w:val="00A165F3"/>
    <w:rsid w:val="00A167A5"/>
    <w:rsid w:val="00A16BC5"/>
    <w:rsid w:val="00A17099"/>
    <w:rsid w:val="00A17564"/>
    <w:rsid w:val="00A175BC"/>
    <w:rsid w:val="00A175F4"/>
    <w:rsid w:val="00A17605"/>
    <w:rsid w:val="00A17638"/>
    <w:rsid w:val="00A179D5"/>
    <w:rsid w:val="00A17BB5"/>
    <w:rsid w:val="00A2011E"/>
    <w:rsid w:val="00A2029B"/>
    <w:rsid w:val="00A20AB7"/>
    <w:rsid w:val="00A20ADD"/>
    <w:rsid w:val="00A20CEA"/>
    <w:rsid w:val="00A20D1B"/>
    <w:rsid w:val="00A20E96"/>
    <w:rsid w:val="00A20EC5"/>
    <w:rsid w:val="00A21372"/>
    <w:rsid w:val="00A21704"/>
    <w:rsid w:val="00A219B9"/>
    <w:rsid w:val="00A21BAB"/>
    <w:rsid w:val="00A21C93"/>
    <w:rsid w:val="00A21F11"/>
    <w:rsid w:val="00A21F70"/>
    <w:rsid w:val="00A220CE"/>
    <w:rsid w:val="00A222B7"/>
    <w:rsid w:val="00A222E0"/>
    <w:rsid w:val="00A225FB"/>
    <w:rsid w:val="00A22849"/>
    <w:rsid w:val="00A22A31"/>
    <w:rsid w:val="00A22B70"/>
    <w:rsid w:val="00A22C45"/>
    <w:rsid w:val="00A22D2B"/>
    <w:rsid w:val="00A22E7A"/>
    <w:rsid w:val="00A23A6A"/>
    <w:rsid w:val="00A23EEF"/>
    <w:rsid w:val="00A23F99"/>
    <w:rsid w:val="00A23FA5"/>
    <w:rsid w:val="00A2410E"/>
    <w:rsid w:val="00A244FC"/>
    <w:rsid w:val="00A24682"/>
    <w:rsid w:val="00A24764"/>
    <w:rsid w:val="00A247FC"/>
    <w:rsid w:val="00A248F4"/>
    <w:rsid w:val="00A24AE4"/>
    <w:rsid w:val="00A24C8B"/>
    <w:rsid w:val="00A25035"/>
    <w:rsid w:val="00A252FA"/>
    <w:rsid w:val="00A253AD"/>
    <w:rsid w:val="00A259CB"/>
    <w:rsid w:val="00A25B82"/>
    <w:rsid w:val="00A25D79"/>
    <w:rsid w:val="00A25FD1"/>
    <w:rsid w:val="00A2609A"/>
    <w:rsid w:val="00A26298"/>
    <w:rsid w:val="00A2658A"/>
    <w:rsid w:val="00A266EC"/>
    <w:rsid w:val="00A26754"/>
    <w:rsid w:val="00A268FB"/>
    <w:rsid w:val="00A26AE2"/>
    <w:rsid w:val="00A26D0A"/>
    <w:rsid w:val="00A26D24"/>
    <w:rsid w:val="00A2704A"/>
    <w:rsid w:val="00A271AA"/>
    <w:rsid w:val="00A27330"/>
    <w:rsid w:val="00A27946"/>
    <w:rsid w:val="00A30122"/>
    <w:rsid w:val="00A30AB7"/>
    <w:rsid w:val="00A30EDD"/>
    <w:rsid w:val="00A310B5"/>
    <w:rsid w:val="00A31110"/>
    <w:rsid w:val="00A31241"/>
    <w:rsid w:val="00A312AC"/>
    <w:rsid w:val="00A31364"/>
    <w:rsid w:val="00A3168B"/>
    <w:rsid w:val="00A32417"/>
    <w:rsid w:val="00A3257C"/>
    <w:rsid w:val="00A32A45"/>
    <w:rsid w:val="00A32DFB"/>
    <w:rsid w:val="00A332D9"/>
    <w:rsid w:val="00A33599"/>
    <w:rsid w:val="00A34171"/>
    <w:rsid w:val="00A34766"/>
    <w:rsid w:val="00A34F54"/>
    <w:rsid w:val="00A3503C"/>
    <w:rsid w:val="00A35054"/>
    <w:rsid w:val="00A350CD"/>
    <w:rsid w:val="00A3562B"/>
    <w:rsid w:val="00A3662C"/>
    <w:rsid w:val="00A3675F"/>
    <w:rsid w:val="00A36CFD"/>
    <w:rsid w:val="00A371E9"/>
    <w:rsid w:val="00A372BF"/>
    <w:rsid w:val="00A374BA"/>
    <w:rsid w:val="00A37CE4"/>
    <w:rsid w:val="00A37E1E"/>
    <w:rsid w:val="00A37EF9"/>
    <w:rsid w:val="00A37F96"/>
    <w:rsid w:val="00A402F7"/>
    <w:rsid w:val="00A4042D"/>
    <w:rsid w:val="00A405C4"/>
    <w:rsid w:val="00A40876"/>
    <w:rsid w:val="00A40B58"/>
    <w:rsid w:val="00A40C06"/>
    <w:rsid w:val="00A40CDF"/>
    <w:rsid w:val="00A41290"/>
    <w:rsid w:val="00A419FA"/>
    <w:rsid w:val="00A42069"/>
    <w:rsid w:val="00A42096"/>
    <w:rsid w:val="00A4214E"/>
    <w:rsid w:val="00A422B2"/>
    <w:rsid w:val="00A42628"/>
    <w:rsid w:val="00A4271D"/>
    <w:rsid w:val="00A42985"/>
    <w:rsid w:val="00A42ABA"/>
    <w:rsid w:val="00A4329B"/>
    <w:rsid w:val="00A432C0"/>
    <w:rsid w:val="00A43521"/>
    <w:rsid w:val="00A43B22"/>
    <w:rsid w:val="00A43B5E"/>
    <w:rsid w:val="00A43B85"/>
    <w:rsid w:val="00A43BDA"/>
    <w:rsid w:val="00A43C6F"/>
    <w:rsid w:val="00A43DCA"/>
    <w:rsid w:val="00A43F3E"/>
    <w:rsid w:val="00A4425D"/>
    <w:rsid w:val="00A44332"/>
    <w:rsid w:val="00A444CD"/>
    <w:rsid w:val="00A44A25"/>
    <w:rsid w:val="00A45468"/>
    <w:rsid w:val="00A4562F"/>
    <w:rsid w:val="00A45AEF"/>
    <w:rsid w:val="00A45D6C"/>
    <w:rsid w:val="00A45DAD"/>
    <w:rsid w:val="00A45FA3"/>
    <w:rsid w:val="00A464D4"/>
    <w:rsid w:val="00A46696"/>
    <w:rsid w:val="00A4671D"/>
    <w:rsid w:val="00A4679E"/>
    <w:rsid w:val="00A46E1C"/>
    <w:rsid w:val="00A476DB"/>
    <w:rsid w:val="00A47844"/>
    <w:rsid w:val="00A47E23"/>
    <w:rsid w:val="00A5011B"/>
    <w:rsid w:val="00A5026D"/>
    <w:rsid w:val="00A50533"/>
    <w:rsid w:val="00A50DE8"/>
    <w:rsid w:val="00A50E7D"/>
    <w:rsid w:val="00A51CD2"/>
    <w:rsid w:val="00A51F60"/>
    <w:rsid w:val="00A5204C"/>
    <w:rsid w:val="00A521A6"/>
    <w:rsid w:val="00A52967"/>
    <w:rsid w:val="00A52FA4"/>
    <w:rsid w:val="00A52FE9"/>
    <w:rsid w:val="00A53741"/>
    <w:rsid w:val="00A539DE"/>
    <w:rsid w:val="00A545A5"/>
    <w:rsid w:val="00A5488B"/>
    <w:rsid w:val="00A548E7"/>
    <w:rsid w:val="00A54B80"/>
    <w:rsid w:val="00A54C37"/>
    <w:rsid w:val="00A55946"/>
    <w:rsid w:val="00A559D7"/>
    <w:rsid w:val="00A55D7C"/>
    <w:rsid w:val="00A55FEC"/>
    <w:rsid w:val="00A56126"/>
    <w:rsid w:val="00A567DC"/>
    <w:rsid w:val="00A56A2F"/>
    <w:rsid w:val="00A56BE0"/>
    <w:rsid w:val="00A56D47"/>
    <w:rsid w:val="00A571C9"/>
    <w:rsid w:val="00A573D4"/>
    <w:rsid w:val="00A57934"/>
    <w:rsid w:val="00A57971"/>
    <w:rsid w:val="00A600D7"/>
    <w:rsid w:val="00A600E0"/>
    <w:rsid w:val="00A6056D"/>
    <w:rsid w:val="00A60756"/>
    <w:rsid w:val="00A60777"/>
    <w:rsid w:val="00A60A11"/>
    <w:rsid w:val="00A60BC6"/>
    <w:rsid w:val="00A60DAE"/>
    <w:rsid w:val="00A60F5F"/>
    <w:rsid w:val="00A60FDD"/>
    <w:rsid w:val="00A611E0"/>
    <w:rsid w:val="00A61518"/>
    <w:rsid w:val="00A6151D"/>
    <w:rsid w:val="00A61657"/>
    <w:rsid w:val="00A61796"/>
    <w:rsid w:val="00A61EEC"/>
    <w:rsid w:val="00A61F70"/>
    <w:rsid w:val="00A62101"/>
    <w:rsid w:val="00A62137"/>
    <w:rsid w:val="00A62429"/>
    <w:rsid w:val="00A626B3"/>
    <w:rsid w:val="00A62700"/>
    <w:rsid w:val="00A62B7B"/>
    <w:rsid w:val="00A62C46"/>
    <w:rsid w:val="00A62D1C"/>
    <w:rsid w:val="00A62DC6"/>
    <w:rsid w:val="00A62DDB"/>
    <w:rsid w:val="00A62E33"/>
    <w:rsid w:val="00A6367A"/>
    <w:rsid w:val="00A63755"/>
    <w:rsid w:val="00A63A08"/>
    <w:rsid w:val="00A63A7D"/>
    <w:rsid w:val="00A63D4C"/>
    <w:rsid w:val="00A63E88"/>
    <w:rsid w:val="00A63F1F"/>
    <w:rsid w:val="00A6420D"/>
    <w:rsid w:val="00A64396"/>
    <w:rsid w:val="00A645F2"/>
    <w:rsid w:val="00A646D4"/>
    <w:rsid w:val="00A64927"/>
    <w:rsid w:val="00A64986"/>
    <w:rsid w:val="00A64A03"/>
    <w:rsid w:val="00A64BC8"/>
    <w:rsid w:val="00A64E01"/>
    <w:rsid w:val="00A65004"/>
    <w:rsid w:val="00A653B9"/>
    <w:rsid w:val="00A656AC"/>
    <w:rsid w:val="00A6581D"/>
    <w:rsid w:val="00A6586C"/>
    <w:rsid w:val="00A65A89"/>
    <w:rsid w:val="00A65C96"/>
    <w:rsid w:val="00A65CC1"/>
    <w:rsid w:val="00A65EB3"/>
    <w:rsid w:val="00A65F2F"/>
    <w:rsid w:val="00A65F88"/>
    <w:rsid w:val="00A65FED"/>
    <w:rsid w:val="00A662A9"/>
    <w:rsid w:val="00A66FB3"/>
    <w:rsid w:val="00A67A34"/>
    <w:rsid w:val="00A67BBB"/>
    <w:rsid w:val="00A67E1D"/>
    <w:rsid w:val="00A70070"/>
    <w:rsid w:val="00A70154"/>
    <w:rsid w:val="00A701E8"/>
    <w:rsid w:val="00A7037C"/>
    <w:rsid w:val="00A7042D"/>
    <w:rsid w:val="00A70598"/>
    <w:rsid w:val="00A706D0"/>
    <w:rsid w:val="00A70ADC"/>
    <w:rsid w:val="00A70DDC"/>
    <w:rsid w:val="00A70F72"/>
    <w:rsid w:val="00A7108C"/>
    <w:rsid w:val="00A71092"/>
    <w:rsid w:val="00A713D1"/>
    <w:rsid w:val="00A71417"/>
    <w:rsid w:val="00A71619"/>
    <w:rsid w:val="00A7180F"/>
    <w:rsid w:val="00A718B3"/>
    <w:rsid w:val="00A718B5"/>
    <w:rsid w:val="00A71CCD"/>
    <w:rsid w:val="00A71D07"/>
    <w:rsid w:val="00A72003"/>
    <w:rsid w:val="00A72522"/>
    <w:rsid w:val="00A7294B"/>
    <w:rsid w:val="00A72C3A"/>
    <w:rsid w:val="00A72E22"/>
    <w:rsid w:val="00A72E80"/>
    <w:rsid w:val="00A730D8"/>
    <w:rsid w:val="00A73164"/>
    <w:rsid w:val="00A7330B"/>
    <w:rsid w:val="00A73446"/>
    <w:rsid w:val="00A741D6"/>
    <w:rsid w:val="00A7435D"/>
    <w:rsid w:val="00A74672"/>
    <w:rsid w:val="00A74B00"/>
    <w:rsid w:val="00A74E60"/>
    <w:rsid w:val="00A74E74"/>
    <w:rsid w:val="00A75218"/>
    <w:rsid w:val="00A75811"/>
    <w:rsid w:val="00A75A68"/>
    <w:rsid w:val="00A75BFF"/>
    <w:rsid w:val="00A75DD3"/>
    <w:rsid w:val="00A764A4"/>
    <w:rsid w:val="00A76570"/>
    <w:rsid w:val="00A76609"/>
    <w:rsid w:val="00A767C3"/>
    <w:rsid w:val="00A76968"/>
    <w:rsid w:val="00A76EB8"/>
    <w:rsid w:val="00A770AE"/>
    <w:rsid w:val="00A771FD"/>
    <w:rsid w:val="00A77211"/>
    <w:rsid w:val="00A77275"/>
    <w:rsid w:val="00A772A6"/>
    <w:rsid w:val="00A772E5"/>
    <w:rsid w:val="00A77379"/>
    <w:rsid w:val="00A77764"/>
    <w:rsid w:val="00A77E38"/>
    <w:rsid w:val="00A804AC"/>
    <w:rsid w:val="00A80525"/>
    <w:rsid w:val="00A80569"/>
    <w:rsid w:val="00A80813"/>
    <w:rsid w:val="00A80C76"/>
    <w:rsid w:val="00A80F28"/>
    <w:rsid w:val="00A81000"/>
    <w:rsid w:val="00A81387"/>
    <w:rsid w:val="00A814B3"/>
    <w:rsid w:val="00A81A25"/>
    <w:rsid w:val="00A81AED"/>
    <w:rsid w:val="00A81B95"/>
    <w:rsid w:val="00A81F23"/>
    <w:rsid w:val="00A821C4"/>
    <w:rsid w:val="00A82359"/>
    <w:rsid w:val="00A82406"/>
    <w:rsid w:val="00A82516"/>
    <w:rsid w:val="00A8251D"/>
    <w:rsid w:val="00A82778"/>
    <w:rsid w:val="00A828EA"/>
    <w:rsid w:val="00A82B16"/>
    <w:rsid w:val="00A82DC1"/>
    <w:rsid w:val="00A830AC"/>
    <w:rsid w:val="00A832DB"/>
    <w:rsid w:val="00A837FB"/>
    <w:rsid w:val="00A83992"/>
    <w:rsid w:val="00A83A1C"/>
    <w:rsid w:val="00A83A95"/>
    <w:rsid w:val="00A8400D"/>
    <w:rsid w:val="00A84451"/>
    <w:rsid w:val="00A84672"/>
    <w:rsid w:val="00A846A0"/>
    <w:rsid w:val="00A84840"/>
    <w:rsid w:val="00A848F8"/>
    <w:rsid w:val="00A84BA1"/>
    <w:rsid w:val="00A84F81"/>
    <w:rsid w:val="00A85158"/>
    <w:rsid w:val="00A85763"/>
    <w:rsid w:val="00A85B66"/>
    <w:rsid w:val="00A85BF9"/>
    <w:rsid w:val="00A85D60"/>
    <w:rsid w:val="00A86117"/>
    <w:rsid w:val="00A863DC"/>
    <w:rsid w:val="00A866F4"/>
    <w:rsid w:val="00A8683B"/>
    <w:rsid w:val="00A86937"/>
    <w:rsid w:val="00A86D35"/>
    <w:rsid w:val="00A86DD7"/>
    <w:rsid w:val="00A87708"/>
    <w:rsid w:val="00A87D21"/>
    <w:rsid w:val="00A87F0A"/>
    <w:rsid w:val="00A87F94"/>
    <w:rsid w:val="00A90085"/>
    <w:rsid w:val="00A906C2"/>
    <w:rsid w:val="00A906C5"/>
    <w:rsid w:val="00A907E2"/>
    <w:rsid w:val="00A90976"/>
    <w:rsid w:val="00A90A2B"/>
    <w:rsid w:val="00A90CF1"/>
    <w:rsid w:val="00A910C9"/>
    <w:rsid w:val="00A911D8"/>
    <w:rsid w:val="00A91522"/>
    <w:rsid w:val="00A91893"/>
    <w:rsid w:val="00A91B1F"/>
    <w:rsid w:val="00A91D31"/>
    <w:rsid w:val="00A92808"/>
    <w:rsid w:val="00A928BA"/>
    <w:rsid w:val="00A9292C"/>
    <w:rsid w:val="00A92A24"/>
    <w:rsid w:val="00A92AA2"/>
    <w:rsid w:val="00A92AAD"/>
    <w:rsid w:val="00A92C39"/>
    <w:rsid w:val="00A92E12"/>
    <w:rsid w:val="00A9300F"/>
    <w:rsid w:val="00A93024"/>
    <w:rsid w:val="00A9332D"/>
    <w:rsid w:val="00A93796"/>
    <w:rsid w:val="00A93F90"/>
    <w:rsid w:val="00A9409B"/>
    <w:rsid w:val="00A9410B"/>
    <w:rsid w:val="00A9438B"/>
    <w:rsid w:val="00A948AA"/>
    <w:rsid w:val="00A94BA1"/>
    <w:rsid w:val="00A94C21"/>
    <w:rsid w:val="00A94DCB"/>
    <w:rsid w:val="00A94E19"/>
    <w:rsid w:val="00A94E2C"/>
    <w:rsid w:val="00A94E69"/>
    <w:rsid w:val="00A94E6C"/>
    <w:rsid w:val="00A94EC9"/>
    <w:rsid w:val="00A94EFA"/>
    <w:rsid w:val="00A9532E"/>
    <w:rsid w:val="00A9559F"/>
    <w:rsid w:val="00A95B09"/>
    <w:rsid w:val="00A962FA"/>
    <w:rsid w:val="00A969CC"/>
    <w:rsid w:val="00A96A32"/>
    <w:rsid w:val="00A96A93"/>
    <w:rsid w:val="00A96BCE"/>
    <w:rsid w:val="00A96D00"/>
    <w:rsid w:val="00A96DD2"/>
    <w:rsid w:val="00A96F3A"/>
    <w:rsid w:val="00A970A3"/>
    <w:rsid w:val="00A97157"/>
    <w:rsid w:val="00A97185"/>
    <w:rsid w:val="00A9743D"/>
    <w:rsid w:val="00A97633"/>
    <w:rsid w:val="00A97955"/>
    <w:rsid w:val="00A97E04"/>
    <w:rsid w:val="00AA0198"/>
    <w:rsid w:val="00AA026F"/>
    <w:rsid w:val="00AA027F"/>
    <w:rsid w:val="00AA09A3"/>
    <w:rsid w:val="00AA09EA"/>
    <w:rsid w:val="00AA0E14"/>
    <w:rsid w:val="00AA1144"/>
    <w:rsid w:val="00AA19A5"/>
    <w:rsid w:val="00AA1C98"/>
    <w:rsid w:val="00AA1E2F"/>
    <w:rsid w:val="00AA2029"/>
    <w:rsid w:val="00AA2132"/>
    <w:rsid w:val="00AA247B"/>
    <w:rsid w:val="00AA24B9"/>
    <w:rsid w:val="00AA26F6"/>
    <w:rsid w:val="00AA296E"/>
    <w:rsid w:val="00AA2FF1"/>
    <w:rsid w:val="00AA3003"/>
    <w:rsid w:val="00AA3654"/>
    <w:rsid w:val="00AA3984"/>
    <w:rsid w:val="00AA3BD6"/>
    <w:rsid w:val="00AA3E1D"/>
    <w:rsid w:val="00AA3E22"/>
    <w:rsid w:val="00AA41C0"/>
    <w:rsid w:val="00AA4553"/>
    <w:rsid w:val="00AA4D08"/>
    <w:rsid w:val="00AA4DBC"/>
    <w:rsid w:val="00AA4DDC"/>
    <w:rsid w:val="00AA4DF8"/>
    <w:rsid w:val="00AA4E50"/>
    <w:rsid w:val="00AA5203"/>
    <w:rsid w:val="00AA5214"/>
    <w:rsid w:val="00AA53EA"/>
    <w:rsid w:val="00AA5661"/>
    <w:rsid w:val="00AA5AF9"/>
    <w:rsid w:val="00AA5D70"/>
    <w:rsid w:val="00AA604F"/>
    <w:rsid w:val="00AA60BD"/>
    <w:rsid w:val="00AA60F7"/>
    <w:rsid w:val="00AA67E7"/>
    <w:rsid w:val="00AA684B"/>
    <w:rsid w:val="00AA6CC4"/>
    <w:rsid w:val="00AA73C1"/>
    <w:rsid w:val="00AA7BA8"/>
    <w:rsid w:val="00AA7C4B"/>
    <w:rsid w:val="00AA7FC7"/>
    <w:rsid w:val="00AB0445"/>
    <w:rsid w:val="00AB05E4"/>
    <w:rsid w:val="00AB099B"/>
    <w:rsid w:val="00AB09A1"/>
    <w:rsid w:val="00AB0CC4"/>
    <w:rsid w:val="00AB0D77"/>
    <w:rsid w:val="00AB16F1"/>
    <w:rsid w:val="00AB1973"/>
    <w:rsid w:val="00AB1AA4"/>
    <w:rsid w:val="00AB1C3B"/>
    <w:rsid w:val="00AB1D9B"/>
    <w:rsid w:val="00AB1FEF"/>
    <w:rsid w:val="00AB2138"/>
    <w:rsid w:val="00AB2C6E"/>
    <w:rsid w:val="00AB31C8"/>
    <w:rsid w:val="00AB3333"/>
    <w:rsid w:val="00AB33BC"/>
    <w:rsid w:val="00AB36EA"/>
    <w:rsid w:val="00AB3BBF"/>
    <w:rsid w:val="00AB47A8"/>
    <w:rsid w:val="00AB481A"/>
    <w:rsid w:val="00AB4BB2"/>
    <w:rsid w:val="00AB4BB4"/>
    <w:rsid w:val="00AB4BED"/>
    <w:rsid w:val="00AB4C39"/>
    <w:rsid w:val="00AB4D72"/>
    <w:rsid w:val="00AB4DC8"/>
    <w:rsid w:val="00AB4DC9"/>
    <w:rsid w:val="00AB4FA8"/>
    <w:rsid w:val="00AB5137"/>
    <w:rsid w:val="00AB5165"/>
    <w:rsid w:val="00AB53D5"/>
    <w:rsid w:val="00AB672D"/>
    <w:rsid w:val="00AB6793"/>
    <w:rsid w:val="00AB691E"/>
    <w:rsid w:val="00AB6B9F"/>
    <w:rsid w:val="00AB6BF7"/>
    <w:rsid w:val="00AB6D98"/>
    <w:rsid w:val="00AB6E81"/>
    <w:rsid w:val="00AB7414"/>
    <w:rsid w:val="00AB759A"/>
    <w:rsid w:val="00AB75DB"/>
    <w:rsid w:val="00AB7A09"/>
    <w:rsid w:val="00AB7D1A"/>
    <w:rsid w:val="00AB7E29"/>
    <w:rsid w:val="00AB7ED6"/>
    <w:rsid w:val="00AC039F"/>
    <w:rsid w:val="00AC067B"/>
    <w:rsid w:val="00AC09B3"/>
    <w:rsid w:val="00AC0A7B"/>
    <w:rsid w:val="00AC0B72"/>
    <w:rsid w:val="00AC0BA6"/>
    <w:rsid w:val="00AC0CBD"/>
    <w:rsid w:val="00AC0E22"/>
    <w:rsid w:val="00AC1039"/>
    <w:rsid w:val="00AC115E"/>
    <w:rsid w:val="00AC1270"/>
    <w:rsid w:val="00AC12CA"/>
    <w:rsid w:val="00AC12F8"/>
    <w:rsid w:val="00AC1795"/>
    <w:rsid w:val="00AC1884"/>
    <w:rsid w:val="00AC18DE"/>
    <w:rsid w:val="00AC191B"/>
    <w:rsid w:val="00AC1C53"/>
    <w:rsid w:val="00AC1F02"/>
    <w:rsid w:val="00AC2049"/>
    <w:rsid w:val="00AC22F2"/>
    <w:rsid w:val="00AC2507"/>
    <w:rsid w:val="00AC25F2"/>
    <w:rsid w:val="00AC26EE"/>
    <w:rsid w:val="00AC3031"/>
    <w:rsid w:val="00AC31AF"/>
    <w:rsid w:val="00AC331F"/>
    <w:rsid w:val="00AC36C3"/>
    <w:rsid w:val="00AC38ED"/>
    <w:rsid w:val="00AC3910"/>
    <w:rsid w:val="00AC3FFA"/>
    <w:rsid w:val="00AC4485"/>
    <w:rsid w:val="00AC44E5"/>
    <w:rsid w:val="00AC4599"/>
    <w:rsid w:val="00AC492A"/>
    <w:rsid w:val="00AC4AF8"/>
    <w:rsid w:val="00AC4B4E"/>
    <w:rsid w:val="00AC4B67"/>
    <w:rsid w:val="00AC4DCB"/>
    <w:rsid w:val="00AC4EFE"/>
    <w:rsid w:val="00AC4FF0"/>
    <w:rsid w:val="00AC51A4"/>
    <w:rsid w:val="00AC51BC"/>
    <w:rsid w:val="00AC5400"/>
    <w:rsid w:val="00AC56E9"/>
    <w:rsid w:val="00AC6069"/>
    <w:rsid w:val="00AC60DC"/>
    <w:rsid w:val="00AC63DB"/>
    <w:rsid w:val="00AC64CA"/>
    <w:rsid w:val="00AC6A4A"/>
    <w:rsid w:val="00AC6BE4"/>
    <w:rsid w:val="00AC6C0F"/>
    <w:rsid w:val="00AC707A"/>
    <w:rsid w:val="00AC7173"/>
    <w:rsid w:val="00AC74C2"/>
    <w:rsid w:val="00AC7690"/>
    <w:rsid w:val="00AC7982"/>
    <w:rsid w:val="00AD0020"/>
    <w:rsid w:val="00AD005D"/>
    <w:rsid w:val="00AD0172"/>
    <w:rsid w:val="00AD02E9"/>
    <w:rsid w:val="00AD063B"/>
    <w:rsid w:val="00AD0911"/>
    <w:rsid w:val="00AD0B0F"/>
    <w:rsid w:val="00AD0C1C"/>
    <w:rsid w:val="00AD0C21"/>
    <w:rsid w:val="00AD0CC9"/>
    <w:rsid w:val="00AD0F77"/>
    <w:rsid w:val="00AD0F9E"/>
    <w:rsid w:val="00AD1179"/>
    <w:rsid w:val="00AD14C7"/>
    <w:rsid w:val="00AD15B8"/>
    <w:rsid w:val="00AD15BD"/>
    <w:rsid w:val="00AD15FD"/>
    <w:rsid w:val="00AD1661"/>
    <w:rsid w:val="00AD174D"/>
    <w:rsid w:val="00AD17AE"/>
    <w:rsid w:val="00AD1814"/>
    <w:rsid w:val="00AD18F8"/>
    <w:rsid w:val="00AD19AF"/>
    <w:rsid w:val="00AD1CB7"/>
    <w:rsid w:val="00AD216B"/>
    <w:rsid w:val="00AD226C"/>
    <w:rsid w:val="00AD2586"/>
    <w:rsid w:val="00AD260E"/>
    <w:rsid w:val="00AD2921"/>
    <w:rsid w:val="00AD2985"/>
    <w:rsid w:val="00AD2ACF"/>
    <w:rsid w:val="00AD2F20"/>
    <w:rsid w:val="00AD2FED"/>
    <w:rsid w:val="00AD32C4"/>
    <w:rsid w:val="00AD37B4"/>
    <w:rsid w:val="00AD3B64"/>
    <w:rsid w:val="00AD3BD2"/>
    <w:rsid w:val="00AD3BF7"/>
    <w:rsid w:val="00AD3C09"/>
    <w:rsid w:val="00AD3D3D"/>
    <w:rsid w:val="00AD450E"/>
    <w:rsid w:val="00AD4675"/>
    <w:rsid w:val="00AD486D"/>
    <w:rsid w:val="00AD496B"/>
    <w:rsid w:val="00AD49EC"/>
    <w:rsid w:val="00AD4AE4"/>
    <w:rsid w:val="00AD4BF6"/>
    <w:rsid w:val="00AD4E4E"/>
    <w:rsid w:val="00AD51AA"/>
    <w:rsid w:val="00AD52A5"/>
    <w:rsid w:val="00AD53DF"/>
    <w:rsid w:val="00AD5532"/>
    <w:rsid w:val="00AD55F4"/>
    <w:rsid w:val="00AD59EF"/>
    <w:rsid w:val="00AD5A0E"/>
    <w:rsid w:val="00AD5D64"/>
    <w:rsid w:val="00AD6382"/>
    <w:rsid w:val="00AD645E"/>
    <w:rsid w:val="00AD65C8"/>
    <w:rsid w:val="00AD694C"/>
    <w:rsid w:val="00AD6FEF"/>
    <w:rsid w:val="00AD7005"/>
    <w:rsid w:val="00AD70C9"/>
    <w:rsid w:val="00AD713E"/>
    <w:rsid w:val="00AD73C6"/>
    <w:rsid w:val="00AD7446"/>
    <w:rsid w:val="00AE0125"/>
    <w:rsid w:val="00AE03CC"/>
    <w:rsid w:val="00AE0433"/>
    <w:rsid w:val="00AE10E5"/>
    <w:rsid w:val="00AE1580"/>
    <w:rsid w:val="00AE1D0A"/>
    <w:rsid w:val="00AE1EC6"/>
    <w:rsid w:val="00AE2170"/>
    <w:rsid w:val="00AE22D0"/>
    <w:rsid w:val="00AE23F0"/>
    <w:rsid w:val="00AE2897"/>
    <w:rsid w:val="00AE2905"/>
    <w:rsid w:val="00AE2DB3"/>
    <w:rsid w:val="00AE2DDA"/>
    <w:rsid w:val="00AE2FAE"/>
    <w:rsid w:val="00AE30D9"/>
    <w:rsid w:val="00AE32FB"/>
    <w:rsid w:val="00AE349F"/>
    <w:rsid w:val="00AE3726"/>
    <w:rsid w:val="00AE380B"/>
    <w:rsid w:val="00AE3CAE"/>
    <w:rsid w:val="00AE3E40"/>
    <w:rsid w:val="00AE41A7"/>
    <w:rsid w:val="00AE450A"/>
    <w:rsid w:val="00AE462F"/>
    <w:rsid w:val="00AE4901"/>
    <w:rsid w:val="00AE497A"/>
    <w:rsid w:val="00AE4D4A"/>
    <w:rsid w:val="00AE55B1"/>
    <w:rsid w:val="00AE58F9"/>
    <w:rsid w:val="00AE5F73"/>
    <w:rsid w:val="00AE6051"/>
    <w:rsid w:val="00AE6124"/>
    <w:rsid w:val="00AE62A3"/>
    <w:rsid w:val="00AE66D6"/>
    <w:rsid w:val="00AE67D1"/>
    <w:rsid w:val="00AE69A7"/>
    <w:rsid w:val="00AE6B59"/>
    <w:rsid w:val="00AE6F60"/>
    <w:rsid w:val="00AE73D3"/>
    <w:rsid w:val="00AE7EAC"/>
    <w:rsid w:val="00AF01FB"/>
    <w:rsid w:val="00AF03E5"/>
    <w:rsid w:val="00AF04BE"/>
    <w:rsid w:val="00AF0990"/>
    <w:rsid w:val="00AF0A71"/>
    <w:rsid w:val="00AF10F1"/>
    <w:rsid w:val="00AF10F8"/>
    <w:rsid w:val="00AF1158"/>
    <w:rsid w:val="00AF121F"/>
    <w:rsid w:val="00AF148D"/>
    <w:rsid w:val="00AF17D8"/>
    <w:rsid w:val="00AF193D"/>
    <w:rsid w:val="00AF2739"/>
    <w:rsid w:val="00AF3008"/>
    <w:rsid w:val="00AF302D"/>
    <w:rsid w:val="00AF3979"/>
    <w:rsid w:val="00AF3A7B"/>
    <w:rsid w:val="00AF3EA9"/>
    <w:rsid w:val="00AF3EE6"/>
    <w:rsid w:val="00AF4100"/>
    <w:rsid w:val="00AF4194"/>
    <w:rsid w:val="00AF4357"/>
    <w:rsid w:val="00AF43CC"/>
    <w:rsid w:val="00AF4D54"/>
    <w:rsid w:val="00AF4D63"/>
    <w:rsid w:val="00AF4EC5"/>
    <w:rsid w:val="00AF52ED"/>
    <w:rsid w:val="00AF5384"/>
    <w:rsid w:val="00AF547D"/>
    <w:rsid w:val="00AF569E"/>
    <w:rsid w:val="00AF57C4"/>
    <w:rsid w:val="00AF5B81"/>
    <w:rsid w:val="00AF5D5D"/>
    <w:rsid w:val="00AF631A"/>
    <w:rsid w:val="00AF6388"/>
    <w:rsid w:val="00AF685F"/>
    <w:rsid w:val="00AF6CA0"/>
    <w:rsid w:val="00AF6D38"/>
    <w:rsid w:val="00AF71B2"/>
    <w:rsid w:val="00AF7674"/>
    <w:rsid w:val="00AF7753"/>
    <w:rsid w:val="00B00087"/>
    <w:rsid w:val="00B000C2"/>
    <w:rsid w:val="00B00162"/>
    <w:rsid w:val="00B0042C"/>
    <w:rsid w:val="00B004B1"/>
    <w:rsid w:val="00B005A0"/>
    <w:rsid w:val="00B00A44"/>
    <w:rsid w:val="00B00B4C"/>
    <w:rsid w:val="00B00C10"/>
    <w:rsid w:val="00B0115A"/>
    <w:rsid w:val="00B01631"/>
    <w:rsid w:val="00B01E38"/>
    <w:rsid w:val="00B01EA5"/>
    <w:rsid w:val="00B01EFF"/>
    <w:rsid w:val="00B02413"/>
    <w:rsid w:val="00B027FD"/>
    <w:rsid w:val="00B02A26"/>
    <w:rsid w:val="00B02B50"/>
    <w:rsid w:val="00B02F77"/>
    <w:rsid w:val="00B030E6"/>
    <w:rsid w:val="00B032A7"/>
    <w:rsid w:val="00B03472"/>
    <w:rsid w:val="00B041E7"/>
    <w:rsid w:val="00B0488D"/>
    <w:rsid w:val="00B04BE4"/>
    <w:rsid w:val="00B04C5E"/>
    <w:rsid w:val="00B04DB1"/>
    <w:rsid w:val="00B05752"/>
    <w:rsid w:val="00B05A0F"/>
    <w:rsid w:val="00B05AD5"/>
    <w:rsid w:val="00B05B2A"/>
    <w:rsid w:val="00B05C8B"/>
    <w:rsid w:val="00B05E0D"/>
    <w:rsid w:val="00B05F90"/>
    <w:rsid w:val="00B06015"/>
    <w:rsid w:val="00B06176"/>
    <w:rsid w:val="00B06286"/>
    <w:rsid w:val="00B063FB"/>
    <w:rsid w:val="00B06729"/>
    <w:rsid w:val="00B06ABD"/>
    <w:rsid w:val="00B06B51"/>
    <w:rsid w:val="00B071BC"/>
    <w:rsid w:val="00B07605"/>
    <w:rsid w:val="00B07C99"/>
    <w:rsid w:val="00B07F1E"/>
    <w:rsid w:val="00B1051D"/>
    <w:rsid w:val="00B105B9"/>
    <w:rsid w:val="00B10853"/>
    <w:rsid w:val="00B10F47"/>
    <w:rsid w:val="00B113E2"/>
    <w:rsid w:val="00B113ED"/>
    <w:rsid w:val="00B115E0"/>
    <w:rsid w:val="00B11631"/>
    <w:rsid w:val="00B11976"/>
    <w:rsid w:val="00B11BFC"/>
    <w:rsid w:val="00B123AE"/>
    <w:rsid w:val="00B1260C"/>
    <w:rsid w:val="00B12D43"/>
    <w:rsid w:val="00B12E6D"/>
    <w:rsid w:val="00B13437"/>
    <w:rsid w:val="00B13690"/>
    <w:rsid w:val="00B136C5"/>
    <w:rsid w:val="00B137CF"/>
    <w:rsid w:val="00B13CE1"/>
    <w:rsid w:val="00B14036"/>
    <w:rsid w:val="00B1430F"/>
    <w:rsid w:val="00B14414"/>
    <w:rsid w:val="00B1478E"/>
    <w:rsid w:val="00B14C19"/>
    <w:rsid w:val="00B14E83"/>
    <w:rsid w:val="00B15080"/>
    <w:rsid w:val="00B1545A"/>
    <w:rsid w:val="00B154B3"/>
    <w:rsid w:val="00B1558C"/>
    <w:rsid w:val="00B15612"/>
    <w:rsid w:val="00B15E8E"/>
    <w:rsid w:val="00B15FFE"/>
    <w:rsid w:val="00B1696D"/>
    <w:rsid w:val="00B16A50"/>
    <w:rsid w:val="00B16B4E"/>
    <w:rsid w:val="00B16BAD"/>
    <w:rsid w:val="00B16EAF"/>
    <w:rsid w:val="00B1707B"/>
    <w:rsid w:val="00B170BF"/>
    <w:rsid w:val="00B172B3"/>
    <w:rsid w:val="00B1731C"/>
    <w:rsid w:val="00B17352"/>
    <w:rsid w:val="00B17415"/>
    <w:rsid w:val="00B1751C"/>
    <w:rsid w:val="00B178C1"/>
    <w:rsid w:val="00B17C3D"/>
    <w:rsid w:val="00B17D8F"/>
    <w:rsid w:val="00B206DA"/>
    <w:rsid w:val="00B2085E"/>
    <w:rsid w:val="00B20A21"/>
    <w:rsid w:val="00B20B89"/>
    <w:rsid w:val="00B20F5B"/>
    <w:rsid w:val="00B21137"/>
    <w:rsid w:val="00B212EB"/>
    <w:rsid w:val="00B2165C"/>
    <w:rsid w:val="00B218E8"/>
    <w:rsid w:val="00B21A2A"/>
    <w:rsid w:val="00B223B6"/>
    <w:rsid w:val="00B22833"/>
    <w:rsid w:val="00B22B98"/>
    <w:rsid w:val="00B22D77"/>
    <w:rsid w:val="00B23013"/>
    <w:rsid w:val="00B234AB"/>
    <w:rsid w:val="00B23710"/>
    <w:rsid w:val="00B23788"/>
    <w:rsid w:val="00B23AD5"/>
    <w:rsid w:val="00B23EB5"/>
    <w:rsid w:val="00B2477F"/>
    <w:rsid w:val="00B24828"/>
    <w:rsid w:val="00B24ABD"/>
    <w:rsid w:val="00B251E6"/>
    <w:rsid w:val="00B253D2"/>
    <w:rsid w:val="00B25708"/>
    <w:rsid w:val="00B2574A"/>
    <w:rsid w:val="00B258DC"/>
    <w:rsid w:val="00B25B27"/>
    <w:rsid w:val="00B25E8D"/>
    <w:rsid w:val="00B25F03"/>
    <w:rsid w:val="00B25FE6"/>
    <w:rsid w:val="00B263CE"/>
    <w:rsid w:val="00B26419"/>
    <w:rsid w:val="00B2698C"/>
    <w:rsid w:val="00B26C75"/>
    <w:rsid w:val="00B26EB0"/>
    <w:rsid w:val="00B27158"/>
    <w:rsid w:val="00B27645"/>
    <w:rsid w:val="00B277C8"/>
    <w:rsid w:val="00B27B3E"/>
    <w:rsid w:val="00B30093"/>
    <w:rsid w:val="00B302A7"/>
    <w:rsid w:val="00B3030D"/>
    <w:rsid w:val="00B3035B"/>
    <w:rsid w:val="00B30426"/>
    <w:rsid w:val="00B3096F"/>
    <w:rsid w:val="00B30A0C"/>
    <w:rsid w:val="00B30CCF"/>
    <w:rsid w:val="00B30CD2"/>
    <w:rsid w:val="00B30FE3"/>
    <w:rsid w:val="00B3111A"/>
    <w:rsid w:val="00B3129B"/>
    <w:rsid w:val="00B312EB"/>
    <w:rsid w:val="00B313A3"/>
    <w:rsid w:val="00B31419"/>
    <w:rsid w:val="00B3163E"/>
    <w:rsid w:val="00B316B0"/>
    <w:rsid w:val="00B31971"/>
    <w:rsid w:val="00B31DF8"/>
    <w:rsid w:val="00B31E60"/>
    <w:rsid w:val="00B31F66"/>
    <w:rsid w:val="00B32778"/>
    <w:rsid w:val="00B32965"/>
    <w:rsid w:val="00B33087"/>
    <w:rsid w:val="00B33561"/>
    <w:rsid w:val="00B3361B"/>
    <w:rsid w:val="00B33CC3"/>
    <w:rsid w:val="00B341A5"/>
    <w:rsid w:val="00B34239"/>
    <w:rsid w:val="00B34288"/>
    <w:rsid w:val="00B34369"/>
    <w:rsid w:val="00B3489E"/>
    <w:rsid w:val="00B3559A"/>
    <w:rsid w:val="00B35AFC"/>
    <w:rsid w:val="00B36524"/>
    <w:rsid w:val="00B367E6"/>
    <w:rsid w:val="00B368AA"/>
    <w:rsid w:val="00B36C46"/>
    <w:rsid w:val="00B37556"/>
    <w:rsid w:val="00B37721"/>
    <w:rsid w:val="00B37C2D"/>
    <w:rsid w:val="00B37C88"/>
    <w:rsid w:val="00B40198"/>
    <w:rsid w:val="00B40305"/>
    <w:rsid w:val="00B4053E"/>
    <w:rsid w:val="00B4097A"/>
    <w:rsid w:val="00B40A72"/>
    <w:rsid w:val="00B40C0E"/>
    <w:rsid w:val="00B40C80"/>
    <w:rsid w:val="00B40EFF"/>
    <w:rsid w:val="00B41094"/>
    <w:rsid w:val="00B410B2"/>
    <w:rsid w:val="00B41937"/>
    <w:rsid w:val="00B41F00"/>
    <w:rsid w:val="00B41F19"/>
    <w:rsid w:val="00B426BC"/>
    <w:rsid w:val="00B4281D"/>
    <w:rsid w:val="00B42E68"/>
    <w:rsid w:val="00B43376"/>
    <w:rsid w:val="00B433A0"/>
    <w:rsid w:val="00B437E0"/>
    <w:rsid w:val="00B43DC4"/>
    <w:rsid w:val="00B4410A"/>
    <w:rsid w:val="00B441F6"/>
    <w:rsid w:val="00B442E4"/>
    <w:rsid w:val="00B449EE"/>
    <w:rsid w:val="00B44BD2"/>
    <w:rsid w:val="00B44CAF"/>
    <w:rsid w:val="00B44DFF"/>
    <w:rsid w:val="00B45152"/>
    <w:rsid w:val="00B45159"/>
    <w:rsid w:val="00B4540E"/>
    <w:rsid w:val="00B458F5"/>
    <w:rsid w:val="00B45D1B"/>
    <w:rsid w:val="00B46078"/>
    <w:rsid w:val="00B4624C"/>
    <w:rsid w:val="00B464D6"/>
    <w:rsid w:val="00B46E0D"/>
    <w:rsid w:val="00B46E6E"/>
    <w:rsid w:val="00B4729B"/>
    <w:rsid w:val="00B47E60"/>
    <w:rsid w:val="00B50121"/>
    <w:rsid w:val="00B501BC"/>
    <w:rsid w:val="00B505BC"/>
    <w:rsid w:val="00B50C7B"/>
    <w:rsid w:val="00B51259"/>
    <w:rsid w:val="00B51466"/>
    <w:rsid w:val="00B514BB"/>
    <w:rsid w:val="00B51812"/>
    <w:rsid w:val="00B518F1"/>
    <w:rsid w:val="00B51B82"/>
    <w:rsid w:val="00B51B95"/>
    <w:rsid w:val="00B51BBC"/>
    <w:rsid w:val="00B51DC4"/>
    <w:rsid w:val="00B51E0D"/>
    <w:rsid w:val="00B520C5"/>
    <w:rsid w:val="00B52258"/>
    <w:rsid w:val="00B52466"/>
    <w:rsid w:val="00B525C0"/>
    <w:rsid w:val="00B52667"/>
    <w:rsid w:val="00B52D51"/>
    <w:rsid w:val="00B52F51"/>
    <w:rsid w:val="00B53585"/>
    <w:rsid w:val="00B537FB"/>
    <w:rsid w:val="00B53908"/>
    <w:rsid w:val="00B53A88"/>
    <w:rsid w:val="00B53C08"/>
    <w:rsid w:val="00B53D0B"/>
    <w:rsid w:val="00B53DD9"/>
    <w:rsid w:val="00B54022"/>
    <w:rsid w:val="00B5477A"/>
    <w:rsid w:val="00B54832"/>
    <w:rsid w:val="00B54C2D"/>
    <w:rsid w:val="00B551CE"/>
    <w:rsid w:val="00B556E6"/>
    <w:rsid w:val="00B55795"/>
    <w:rsid w:val="00B55942"/>
    <w:rsid w:val="00B55AE4"/>
    <w:rsid w:val="00B55F5B"/>
    <w:rsid w:val="00B56939"/>
    <w:rsid w:val="00B5699E"/>
    <w:rsid w:val="00B56E5F"/>
    <w:rsid w:val="00B56EB0"/>
    <w:rsid w:val="00B570EA"/>
    <w:rsid w:val="00B573C9"/>
    <w:rsid w:val="00B57952"/>
    <w:rsid w:val="00B57B02"/>
    <w:rsid w:val="00B57D6A"/>
    <w:rsid w:val="00B57E56"/>
    <w:rsid w:val="00B6023B"/>
    <w:rsid w:val="00B60537"/>
    <w:rsid w:val="00B60605"/>
    <w:rsid w:val="00B606D9"/>
    <w:rsid w:val="00B6070F"/>
    <w:rsid w:val="00B607DE"/>
    <w:rsid w:val="00B608EF"/>
    <w:rsid w:val="00B60902"/>
    <w:rsid w:val="00B60E48"/>
    <w:rsid w:val="00B61216"/>
    <w:rsid w:val="00B61A29"/>
    <w:rsid w:val="00B61DD7"/>
    <w:rsid w:val="00B61E36"/>
    <w:rsid w:val="00B61EF1"/>
    <w:rsid w:val="00B61F00"/>
    <w:rsid w:val="00B61F37"/>
    <w:rsid w:val="00B622EB"/>
    <w:rsid w:val="00B6246D"/>
    <w:rsid w:val="00B624DE"/>
    <w:rsid w:val="00B625EB"/>
    <w:rsid w:val="00B6274F"/>
    <w:rsid w:val="00B627A7"/>
    <w:rsid w:val="00B629A7"/>
    <w:rsid w:val="00B62D9B"/>
    <w:rsid w:val="00B62F35"/>
    <w:rsid w:val="00B63C2C"/>
    <w:rsid w:val="00B63EBA"/>
    <w:rsid w:val="00B63FC8"/>
    <w:rsid w:val="00B641F2"/>
    <w:rsid w:val="00B64792"/>
    <w:rsid w:val="00B64876"/>
    <w:rsid w:val="00B6489F"/>
    <w:rsid w:val="00B64B67"/>
    <w:rsid w:val="00B64E3B"/>
    <w:rsid w:val="00B64F71"/>
    <w:rsid w:val="00B650BE"/>
    <w:rsid w:val="00B652E4"/>
    <w:rsid w:val="00B652E5"/>
    <w:rsid w:val="00B6555B"/>
    <w:rsid w:val="00B659CF"/>
    <w:rsid w:val="00B661FA"/>
    <w:rsid w:val="00B66462"/>
    <w:rsid w:val="00B66AA7"/>
    <w:rsid w:val="00B66BA1"/>
    <w:rsid w:val="00B66F97"/>
    <w:rsid w:val="00B67647"/>
    <w:rsid w:val="00B6769A"/>
    <w:rsid w:val="00B677EB"/>
    <w:rsid w:val="00B67A54"/>
    <w:rsid w:val="00B67C02"/>
    <w:rsid w:val="00B67EFD"/>
    <w:rsid w:val="00B67F8D"/>
    <w:rsid w:val="00B701C1"/>
    <w:rsid w:val="00B701EE"/>
    <w:rsid w:val="00B70340"/>
    <w:rsid w:val="00B705D4"/>
    <w:rsid w:val="00B7068C"/>
    <w:rsid w:val="00B70AB8"/>
    <w:rsid w:val="00B70B49"/>
    <w:rsid w:val="00B70DFA"/>
    <w:rsid w:val="00B70E4E"/>
    <w:rsid w:val="00B7171B"/>
    <w:rsid w:val="00B71742"/>
    <w:rsid w:val="00B7196B"/>
    <w:rsid w:val="00B71C30"/>
    <w:rsid w:val="00B71E20"/>
    <w:rsid w:val="00B721AB"/>
    <w:rsid w:val="00B725BA"/>
    <w:rsid w:val="00B72667"/>
    <w:rsid w:val="00B72D13"/>
    <w:rsid w:val="00B738C5"/>
    <w:rsid w:val="00B73B39"/>
    <w:rsid w:val="00B73ECD"/>
    <w:rsid w:val="00B7415B"/>
    <w:rsid w:val="00B74203"/>
    <w:rsid w:val="00B742D1"/>
    <w:rsid w:val="00B74501"/>
    <w:rsid w:val="00B74710"/>
    <w:rsid w:val="00B74A5A"/>
    <w:rsid w:val="00B74AF1"/>
    <w:rsid w:val="00B74B1B"/>
    <w:rsid w:val="00B74B3F"/>
    <w:rsid w:val="00B74E75"/>
    <w:rsid w:val="00B750D9"/>
    <w:rsid w:val="00B7515C"/>
    <w:rsid w:val="00B7522F"/>
    <w:rsid w:val="00B75369"/>
    <w:rsid w:val="00B7542E"/>
    <w:rsid w:val="00B754EE"/>
    <w:rsid w:val="00B75664"/>
    <w:rsid w:val="00B75981"/>
    <w:rsid w:val="00B75A92"/>
    <w:rsid w:val="00B75DC3"/>
    <w:rsid w:val="00B76170"/>
    <w:rsid w:val="00B76187"/>
    <w:rsid w:val="00B763CA"/>
    <w:rsid w:val="00B766DA"/>
    <w:rsid w:val="00B766E0"/>
    <w:rsid w:val="00B7676B"/>
    <w:rsid w:val="00B769F7"/>
    <w:rsid w:val="00B76A39"/>
    <w:rsid w:val="00B76DD8"/>
    <w:rsid w:val="00B76E24"/>
    <w:rsid w:val="00B776A3"/>
    <w:rsid w:val="00B77963"/>
    <w:rsid w:val="00B77AE0"/>
    <w:rsid w:val="00B77C6E"/>
    <w:rsid w:val="00B77C87"/>
    <w:rsid w:val="00B77F96"/>
    <w:rsid w:val="00B80248"/>
    <w:rsid w:val="00B807C2"/>
    <w:rsid w:val="00B8088E"/>
    <w:rsid w:val="00B80A8B"/>
    <w:rsid w:val="00B80F5D"/>
    <w:rsid w:val="00B80FE6"/>
    <w:rsid w:val="00B815D7"/>
    <w:rsid w:val="00B81672"/>
    <w:rsid w:val="00B8183F"/>
    <w:rsid w:val="00B81C27"/>
    <w:rsid w:val="00B81C4C"/>
    <w:rsid w:val="00B81E96"/>
    <w:rsid w:val="00B820D4"/>
    <w:rsid w:val="00B8223A"/>
    <w:rsid w:val="00B823A6"/>
    <w:rsid w:val="00B82832"/>
    <w:rsid w:val="00B82860"/>
    <w:rsid w:val="00B82908"/>
    <w:rsid w:val="00B82A29"/>
    <w:rsid w:val="00B82F69"/>
    <w:rsid w:val="00B8301B"/>
    <w:rsid w:val="00B83138"/>
    <w:rsid w:val="00B83331"/>
    <w:rsid w:val="00B83D27"/>
    <w:rsid w:val="00B83E93"/>
    <w:rsid w:val="00B84208"/>
    <w:rsid w:val="00B849E0"/>
    <w:rsid w:val="00B84BFF"/>
    <w:rsid w:val="00B853EE"/>
    <w:rsid w:val="00B855E0"/>
    <w:rsid w:val="00B85656"/>
    <w:rsid w:val="00B857E6"/>
    <w:rsid w:val="00B8602C"/>
    <w:rsid w:val="00B86437"/>
    <w:rsid w:val="00B86BDE"/>
    <w:rsid w:val="00B86CE9"/>
    <w:rsid w:val="00B87287"/>
    <w:rsid w:val="00B87301"/>
    <w:rsid w:val="00B87C10"/>
    <w:rsid w:val="00B9010E"/>
    <w:rsid w:val="00B90499"/>
    <w:rsid w:val="00B90641"/>
    <w:rsid w:val="00B90696"/>
    <w:rsid w:val="00B907AC"/>
    <w:rsid w:val="00B909C6"/>
    <w:rsid w:val="00B91122"/>
    <w:rsid w:val="00B91449"/>
    <w:rsid w:val="00B91473"/>
    <w:rsid w:val="00B91C0D"/>
    <w:rsid w:val="00B91C18"/>
    <w:rsid w:val="00B91CF8"/>
    <w:rsid w:val="00B91D1C"/>
    <w:rsid w:val="00B91FAD"/>
    <w:rsid w:val="00B9205C"/>
    <w:rsid w:val="00B9240B"/>
    <w:rsid w:val="00B9251F"/>
    <w:rsid w:val="00B929FC"/>
    <w:rsid w:val="00B92AF5"/>
    <w:rsid w:val="00B92B3A"/>
    <w:rsid w:val="00B92FB4"/>
    <w:rsid w:val="00B93051"/>
    <w:rsid w:val="00B93620"/>
    <w:rsid w:val="00B9369F"/>
    <w:rsid w:val="00B93885"/>
    <w:rsid w:val="00B9396F"/>
    <w:rsid w:val="00B939A9"/>
    <w:rsid w:val="00B93E0E"/>
    <w:rsid w:val="00B94259"/>
    <w:rsid w:val="00B943E9"/>
    <w:rsid w:val="00B94508"/>
    <w:rsid w:val="00B945B5"/>
    <w:rsid w:val="00B947B4"/>
    <w:rsid w:val="00B947EF"/>
    <w:rsid w:val="00B94D7E"/>
    <w:rsid w:val="00B94F75"/>
    <w:rsid w:val="00B95934"/>
    <w:rsid w:val="00B95AA3"/>
    <w:rsid w:val="00B95BCD"/>
    <w:rsid w:val="00B95C3D"/>
    <w:rsid w:val="00B95E8D"/>
    <w:rsid w:val="00B96104"/>
    <w:rsid w:val="00B96DCB"/>
    <w:rsid w:val="00B96F17"/>
    <w:rsid w:val="00B9705F"/>
    <w:rsid w:val="00B9741D"/>
    <w:rsid w:val="00B974A9"/>
    <w:rsid w:val="00B979C2"/>
    <w:rsid w:val="00B97AAD"/>
    <w:rsid w:val="00B97E8D"/>
    <w:rsid w:val="00B97F85"/>
    <w:rsid w:val="00BA007F"/>
    <w:rsid w:val="00BA0782"/>
    <w:rsid w:val="00BA0BCB"/>
    <w:rsid w:val="00BA0C8C"/>
    <w:rsid w:val="00BA115E"/>
    <w:rsid w:val="00BA1234"/>
    <w:rsid w:val="00BA1563"/>
    <w:rsid w:val="00BA2065"/>
    <w:rsid w:val="00BA2505"/>
    <w:rsid w:val="00BA25E1"/>
    <w:rsid w:val="00BA2640"/>
    <w:rsid w:val="00BA2687"/>
    <w:rsid w:val="00BA2704"/>
    <w:rsid w:val="00BA27C5"/>
    <w:rsid w:val="00BA2888"/>
    <w:rsid w:val="00BA2B04"/>
    <w:rsid w:val="00BA2C63"/>
    <w:rsid w:val="00BA2D56"/>
    <w:rsid w:val="00BA2D57"/>
    <w:rsid w:val="00BA2D75"/>
    <w:rsid w:val="00BA30D5"/>
    <w:rsid w:val="00BA31F1"/>
    <w:rsid w:val="00BA3240"/>
    <w:rsid w:val="00BA3370"/>
    <w:rsid w:val="00BA337E"/>
    <w:rsid w:val="00BA3806"/>
    <w:rsid w:val="00BA396D"/>
    <w:rsid w:val="00BA3C7C"/>
    <w:rsid w:val="00BA3EB3"/>
    <w:rsid w:val="00BA4108"/>
    <w:rsid w:val="00BA425C"/>
    <w:rsid w:val="00BA458C"/>
    <w:rsid w:val="00BA45F9"/>
    <w:rsid w:val="00BA4796"/>
    <w:rsid w:val="00BA4A5D"/>
    <w:rsid w:val="00BA4A8C"/>
    <w:rsid w:val="00BA4F21"/>
    <w:rsid w:val="00BA4F5C"/>
    <w:rsid w:val="00BA5260"/>
    <w:rsid w:val="00BA52CE"/>
    <w:rsid w:val="00BA540E"/>
    <w:rsid w:val="00BA59D0"/>
    <w:rsid w:val="00BA5AC0"/>
    <w:rsid w:val="00BA611D"/>
    <w:rsid w:val="00BA625E"/>
    <w:rsid w:val="00BA65FB"/>
    <w:rsid w:val="00BA66B6"/>
    <w:rsid w:val="00BA6873"/>
    <w:rsid w:val="00BA6C30"/>
    <w:rsid w:val="00BA6EE9"/>
    <w:rsid w:val="00BA7023"/>
    <w:rsid w:val="00BA7356"/>
    <w:rsid w:val="00BA77B2"/>
    <w:rsid w:val="00BA798E"/>
    <w:rsid w:val="00BA7A2C"/>
    <w:rsid w:val="00BB0449"/>
    <w:rsid w:val="00BB0591"/>
    <w:rsid w:val="00BB05B8"/>
    <w:rsid w:val="00BB06F5"/>
    <w:rsid w:val="00BB0876"/>
    <w:rsid w:val="00BB08F8"/>
    <w:rsid w:val="00BB09E2"/>
    <w:rsid w:val="00BB0BA9"/>
    <w:rsid w:val="00BB0C8E"/>
    <w:rsid w:val="00BB0FD1"/>
    <w:rsid w:val="00BB10BF"/>
    <w:rsid w:val="00BB1B54"/>
    <w:rsid w:val="00BB1C84"/>
    <w:rsid w:val="00BB1C97"/>
    <w:rsid w:val="00BB1FD3"/>
    <w:rsid w:val="00BB2016"/>
    <w:rsid w:val="00BB245D"/>
    <w:rsid w:val="00BB2490"/>
    <w:rsid w:val="00BB2725"/>
    <w:rsid w:val="00BB27E9"/>
    <w:rsid w:val="00BB2EF0"/>
    <w:rsid w:val="00BB3147"/>
    <w:rsid w:val="00BB33C1"/>
    <w:rsid w:val="00BB33C8"/>
    <w:rsid w:val="00BB35CE"/>
    <w:rsid w:val="00BB372D"/>
    <w:rsid w:val="00BB3B2F"/>
    <w:rsid w:val="00BB3B66"/>
    <w:rsid w:val="00BB3BC0"/>
    <w:rsid w:val="00BB4363"/>
    <w:rsid w:val="00BB454F"/>
    <w:rsid w:val="00BB46B4"/>
    <w:rsid w:val="00BB4AFA"/>
    <w:rsid w:val="00BB4BB9"/>
    <w:rsid w:val="00BB535E"/>
    <w:rsid w:val="00BB56D1"/>
    <w:rsid w:val="00BB59C0"/>
    <w:rsid w:val="00BB5B71"/>
    <w:rsid w:val="00BB5BFF"/>
    <w:rsid w:val="00BB5F85"/>
    <w:rsid w:val="00BB6249"/>
    <w:rsid w:val="00BB630D"/>
    <w:rsid w:val="00BB6363"/>
    <w:rsid w:val="00BB709B"/>
    <w:rsid w:val="00BB74C4"/>
    <w:rsid w:val="00BB7B9D"/>
    <w:rsid w:val="00BB7F08"/>
    <w:rsid w:val="00BB7FA9"/>
    <w:rsid w:val="00BC01CB"/>
    <w:rsid w:val="00BC03F2"/>
    <w:rsid w:val="00BC0522"/>
    <w:rsid w:val="00BC0662"/>
    <w:rsid w:val="00BC066F"/>
    <w:rsid w:val="00BC068A"/>
    <w:rsid w:val="00BC0A3C"/>
    <w:rsid w:val="00BC0AA5"/>
    <w:rsid w:val="00BC0CFF"/>
    <w:rsid w:val="00BC0D57"/>
    <w:rsid w:val="00BC0F15"/>
    <w:rsid w:val="00BC14FB"/>
    <w:rsid w:val="00BC15F5"/>
    <w:rsid w:val="00BC1819"/>
    <w:rsid w:val="00BC19A2"/>
    <w:rsid w:val="00BC1A51"/>
    <w:rsid w:val="00BC1EAC"/>
    <w:rsid w:val="00BC1EB1"/>
    <w:rsid w:val="00BC24DF"/>
    <w:rsid w:val="00BC2943"/>
    <w:rsid w:val="00BC2A70"/>
    <w:rsid w:val="00BC2AB2"/>
    <w:rsid w:val="00BC2F7E"/>
    <w:rsid w:val="00BC30F9"/>
    <w:rsid w:val="00BC3140"/>
    <w:rsid w:val="00BC356A"/>
    <w:rsid w:val="00BC3591"/>
    <w:rsid w:val="00BC3639"/>
    <w:rsid w:val="00BC3845"/>
    <w:rsid w:val="00BC3B55"/>
    <w:rsid w:val="00BC3E3E"/>
    <w:rsid w:val="00BC492B"/>
    <w:rsid w:val="00BC4C1A"/>
    <w:rsid w:val="00BC4E21"/>
    <w:rsid w:val="00BC502C"/>
    <w:rsid w:val="00BC51FF"/>
    <w:rsid w:val="00BC57F2"/>
    <w:rsid w:val="00BC5A80"/>
    <w:rsid w:val="00BC5B99"/>
    <w:rsid w:val="00BC5D58"/>
    <w:rsid w:val="00BC6142"/>
    <w:rsid w:val="00BC6294"/>
    <w:rsid w:val="00BC6429"/>
    <w:rsid w:val="00BC64FD"/>
    <w:rsid w:val="00BC6634"/>
    <w:rsid w:val="00BC6658"/>
    <w:rsid w:val="00BC688A"/>
    <w:rsid w:val="00BC6A5B"/>
    <w:rsid w:val="00BC6ACD"/>
    <w:rsid w:val="00BC6C25"/>
    <w:rsid w:val="00BC6CA6"/>
    <w:rsid w:val="00BC6D36"/>
    <w:rsid w:val="00BC7094"/>
    <w:rsid w:val="00BC7314"/>
    <w:rsid w:val="00BC73A7"/>
    <w:rsid w:val="00BC74EB"/>
    <w:rsid w:val="00BC78D9"/>
    <w:rsid w:val="00BC7CB2"/>
    <w:rsid w:val="00BD0619"/>
    <w:rsid w:val="00BD0723"/>
    <w:rsid w:val="00BD0AC0"/>
    <w:rsid w:val="00BD0E62"/>
    <w:rsid w:val="00BD1259"/>
    <w:rsid w:val="00BD1305"/>
    <w:rsid w:val="00BD18C7"/>
    <w:rsid w:val="00BD216D"/>
    <w:rsid w:val="00BD2342"/>
    <w:rsid w:val="00BD24F5"/>
    <w:rsid w:val="00BD25FC"/>
    <w:rsid w:val="00BD2A1F"/>
    <w:rsid w:val="00BD2B54"/>
    <w:rsid w:val="00BD2B90"/>
    <w:rsid w:val="00BD2C0A"/>
    <w:rsid w:val="00BD2CCE"/>
    <w:rsid w:val="00BD2FA3"/>
    <w:rsid w:val="00BD2FEE"/>
    <w:rsid w:val="00BD342D"/>
    <w:rsid w:val="00BD34DB"/>
    <w:rsid w:val="00BD3570"/>
    <w:rsid w:val="00BD3633"/>
    <w:rsid w:val="00BD38A2"/>
    <w:rsid w:val="00BD3A5B"/>
    <w:rsid w:val="00BD3AC9"/>
    <w:rsid w:val="00BD40C1"/>
    <w:rsid w:val="00BD48F8"/>
    <w:rsid w:val="00BD5190"/>
    <w:rsid w:val="00BD5365"/>
    <w:rsid w:val="00BD5895"/>
    <w:rsid w:val="00BD591E"/>
    <w:rsid w:val="00BD5A27"/>
    <w:rsid w:val="00BD5A6C"/>
    <w:rsid w:val="00BD5AB5"/>
    <w:rsid w:val="00BD5E57"/>
    <w:rsid w:val="00BD60A2"/>
    <w:rsid w:val="00BD60B7"/>
    <w:rsid w:val="00BD6365"/>
    <w:rsid w:val="00BD67DC"/>
    <w:rsid w:val="00BD6886"/>
    <w:rsid w:val="00BD68EA"/>
    <w:rsid w:val="00BD69C6"/>
    <w:rsid w:val="00BD6C58"/>
    <w:rsid w:val="00BD6EBD"/>
    <w:rsid w:val="00BD70DD"/>
    <w:rsid w:val="00BD71AC"/>
    <w:rsid w:val="00BD728A"/>
    <w:rsid w:val="00BD74B7"/>
    <w:rsid w:val="00BD761E"/>
    <w:rsid w:val="00BD76A4"/>
    <w:rsid w:val="00BD771C"/>
    <w:rsid w:val="00BD7BE7"/>
    <w:rsid w:val="00BE000B"/>
    <w:rsid w:val="00BE0365"/>
    <w:rsid w:val="00BE03D8"/>
    <w:rsid w:val="00BE0652"/>
    <w:rsid w:val="00BE08B3"/>
    <w:rsid w:val="00BE0968"/>
    <w:rsid w:val="00BE0C70"/>
    <w:rsid w:val="00BE0CAC"/>
    <w:rsid w:val="00BE0F62"/>
    <w:rsid w:val="00BE139E"/>
    <w:rsid w:val="00BE13CE"/>
    <w:rsid w:val="00BE1963"/>
    <w:rsid w:val="00BE1B4D"/>
    <w:rsid w:val="00BE25E2"/>
    <w:rsid w:val="00BE2863"/>
    <w:rsid w:val="00BE28FD"/>
    <w:rsid w:val="00BE2A1E"/>
    <w:rsid w:val="00BE2E24"/>
    <w:rsid w:val="00BE2E36"/>
    <w:rsid w:val="00BE322E"/>
    <w:rsid w:val="00BE32DF"/>
    <w:rsid w:val="00BE367E"/>
    <w:rsid w:val="00BE3870"/>
    <w:rsid w:val="00BE38E6"/>
    <w:rsid w:val="00BE3ABE"/>
    <w:rsid w:val="00BE3C79"/>
    <w:rsid w:val="00BE3D6D"/>
    <w:rsid w:val="00BE3F3D"/>
    <w:rsid w:val="00BE40C7"/>
    <w:rsid w:val="00BE40CF"/>
    <w:rsid w:val="00BE40DD"/>
    <w:rsid w:val="00BE44DC"/>
    <w:rsid w:val="00BE4596"/>
    <w:rsid w:val="00BE46D0"/>
    <w:rsid w:val="00BE5095"/>
    <w:rsid w:val="00BE520D"/>
    <w:rsid w:val="00BE530F"/>
    <w:rsid w:val="00BE5567"/>
    <w:rsid w:val="00BE5895"/>
    <w:rsid w:val="00BE5D8F"/>
    <w:rsid w:val="00BE6018"/>
    <w:rsid w:val="00BE62E7"/>
    <w:rsid w:val="00BE644D"/>
    <w:rsid w:val="00BE6680"/>
    <w:rsid w:val="00BE6A46"/>
    <w:rsid w:val="00BE6BCE"/>
    <w:rsid w:val="00BE6BFF"/>
    <w:rsid w:val="00BE700B"/>
    <w:rsid w:val="00BE7708"/>
    <w:rsid w:val="00BE783D"/>
    <w:rsid w:val="00BE7D7E"/>
    <w:rsid w:val="00BE7E6C"/>
    <w:rsid w:val="00BF0057"/>
    <w:rsid w:val="00BF0237"/>
    <w:rsid w:val="00BF0965"/>
    <w:rsid w:val="00BF0B0B"/>
    <w:rsid w:val="00BF0BDF"/>
    <w:rsid w:val="00BF0FB3"/>
    <w:rsid w:val="00BF1045"/>
    <w:rsid w:val="00BF10A6"/>
    <w:rsid w:val="00BF180F"/>
    <w:rsid w:val="00BF1C01"/>
    <w:rsid w:val="00BF20C4"/>
    <w:rsid w:val="00BF2308"/>
    <w:rsid w:val="00BF23AB"/>
    <w:rsid w:val="00BF27B7"/>
    <w:rsid w:val="00BF2851"/>
    <w:rsid w:val="00BF3B2B"/>
    <w:rsid w:val="00BF3C92"/>
    <w:rsid w:val="00BF3DB9"/>
    <w:rsid w:val="00BF453D"/>
    <w:rsid w:val="00BF474D"/>
    <w:rsid w:val="00BF476A"/>
    <w:rsid w:val="00BF47B8"/>
    <w:rsid w:val="00BF4DC8"/>
    <w:rsid w:val="00BF5568"/>
    <w:rsid w:val="00BF5601"/>
    <w:rsid w:val="00BF565D"/>
    <w:rsid w:val="00BF586E"/>
    <w:rsid w:val="00BF5C22"/>
    <w:rsid w:val="00BF5CBA"/>
    <w:rsid w:val="00BF5DBE"/>
    <w:rsid w:val="00BF5E3C"/>
    <w:rsid w:val="00BF5F24"/>
    <w:rsid w:val="00BF6A45"/>
    <w:rsid w:val="00BF6FD1"/>
    <w:rsid w:val="00BF7212"/>
    <w:rsid w:val="00BF72FB"/>
    <w:rsid w:val="00BF751A"/>
    <w:rsid w:val="00BF786C"/>
    <w:rsid w:val="00BF78BD"/>
    <w:rsid w:val="00C00201"/>
    <w:rsid w:val="00C00321"/>
    <w:rsid w:val="00C00370"/>
    <w:rsid w:val="00C0039B"/>
    <w:rsid w:val="00C004E8"/>
    <w:rsid w:val="00C00597"/>
    <w:rsid w:val="00C00823"/>
    <w:rsid w:val="00C00B68"/>
    <w:rsid w:val="00C00C90"/>
    <w:rsid w:val="00C01110"/>
    <w:rsid w:val="00C01552"/>
    <w:rsid w:val="00C015FC"/>
    <w:rsid w:val="00C01604"/>
    <w:rsid w:val="00C018F6"/>
    <w:rsid w:val="00C01B9D"/>
    <w:rsid w:val="00C01C42"/>
    <w:rsid w:val="00C01D27"/>
    <w:rsid w:val="00C01EBB"/>
    <w:rsid w:val="00C02316"/>
    <w:rsid w:val="00C024ED"/>
    <w:rsid w:val="00C0273B"/>
    <w:rsid w:val="00C02852"/>
    <w:rsid w:val="00C02BB7"/>
    <w:rsid w:val="00C02FD8"/>
    <w:rsid w:val="00C03149"/>
    <w:rsid w:val="00C034DE"/>
    <w:rsid w:val="00C03737"/>
    <w:rsid w:val="00C037BB"/>
    <w:rsid w:val="00C038E8"/>
    <w:rsid w:val="00C03B13"/>
    <w:rsid w:val="00C03EA0"/>
    <w:rsid w:val="00C03F4C"/>
    <w:rsid w:val="00C041DF"/>
    <w:rsid w:val="00C04458"/>
    <w:rsid w:val="00C04773"/>
    <w:rsid w:val="00C04E80"/>
    <w:rsid w:val="00C05221"/>
    <w:rsid w:val="00C057E0"/>
    <w:rsid w:val="00C05D69"/>
    <w:rsid w:val="00C05F7E"/>
    <w:rsid w:val="00C06341"/>
    <w:rsid w:val="00C06482"/>
    <w:rsid w:val="00C066EF"/>
    <w:rsid w:val="00C0681D"/>
    <w:rsid w:val="00C068E5"/>
    <w:rsid w:val="00C06B60"/>
    <w:rsid w:val="00C070C3"/>
    <w:rsid w:val="00C070E4"/>
    <w:rsid w:val="00C071C6"/>
    <w:rsid w:val="00C07607"/>
    <w:rsid w:val="00C078CC"/>
    <w:rsid w:val="00C07C7D"/>
    <w:rsid w:val="00C10163"/>
    <w:rsid w:val="00C10360"/>
    <w:rsid w:val="00C105D7"/>
    <w:rsid w:val="00C1096A"/>
    <w:rsid w:val="00C109FB"/>
    <w:rsid w:val="00C11004"/>
    <w:rsid w:val="00C112B8"/>
    <w:rsid w:val="00C11357"/>
    <w:rsid w:val="00C1136B"/>
    <w:rsid w:val="00C1143C"/>
    <w:rsid w:val="00C11816"/>
    <w:rsid w:val="00C1191B"/>
    <w:rsid w:val="00C119CF"/>
    <w:rsid w:val="00C11A39"/>
    <w:rsid w:val="00C11F09"/>
    <w:rsid w:val="00C1207D"/>
    <w:rsid w:val="00C1250F"/>
    <w:rsid w:val="00C12522"/>
    <w:rsid w:val="00C125E6"/>
    <w:rsid w:val="00C12693"/>
    <w:rsid w:val="00C129E5"/>
    <w:rsid w:val="00C13117"/>
    <w:rsid w:val="00C1353E"/>
    <w:rsid w:val="00C135DA"/>
    <w:rsid w:val="00C13637"/>
    <w:rsid w:val="00C13B63"/>
    <w:rsid w:val="00C13CB8"/>
    <w:rsid w:val="00C13F07"/>
    <w:rsid w:val="00C13FE4"/>
    <w:rsid w:val="00C143D8"/>
    <w:rsid w:val="00C147CF"/>
    <w:rsid w:val="00C14AEC"/>
    <w:rsid w:val="00C14EEF"/>
    <w:rsid w:val="00C1503F"/>
    <w:rsid w:val="00C156DE"/>
    <w:rsid w:val="00C15CF4"/>
    <w:rsid w:val="00C15D9B"/>
    <w:rsid w:val="00C15DC5"/>
    <w:rsid w:val="00C15F28"/>
    <w:rsid w:val="00C15F48"/>
    <w:rsid w:val="00C1623F"/>
    <w:rsid w:val="00C162AC"/>
    <w:rsid w:val="00C16502"/>
    <w:rsid w:val="00C169BC"/>
    <w:rsid w:val="00C16BF0"/>
    <w:rsid w:val="00C16C46"/>
    <w:rsid w:val="00C170DB"/>
    <w:rsid w:val="00C171D2"/>
    <w:rsid w:val="00C17546"/>
    <w:rsid w:val="00C17606"/>
    <w:rsid w:val="00C17CEB"/>
    <w:rsid w:val="00C2029B"/>
    <w:rsid w:val="00C202E0"/>
    <w:rsid w:val="00C20428"/>
    <w:rsid w:val="00C205D6"/>
    <w:rsid w:val="00C207ED"/>
    <w:rsid w:val="00C20A3A"/>
    <w:rsid w:val="00C20FEF"/>
    <w:rsid w:val="00C21255"/>
    <w:rsid w:val="00C21473"/>
    <w:rsid w:val="00C216E2"/>
    <w:rsid w:val="00C21871"/>
    <w:rsid w:val="00C2196F"/>
    <w:rsid w:val="00C21B46"/>
    <w:rsid w:val="00C22225"/>
    <w:rsid w:val="00C22620"/>
    <w:rsid w:val="00C2262D"/>
    <w:rsid w:val="00C22A15"/>
    <w:rsid w:val="00C22D99"/>
    <w:rsid w:val="00C22F9C"/>
    <w:rsid w:val="00C22FAC"/>
    <w:rsid w:val="00C231E9"/>
    <w:rsid w:val="00C232A1"/>
    <w:rsid w:val="00C232A2"/>
    <w:rsid w:val="00C23378"/>
    <w:rsid w:val="00C237C3"/>
    <w:rsid w:val="00C237F9"/>
    <w:rsid w:val="00C23822"/>
    <w:rsid w:val="00C2393C"/>
    <w:rsid w:val="00C23A3F"/>
    <w:rsid w:val="00C23D2A"/>
    <w:rsid w:val="00C23D83"/>
    <w:rsid w:val="00C23DF5"/>
    <w:rsid w:val="00C24457"/>
    <w:rsid w:val="00C2476C"/>
    <w:rsid w:val="00C248BA"/>
    <w:rsid w:val="00C24E49"/>
    <w:rsid w:val="00C24FFF"/>
    <w:rsid w:val="00C250C7"/>
    <w:rsid w:val="00C25DE4"/>
    <w:rsid w:val="00C25F79"/>
    <w:rsid w:val="00C26589"/>
    <w:rsid w:val="00C26A38"/>
    <w:rsid w:val="00C26DBA"/>
    <w:rsid w:val="00C270A8"/>
    <w:rsid w:val="00C270D4"/>
    <w:rsid w:val="00C2736F"/>
    <w:rsid w:val="00C276A1"/>
    <w:rsid w:val="00C2771C"/>
    <w:rsid w:val="00C27850"/>
    <w:rsid w:val="00C300A4"/>
    <w:rsid w:val="00C3020D"/>
    <w:rsid w:val="00C3025B"/>
    <w:rsid w:val="00C305BF"/>
    <w:rsid w:val="00C3070E"/>
    <w:rsid w:val="00C30D02"/>
    <w:rsid w:val="00C30DF0"/>
    <w:rsid w:val="00C313A9"/>
    <w:rsid w:val="00C315D3"/>
    <w:rsid w:val="00C319CF"/>
    <w:rsid w:val="00C31B63"/>
    <w:rsid w:val="00C31D66"/>
    <w:rsid w:val="00C31F3B"/>
    <w:rsid w:val="00C322DF"/>
    <w:rsid w:val="00C3256B"/>
    <w:rsid w:val="00C3264B"/>
    <w:rsid w:val="00C326A1"/>
    <w:rsid w:val="00C3283F"/>
    <w:rsid w:val="00C32DCF"/>
    <w:rsid w:val="00C32EB0"/>
    <w:rsid w:val="00C32ECB"/>
    <w:rsid w:val="00C332A0"/>
    <w:rsid w:val="00C33319"/>
    <w:rsid w:val="00C333B6"/>
    <w:rsid w:val="00C33467"/>
    <w:rsid w:val="00C335CD"/>
    <w:rsid w:val="00C33A16"/>
    <w:rsid w:val="00C33C2B"/>
    <w:rsid w:val="00C34101"/>
    <w:rsid w:val="00C34276"/>
    <w:rsid w:val="00C3438B"/>
    <w:rsid w:val="00C34AC7"/>
    <w:rsid w:val="00C34FF3"/>
    <w:rsid w:val="00C354AF"/>
    <w:rsid w:val="00C3563B"/>
    <w:rsid w:val="00C35865"/>
    <w:rsid w:val="00C3592C"/>
    <w:rsid w:val="00C35A3C"/>
    <w:rsid w:val="00C35B6D"/>
    <w:rsid w:val="00C35CE8"/>
    <w:rsid w:val="00C35DE0"/>
    <w:rsid w:val="00C35E8A"/>
    <w:rsid w:val="00C35ED5"/>
    <w:rsid w:val="00C36093"/>
    <w:rsid w:val="00C363EC"/>
    <w:rsid w:val="00C3646C"/>
    <w:rsid w:val="00C365D7"/>
    <w:rsid w:val="00C3664C"/>
    <w:rsid w:val="00C366BA"/>
    <w:rsid w:val="00C36ADC"/>
    <w:rsid w:val="00C36E1A"/>
    <w:rsid w:val="00C37830"/>
    <w:rsid w:val="00C37871"/>
    <w:rsid w:val="00C378ED"/>
    <w:rsid w:val="00C37D48"/>
    <w:rsid w:val="00C37E60"/>
    <w:rsid w:val="00C37E8C"/>
    <w:rsid w:val="00C37F96"/>
    <w:rsid w:val="00C402A8"/>
    <w:rsid w:val="00C4055F"/>
    <w:rsid w:val="00C406AE"/>
    <w:rsid w:val="00C4079A"/>
    <w:rsid w:val="00C408A3"/>
    <w:rsid w:val="00C4096F"/>
    <w:rsid w:val="00C40ADF"/>
    <w:rsid w:val="00C413C5"/>
    <w:rsid w:val="00C41560"/>
    <w:rsid w:val="00C41881"/>
    <w:rsid w:val="00C419F9"/>
    <w:rsid w:val="00C41BD8"/>
    <w:rsid w:val="00C41E4C"/>
    <w:rsid w:val="00C4207F"/>
    <w:rsid w:val="00C420C2"/>
    <w:rsid w:val="00C42211"/>
    <w:rsid w:val="00C42556"/>
    <w:rsid w:val="00C426BD"/>
    <w:rsid w:val="00C42C68"/>
    <w:rsid w:val="00C42D3A"/>
    <w:rsid w:val="00C43608"/>
    <w:rsid w:val="00C4362E"/>
    <w:rsid w:val="00C43791"/>
    <w:rsid w:val="00C4385E"/>
    <w:rsid w:val="00C43B87"/>
    <w:rsid w:val="00C43CAD"/>
    <w:rsid w:val="00C43DD3"/>
    <w:rsid w:val="00C445C2"/>
    <w:rsid w:val="00C4486F"/>
    <w:rsid w:val="00C448C6"/>
    <w:rsid w:val="00C44D0A"/>
    <w:rsid w:val="00C451A0"/>
    <w:rsid w:val="00C45200"/>
    <w:rsid w:val="00C45582"/>
    <w:rsid w:val="00C45ECB"/>
    <w:rsid w:val="00C45F9B"/>
    <w:rsid w:val="00C461F0"/>
    <w:rsid w:val="00C46331"/>
    <w:rsid w:val="00C46D9C"/>
    <w:rsid w:val="00C46EC0"/>
    <w:rsid w:val="00C46EEB"/>
    <w:rsid w:val="00C46F3D"/>
    <w:rsid w:val="00C47E0A"/>
    <w:rsid w:val="00C502BB"/>
    <w:rsid w:val="00C50682"/>
    <w:rsid w:val="00C506F0"/>
    <w:rsid w:val="00C50855"/>
    <w:rsid w:val="00C50E87"/>
    <w:rsid w:val="00C51296"/>
    <w:rsid w:val="00C519F9"/>
    <w:rsid w:val="00C51F10"/>
    <w:rsid w:val="00C51F59"/>
    <w:rsid w:val="00C520BC"/>
    <w:rsid w:val="00C5230D"/>
    <w:rsid w:val="00C52390"/>
    <w:rsid w:val="00C52416"/>
    <w:rsid w:val="00C52599"/>
    <w:rsid w:val="00C527E9"/>
    <w:rsid w:val="00C528B8"/>
    <w:rsid w:val="00C52AAD"/>
    <w:rsid w:val="00C52CD6"/>
    <w:rsid w:val="00C531A4"/>
    <w:rsid w:val="00C53347"/>
    <w:rsid w:val="00C53426"/>
    <w:rsid w:val="00C536A1"/>
    <w:rsid w:val="00C53A17"/>
    <w:rsid w:val="00C53C36"/>
    <w:rsid w:val="00C53D69"/>
    <w:rsid w:val="00C53F25"/>
    <w:rsid w:val="00C542E0"/>
    <w:rsid w:val="00C545F2"/>
    <w:rsid w:val="00C54CE2"/>
    <w:rsid w:val="00C54FC8"/>
    <w:rsid w:val="00C55025"/>
    <w:rsid w:val="00C55201"/>
    <w:rsid w:val="00C55B2B"/>
    <w:rsid w:val="00C55F75"/>
    <w:rsid w:val="00C5664F"/>
    <w:rsid w:val="00C5683B"/>
    <w:rsid w:val="00C5689E"/>
    <w:rsid w:val="00C568CD"/>
    <w:rsid w:val="00C569A1"/>
    <w:rsid w:val="00C56D20"/>
    <w:rsid w:val="00C56ED3"/>
    <w:rsid w:val="00C56EF4"/>
    <w:rsid w:val="00C56F82"/>
    <w:rsid w:val="00C574E8"/>
    <w:rsid w:val="00C57676"/>
    <w:rsid w:val="00C5776F"/>
    <w:rsid w:val="00C57771"/>
    <w:rsid w:val="00C57BC4"/>
    <w:rsid w:val="00C57C4A"/>
    <w:rsid w:val="00C57CE5"/>
    <w:rsid w:val="00C57E1E"/>
    <w:rsid w:val="00C6000E"/>
    <w:rsid w:val="00C601AF"/>
    <w:rsid w:val="00C60477"/>
    <w:rsid w:val="00C60745"/>
    <w:rsid w:val="00C60849"/>
    <w:rsid w:val="00C60897"/>
    <w:rsid w:val="00C611AC"/>
    <w:rsid w:val="00C61401"/>
    <w:rsid w:val="00C61525"/>
    <w:rsid w:val="00C61854"/>
    <w:rsid w:val="00C61B49"/>
    <w:rsid w:val="00C61C07"/>
    <w:rsid w:val="00C61D50"/>
    <w:rsid w:val="00C61EC3"/>
    <w:rsid w:val="00C62544"/>
    <w:rsid w:val="00C625EF"/>
    <w:rsid w:val="00C62663"/>
    <w:rsid w:val="00C626DD"/>
    <w:rsid w:val="00C6281A"/>
    <w:rsid w:val="00C629F2"/>
    <w:rsid w:val="00C62AD3"/>
    <w:rsid w:val="00C62D9A"/>
    <w:rsid w:val="00C62EB8"/>
    <w:rsid w:val="00C630E1"/>
    <w:rsid w:val="00C63201"/>
    <w:rsid w:val="00C6357C"/>
    <w:rsid w:val="00C6387E"/>
    <w:rsid w:val="00C6398D"/>
    <w:rsid w:val="00C63A55"/>
    <w:rsid w:val="00C63EE8"/>
    <w:rsid w:val="00C64837"/>
    <w:rsid w:val="00C64C06"/>
    <w:rsid w:val="00C64DC5"/>
    <w:rsid w:val="00C64DC7"/>
    <w:rsid w:val="00C650C3"/>
    <w:rsid w:val="00C651CA"/>
    <w:rsid w:val="00C6520C"/>
    <w:rsid w:val="00C658BC"/>
    <w:rsid w:val="00C65C46"/>
    <w:rsid w:val="00C65C89"/>
    <w:rsid w:val="00C65E15"/>
    <w:rsid w:val="00C6601E"/>
    <w:rsid w:val="00C66032"/>
    <w:rsid w:val="00C663C8"/>
    <w:rsid w:val="00C666F4"/>
    <w:rsid w:val="00C66B68"/>
    <w:rsid w:val="00C66BD5"/>
    <w:rsid w:val="00C67B4C"/>
    <w:rsid w:val="00C67D77"/>
    <w:rsid w:val="00C67E8F"/>
    <w:rsid w:val="00C67EB6"/>
    <w:rsid w:val="00C67FE9"/>
    <w:rsid w:val="00C7028B"/>
    <w:rsid w:val="00C70609"/>
    <w:rsid w:val="00C707A6"/>
    <w:rsid w:val="00C707C7"/>
    <w:rsid w:val="00C70D43"/>
    <w:rsid w:val="00C70F52"/>
    <w:rsid w:val="00C7143F"/>
    <w:rsid w:val="00C71D92"/>
    <w:rsid w:val="00C72576"/>
    <w:rsid w:val="00C72B54"/>
    <w:rsid w:val="00C72B8F"/>
    <w:rsid w:val="00C72D2B"/>
    <w:rsid w:val="00C72F64"/>
    <w:rsid w:val="00C7336C"/>
    <w:rsid w:val="00C73492"/>
    <w:rsid w:val="00C734A7"/>
    <w:rsid w:val="00C734E4"/>
    <w:rsid w:val="00C738A5"/>
    <w:rsid w:val="00C739B8"/>
    <w:rsid w:val="00C739EB"/>
    <w:rsid w:val="00C73AFA"/>
    <w:rsid w:val="00C73D8E"/>
    <w:rsid w:val="00C73E9E"/>
    <w:rsid w:val="00C741B8"/>
    <w:rsid w:val="00C741B9"/>
    <w:rsid w:val="00C74283"/>
    <w:rsid w:val="00C742B7"/>
    <w:rsid w:val="00C74520"/>
    <w:rsid w:val="00C74660"/>
    <w:rsid w:val="00C74710"/>
    <w:rsid w:val="00C748CD"/>
    <w:rsid w:val="00C74CD7"/>
    <w:rsid w:val="00C74D44"/>
    <w:rsid w:val="00C75893"/>
    <w:rsid w:val="00C75C01"/>
    <w:rsid w:val="00C762F8"/>
    <w:rsid w:val="00C76542"/>
    <w:rsid w:val="00C76AC3"/>
    <w:rsid w:val="00C76DA4"/>
    <w:rsid w:val="00C76F54"/>
    <w:rsid w:val="00C77089"/>
    <w:rsid w:val="00C771B9"/>
    <w:rsid w:val="00C776B1"/>
    <w:rsid w:val="00C77835"/>
    <w:rsid w:val="00C77B04"/>
    <w:rsid w:val="00C77F32"/>
    <w:rsid w:val="00C77F38"/>
    <w:rsid w:val="00C8014F"/>
    <w:rsid w:val="00C801DC"/>
    <w:rsid w:val="00C8038D"/>
    <w:rsid w:val="00C803D0"/>
    <w:rsid w:val="00C80805"/>
    <w:rsid w:val="00C80A8A"/>
    <w:rsid w:val="00C80C07"/>
    <w:rsid w:val="00C80E57"/>
    <w:rsid w:val="00C813EE"/>
    <w:rsid w:val="00C81549"/>
    <w:rsid w:val="00C81593"/>
    <w:rsid w:val="00C816A3"/>
    <w:rsid w:val="00C816A7"/>
    <w:rsid w:val="00C81B6D"/>
    <w:rsid w:val="00C81FBB"/>
    <w:rsid w:val="00C8214E"/>
    <w:rsid w:val="00C822A0"/>
    <w:rsid w:val="00C82464"/>
    <w:rsid w:val="00C826C9"/>
    <w:rsid w:val="00C82818"/>
    <w:rsid w:val="00C829C9"/>
    <w:rsid w:val="00C82BCB"/>
    <w:rsid w:val="00C83299"/>
    <w:rsid w:val="00C8353D"/>
    <w:rsid w:val="00C83645"/>
    <w:rsid w:val="00C83BFE"/>
    <w:rsid w:val="00C840C8"/>
    <w:rsid w:val="00C841C4"/>
    <w:rsid w:val="00C84495"/>
    <w:rsid w:val="00C844AD"/>
    <w:rsid w:val="00C84817"/>
    <w:rsid w:val="00C8486D"/>
    <w:rsid w:val="00C84D55"/>
    <w:rsid w:val="00C853F9"/>
    <w:rsid w:val="00C854D3"/>
    <w:rsid w:val="00C8565F"/>
    <w:rsid w:val="00C85A7E"/>
    <w:rsid w:val="00C85B2A"/>
    <w:rsid w:val="00C85BA5"/>
    <w:rsid w:val="00C85CB4"/>
    <w:rsid w:val="00C85EB1"/>
    <w:rsid w:val="00C86071"/>
    <w:rsid w:val="00C860C6"/>
    <w:rsid w:val="00C86640"/>
    <w:rsid w:val="00C86BCF"/>
    <w:rsid w:val="00C86CCB"/>
    <w:rsid w:val="00C86D14"/>
    <w:rsid w:val="00C870AF"/>
    <w:rsid w:val="00C871B6"/>
    <w:rsid w:val="00C872AD"/>
    <w:rsid w:val="00C8754B"/>
    <w:rsid w:val="00C87802"/>
    <w:rsid w:val="00C87902"/>
    <w:rsid w:val="00C87CD0"/>
    <w:rsid w:val="00C87CD6"/>
    <w:rsid w:val="00C87FAA"/>
    <w:rsid w:val="00C900DF"/>
    <w:rsid w:val="00C9047D"/>
    <w:rsid w:val="00C904FC"/>
    <w:rsid w:val="00C90D95"/>
    <w:rsid w:val="00C910C1"/>
    <w:rsid w:val="00C911D8"/>
    <w:rsid w:val="00C9148A"/>
    <w:rsid w:val="00C91518"/>
    <w:rsid w:val="00C91655"/>
    <w:rsid w:val="00C9189A"/>
    <w:rsid w:val="00C91B23"/>
    <w:rsid w:val="00C91BF3"/>
    <w:rsid w:val="00C91C28"/>
    <w:rsid w:val="00C91C3E"/>
    <w:rsid w:val="00C92046"/>
    <w:rsid w:val="00C920C8"/>
    <w:rsid w:val="00C922B4"/>
    <w:rsid w:val="00C926B1"/>
    <w:rsid w:val="00C92C38"/>
    <w:rsid w:val="00C9327C"/>
    <w:rsid w:val="00C93436"/>
    <w:rsid w:val="00C9384A"/>
    <w:rsid w:val="00C9387E"/>
    <w:rsid w:val="00C93AC4"/>
    <w:rsid w:val="00C93C67"/>
    <w:rsid w:val="00C93D0C"/>
    <w:rsid w:val="00C9470A"/>
    <w:rsid w:val="00C94795"/>
    <w:rsid w:val="00C947A8"/>
    <w:rsid w:val="00C94BE9"/>
    <w:rsid w:val="00C950AC"/>
    <w:rsid w:val="00C951C9"/>
    <w:rsid w:val="00C95235"/>
    <w:rsid w:val="00C95335"/>
    <w:rsid w:val="00C953D5"/>
    <w:rsid w:val="00C954DC"/>
    <w:rsid w:val="00C95623"/>
    <w:rsid w:val="00C9587C"/>
    <w:rsid w:val="00C95DE9"/>
    <w:rsid w:val="00C96174"/>
    <w:rsid w:val="00C96358"/>
    <w:rsid w:val="00C963B2"/>
    <w:rsid w:val="00C96571"/>
    <w:rsid w:val="00C9693A"/>
    <w:rsid w:val="00C96C95"/>
    <w:rsid w:val="00C9749D"/>
    <w:rsid w:val="00C97588"/>
    <w:rsid w:val="00C979AD"/>
    <w:rsid w:val="00CA002E"/>
    <w:rsid w:val="00CA008A"/>
    <w:rsid w:val="00CA08F4"/>
    <w:rsid w:val="00CA0A29"/>
    <w:rsid w:val="00CA0A70"/>
    <w:rsid w:val="00CA0B68"/>
    <w:rsid w:val="00CA0E11"/>
    <w:rsid w:val="00CA1615"/>
    <w:rsid w:val="00CA165B"/>
    <w:rsid w:val="00CA182B"/>
    <w:rsid w:val="00CA192D"/>
    <w:rsid w:val="00CA22A0"/>
    <w:rsid w:val="00CA278E"/>
    <w:rsid w:val="00CA33CA"/>
    <w:rsid w:val="00CA3437"/>
    <w:rsid w:val="00CA3672"/>
    <w:rsid w:val="00CA397A"/>
    <w:rsid w:val="00CA3B7A"/>
    <w:rsid w:val="00CA3DCF"/>
    <w:rsid w:val="00CA3F53"/>
    <w:rsid w:val="00CA455C"/>
    <w:rsid w:val="00CA4912"/>
    <w:rsid w:val="00CA4955"/>
    <w:rsid w:val="00CA49CB"/>
    <w:rsid w:val="00CA4A76"/>
    <w:rsid w:val="00CA4AC8"/>
    <w:rsid w:val="00CA4BFE"/>
    <w:rsid w:val="00CA4C33"/>
    <w:rsid w:val="00CA4DEC"/>
    <w:rsid w:val="00CA5305"/>
    <w:rsid w:val="00CA53F9"/>
    <w:rsid w:val="00CA5552"/>
    <w:rsid w:val="00CA5CB4"/>
    <w:rsid w:val="00CA5FD0"/>
    <w:rsid w:val="00CA6149"/>
    <w:rsid w:val="00CA620E"/>
    <w:rsid w:val="00CA62AC"/>
    <w:rsid w:val="00CA6321"/>
    <w:rsid w:val="00CA6365"/>
    <w:rsid w:val="00CA656C"/>
    <w:rsid w:val="00CA6819"/>
    <w:rsid w:val="00CA68AC"/>
    <w:rsid w:val="00CA69E8"/>
    <w:rsid w:val="00CA6A43"/>
    <w:rsid w:val="00CA6B49"/>
    <w:rsid w:val="00CA6D19"/>
    <w:rsid w:val="00CA735C"/>
    <w:rsid w:val="00CA74FB"/>
    <w:rsid w:val="00CA7B58"/>
    <w:rsid w:val="00CA7BB9"/>
    <w:rsid w:val="00CA7C01"/>
    <w:rsid w:val="00CA7F83"/>
    <w:rsid w:val="00CB0515"/>
    <w:rsid w:val="00CB064A"/>
    <w:rsid w:val="00CB0B7C"/>
    <w:rsid w:val="00CB0C6E"/>
    <w:rsid w:val="00CB0D0B"/>
    <w:rsid w:val="00CB1175"/>
    <w:rsid w:val="00CB1234"/>
    <w:rsid w:val="00CB14D4"/>
    <w:rsid w:val="00CB14F0"/>
    <w:rsid w:val="00CB15F2"/>
    <w:rsid w:val="00CB1695"/>
    <w:rsid w:val="00CB17CF"/>
    <w:rsid w:val="00CB194F"/>
    <w:rsid w:val="00CB1A02"/>
    <w:rsid w:val="00CB1C0B"/>
    <w:rsid w:val="00CB1C53"/>
    <w:rsid w:val="00CB2556"/>
    <w:rsid w:val="00CB26D7"/>
    <w:rsid w:val="00CB290C"/>
    <w:rsid w:val="00CB297E"/>
    <w:rsid w:val="00CB2A1A"/>
    <w:rsid w:val="00CB3015"/>
    <w:rsid w:val="00CB3117"/>
    <w:rsid w:val="00CB370A"/>
    <w:rsid w:val="00CB38EC"/>
    <w:rsid w:val="00CB39F8"/>
    <w:rsid w:val="00CB39FB"/>
    <w:rsid w:val="00CB3B34"/>
    <w:rsid w:val="00CB3CC0"/>
    <w:rsid w:val="00CB3EB5"/>
    <w:rsid w:val="00CB4777"/>
    <w:rsid w:val="00CB4E03"/>
    <w:rsid w:val="00CB504F"/>
    <w:rsid w:val="00CB55A0"/>
    <w:rsid w:val="00CB590A"/>
    <w:rsid w:val="00CB5DCD"/>
    <w:rsid w:val="00CB6824"/>
    <w:rsid w:val="00CB6952"/>
    <w:rsid w:val="00CB6BFE"/>
    <w:rsid w:val="00CB6E06"/>
    <w:rsid w:val="00CB72B5"/>
    <w:rsid w:val="00CB7337"/>
    <w:rsid w:val="00CB765C"/>
    <w:rsid w:val="00CB767F"/>
    <w:rsid w:val="00CB7904"/>
    <w:rsid w:val="00CC016C"/>
    <w:rsid w:val="00CC028C"/>
    <w:rsid w:val="00CC0443"/>
    <w:rsid w:val="00CC0541"/>
    <w:rsid w:val="00CC0635"/>
    <w:rsid w:val="00CC07DE"/>
    <w:rsid w:val="00CC0E2F"/>
    <w:rsid w:val="00CC0F17"/>
    <w:rsid w:val="00CC10DE"/>
    <w:rsid w:val="00CC1859"/>
    <w:rsid w:val="00CC1A33"/>
    <w:rsid w:val="00CC1E96"/>
    <w:rsid w:val="00CC1EA2"/>
    <w:rsid w:val="00CC22AA"/>
    <w:rsid w:val="00CC2672"/>
    <w:rsid w:val="00CC26E2"/>
    <w:rsid w:val="00CC29B3"/>
    <w:rsid w:val="00CC29DB"/>
    <w:rsid w:val="00CC2ADA"/>
    <w:rsid w:val="00CC2FF7"/>
    <w:rsid w:val="00CC378D"/>
    <w:rsid w:val="00CC37C4"/>
    <w:rsid w:val="00CC37E1"/>
    <w:rsid w:val="00CC3896"/>
    <w:rsid w:val="00CC3D1D"/>
    <w:rsid w:val="00CC3D31"/>
    <w:rsid w:val="00CC3DE8"/>
    <w:rsid w:val="00CC3E14"/>
    <w:rsid w:val="00CC3F8C"/>
    <w:rsid w:val="00CC444D"/>
    <w:rsid w:val="00CC446E"/>
    <w:rsid w:val="00CC44DC"/>
    <w:rsid w:val="00CC4960"/>
    <w:rsid w:val="00CC4F51"/>
    <w:rsid w:val="00CC513B"/>
    <w:rsid w:val="00CC51EB"/>
    <w:rsid w:val="00CC5249"/>
    <w:rsid w:val="00CC5499"/>
    <w:rsid w:val="00CC559F"/>
    <w:rsid w:val="00CC5A3A"/>
    <w:rsid w:val="00CC5DD0"/>
    <w:rsid w:val="00CC61D7"/>
    <w:rsid w:val="00CC675B"/>
    <w:rsid w:val="00CC6E4C"/>
    <w:rsid w:val="00CC6EE3"/>
    <w:rsid w:val="00CC6F5F"/>
    <w:rsid w:val="00CC71D6"/>
    <w:rsid w:val="00CC7277"/>
    <w:rsid w:val="00CC7E7F"/>
    <w:rsid w:val="00CC7F39"/>
    <w:rsid w:val="00CD01FC"/>
    <w:rsid w:val="00CD085B"/>
    <w:rsid w:val="00CD09D1"/>
    <w:rsid w:val="00CD0A17"/>
    <w:rsid w:val="00CD0DEA"/>
    <w:rsid w:val="00CD11A5"/>
    <w:rsid w:val="00CD13DC"/>
    <w:rsid w:val="00CD1921"/>
    <w:rsid w:val="00CD1BF0"/>
    <w:rsid w:val="00CD25F9"/>
    <w:rsid w:val="00CD29AF"/>
    <w:rsid w:val="00CD2D92"/>
    <w:rsid w:val="00CD2ED5"/>
    <w:rsid w:val="00CD32E1"/>
    <w:rsid w:val="00CD32F1"/>
    <w:rsid w:val="00CD34EE"/>
    <w:rsid w:val="00CD35B8"/>
    <w:rsid w:val="00CD3893"/>
    <w:rsid w:val="00CD38AA"/>
    <w:rsid w:val="00CD40F9"/>
    <w:rsid w:val="00CD4220"/>
    <w:rsid w:val="00CD431E"/>
    <w:rsid w:val="00CD4706"/>
    <w:rsid w:val="00CD471F"/>
    <w:rsid w:val="00CD4744"/>
    <w:rsid w:val="00CD48F7"/>
    <w:rsid w:val="00CD498E"/>
    <w:rsid w:val="00CD4C38"/>
    <w:rsid w:val="00CD4CF0"/>
    <w:rsid w:val="00CD525E"/>
    <w:rsid w:val="00CD594F"/>
    <w:rsid w:val="00CD5C11"/>
    <w:rsid w:val="00CD5C26"/>
    <w:rsid w:val="00CD5FA2"/>
    <w:rsid w:val="00CD6033"/>
    <w:rsid w:val="00CD63D5"/>
    <w:rsid w:val="00CD649E"/>
    <w:rsid w:val="00CD713F"/>
    <w:rsid w:val="00CD72FF"/>
    <w:rsid w:val="00CD76A0"/>
    <w:rsid w:val="00CD7883"/>
    <w:rsid w:val="00CD7B47"/>
    <w:rsid w:val="00CD7BD7"/>
    <w:rsid w:val="00CD7C6D"/>
    <w:rsid w:val="00CD7C76"/>
    <w:rsid w:val="00CD7D8E"/>
    <w:rsid w:val="00CE0185"/>
    <w:rsid w:val="00CE03B3"/>
    <w:rsid w:val="00CE0686"/>
    <w:rsid w:val="00CE097B"/>
    <w:rsid w:val="00CE0AAA"/>
    <w:rsid w:val="00CE0E60"/>
    <w:rsid w:val="00CE12E4"/>
    <w:rsid w:val="00CE1702"/>
    <w:rsid w:val="00CE19F8"/>
    <w:rsid w:val="00CE2015"/>
    <w:rsid w:val="00CE21A0"/>
    <w:rsid w:val="00CE232C"/>
    <w:rsid w:val="00CE23AA"/>
    <w:rsid w:val="00CE241E"/>
    <w:rsid w:val="00CE2565"/>
    <w:rsid w:val="00CE2C09"/>
    <w:rsid w:val="00CE2C3E"/>
    <w:rsid w:val="00CE2D70"/>
    <w:rsid w:val="00CE304D"/>
    <w:rsid w:val="00CE32DF"/>
    <w:rsid w:val="00CE3982"/>
    <w:rsid w:val="00CE3A04"/>
    <w:rsid w:val="00CE3B75"/>
    <w:rsid w:val="00CE3E9E"/>
    <w:rsid w:val="00CE3FE4"/>
    <w:rsid w:val="00CE43BE"/>
    <w:rsid w:val="00CE48D4"/>
    <w:rsid w:val="00CE4977"/>
    <w:rsid w:val="00CE4C30"/>
    <w:rsid w:val="00CE4FAF"/>
    <w:rsid w:val="00CE5335"/>
    <w:rsid w:val="00CE5432"/>
    <w:rsid w:val="00CE551A"/>
    <w:rsid w:val="00CE56D5"/>
    <w:rsid w:val="00CE6014"/>
    <w:rsid w:val="00CE657C"/>
    <w:rsid w:val="00CE6B4F"/>
    <w:rsid w:val="00CE6C89"/>
    <w:rsid w:val="00CE6E9D"/>
    <w:rsid w:val="00CE6ECC"/>
    <w:rsid w:val="00CE718B"/>
    <w:rsid w:val="00CE7304"/>
    <w:rsid w:val="00CE7672"/>
    <w:rsid w:val="00CE76F6"/>
    <w:rsid w:val="00CE78EA"/>
    <w:rsid w:val="00CE7BC5"/>
    <w:rsid w:val="00CE7EA4"/>
    <w:rsid w:val="00CE7EB7"/>
    <w:rsid w:val="00CF0047"/>
    <w:rsid w:val="00CF0679"/>
    <w:rsid w:val="00CF0B8F"/>
    <w:rsid w:val="00CF0B94"/>
    <w:rsid w:val="00CF0BF3"/>
    <w:rsid w:val="00CF0FA6"/>
    <w:rsid w:val="00CF1424"/>
    <w:rsid w:val="00CF16AF"/>
    <w:rsid w:val="00CF1A35"/>
    <w:rsid w:val="00CF1CB9"/>
    <w:rsid w:val="00CF2142"/>
    <w:rsid w:val="00CF22D5"/>
    <w:rsid w:val="00CF289E"/>
    <w:rsid w:val="00CF2902"/>
    <w:rsid w:val="00CF2A63"/>
    <w:rsid w:val="00CF2AD4"/>
    <w:rsid w:val="00CF2EF5"/>
    <w:rsid w:val="00CF3034"/>
    <w:rsid w:val="00CF309D"/>
    <w:rsid w:val="00CF3170"/>
    <w:rsid w:val="00CF3339"/>
    <w:rsid w:val="00CF39F3"/>
    <w:rsid w:val="00CF3A38"/>
    <w:rsid w:val="00CF3F87"/>
    <w:rsid w:val="00CF3F99"/>
    <w:rsid w:val="00CF4496"/>
    <w:rsid w:val="00CF4A0B"/>
    <w:rsid w:val="00CF4E5A"/>
    <w:rsid w:val="00CF4E7E"/>
    <w:rsid w:val="00CF4EB0"/>
    <w:rsid w:val="00CF4F7B"/>
    <w:rsid w:val="00CF51AA"/>
    <w:rsid w:val="00CF520F"/>
    <w:rsid w:val="00CF524F"/>
    <w:rsid w:val="00CF551F"/>
    <w:rsid w:val="00CF5E63"/>
    <w:rsid w:val="00CF6080"/>
    <w:rsid w:val="00CF6203"/>
    <w:rsid w:val="00CF63E7"/>
    <w:rsid w:val="00CF6F2D"/>
    <w:rsid w:val="00CF7030"/>
    <w:rsid w:val="00CF72C9"/>
    <w:rsid w:val="00CF7331"/>
    <w:rsid w:val="00CF74B8"/>
    <w:rsid w:val="00CF7A78"/>
    <w:rsid w:val="00D00083"/>
    <w:rsid w:val="00D00157"/>
    <w:rsid w:val="00D00209"/>
    <w:rsid w:val="00D01412"/>
    <w:rsid w:val="00D01635"/>
    <w:rsid w:val="00D01765"/>
    <w:rsid w:val="00D0195B"/>
    <w:rsid w:val="00D0196A"/>
    <w:rsid w:val="00D0197C"/>
    <w:rsid w:val="00D01A21"/>
    <w:rsid w:val="00D01C51"/>
    <w:rsid w:val="00D021D4"/>
    <w:rsid w:val="00D021E9"/>
    <w:rsid w:val="00D021F4"/>
    <w:rsid w:val="00D025A9"/>
    <w:rsid w:val="00D02826"/>
    <w:rsid w:val="00D02B12"/>
    <w:rsid w:val="00D02B70"/>
    <w:rsid w:val="00D02BA6"/>
    <w:rsid w:val="00D02BCC"/>
    <w:rsid w:val="00D02D3D"/>
    <w:rsid w:val="00D030AB"/>
    <w:rsid w:val="00D03336"/>
    <w:rsid w:val="00D03401"/>
    <w:rsid w:val="00D0350F"/>
    <w:rsid w:val="00D036EF"/>
    <w:rsid w:val="00D03914"/>
    <w:rsid w:val="00D039A3"/>
    <w:rsid w:val="00D045C0"/>
    <w:rsid w:val="00D04E8B"/>
    <w:rsid w:val="00D0559D"/>
    <w:rsid w:val="00D055BA"/>
    <w:rsid w:val="00D05655"/>
    <w:rsid w:val="00D05882"/>
    <w:rsid w:val="00D05A78"/>
    <w:rsid w:val="00D05B12"/>
    <w:rsid w:val="00D05BA2"/>
    <w:rsid w:val="00D05C18"/>
    <w:rsid w:val="00D05C8B"/>
    <w:rsid w:val="00D05CB3"/>
    <w:rsid w:val="00D05E43"/>
    <w:rsid w:val="00D0626F"/>
    <w:rsid w:val="00D0649C"/>
    <w:rsid w:val="00D0658F"/>
    <w:rsid w:val="00D068A4"/>
    <w:rsid w:val="00D06CF5"/>
    <w:rsid w:val="00D06D14"/>
    <w:rsid w:val="00D06D59"/>
    <w:rsid w:val="00D071FB"/>
    <w:rsid w:val="00D07464"/>
    <w:rsid w:val="00D0747B"/>
    <w:rsid w:val="00D0750F"/>
    <w:rsid w:val="00D07699"/>
    <w:rsid w:val="00D07D6F"/>
    <w:rsid w:val="00D1001A"/>
    <w:rsid w:val="00D10416"/>
    <w:rsid w:val="00D10637"/>
    <w:rsid w:val="00D10B96"/>
    <w:rsid w:val="00D11131"/>
    <w:rsid w:val="00D112B8"/>
    <w:rsid w:val="00D114AB"/>
    <w:rsid w:val="00D114CB"/>
    <w:rsid w:val="00D11603"/>
    <w:rsid w:val="00D116E4"/>
    <w:rsid w:val="00D11A12"/>
    <w:rsid w:val="00D1209E"/>
    <w:rsid w:val="00D120EF"/>
    <w:rsid w:val="00D12115"/>
    <w:rsid w:val="00D12238"/>
    <w:rsid w:val="00D12431"/>
    <w:rsid w:val="00D12801"/>
    <w:rsid w:val="00D12DF9"/>
    <w:rsid w:val="00D131A8"/>
    <w:rsid w:val="00D134AE"/>
    <w:rsid w:val="00D134E0"/>
    <w:rsid w:val="00D1356F"/>
    <w:rsid w:val="00D1366D"/>
    <w:rsid w:val="00D13BD0"/>
    <w:rsid w:val="00D149C9"/>
    <w:rsid w:val="00D14CD3"/>
    <w:rsid w:val="00D14E99"/>
    <w:rsid w:val="00D1516E"/>
    <w:rsid w:val="00D1517F"/>
    <w:rsid w:val="00D151A1"/>
    <w:rsid w:val="00D1556F"/>
    <w:rsid w:val="00D15AFD"/>
    <w:rsid w:val="00D15B4A"/>
    <w:rsid w:val="00D15BCD"/>
    <w:rsid w:val="00D15EFA"/>
    <w:rsid w:val="00D1603F"/>
    <w:rsid w:val="00D161E6"/>
    <w:rsid w:val="00D1647F"/>
    <w:rsid w:val="00D1666B"/>
    <w:rsid w:val="00D168B7"/>
    <w:rsid w:val="00D168F7"/>
    <w:rsid w:val="00D16A83"/>
    <w:rsid w:val="00D16CAB"/>
    <w:rsid w:val="00D16EF8"/>
    <w:rsid w:val="00D17067"/>
    <w:rsid w:val="00D170A8"/>
    <w:rsid w:val="00D17145"/>
    <w:rsid w:val="00D171F6"/>
    <w:rsid w:val="00D17299"/>
    <w:rsid w:val="00D1743C"/>
    <w:rsid w:val="00D1782D"/>
    <w:rsid w:val="00D17B4C"/>
    <w:rsid w:val="00D17C0F"/>
    <w:rsid w:val="00D17C65"/>
    <w:rsid w:val="00D2033C"/>
    <w:rsid w:val="00D2068D"/>
    <w:rsid w:val="00D20D05"/>
    <w:rsid w:val="00D20D80"/>
    <w:rsid w:val="00D210DE"/>
    <w:rsid w:val="00D21162"/>
    <w:rsid w:val="00D211EF"/>
    <w:rsid w:val="00D21269"/>
    <w:rsid w:val="00D21406"/>
    <w:rsid w:val="00D2191E"/>
    <w:rsid w:val="00D21DDD"/>
    <w:rsid w:val="00D22024"/>
    <w:rsid w:val="00D22150"/>
    <w:rsid w:val="00D222A0"/>
    <w:rsid w:val="00D2270F"/>
    <w:rsid w:val="00D227D6"/>
    <w:rsid w:val="00D228E1"/>
    <w:rsid w:val="00D22C23"/>
    <w:rsid w:val="00D22FCF"/>
    <w:rsid w:val="00D23236"/>
    <w:rsid w:val="00D2323F"/>
    <w:rsid w:val="00D232F9"/>
    <w:rsid w:val="00D2348A"/>
    <w:rsid w:val="00D235D1"/>
    <w:rsid w:val="00D235F3"/>
    <w:rsid w:val="00D23AAD"/>
    <w:rsid w:val="00D2418D"/>
    <w:rsid w:val="00D243AB"/>
    <w:rsid w:val="00D243B6"/>
    <w:rsid w:val="00D24687"/>
    <w:rsid w:val="00D2470A"/>
    <w:rsid w:val="00D250C6"/>
    <w:rsid w:val="00D25812"/>
    <w:rsid w:val="00D25C9E"/>
    <w:rsid w:val="00D25DDD"/>
    <w:rsid w:val="00D2606B"/>
    <w:rsid w:val="00D260FD"/>
    <w:rsid w:val="00D262A1"/>
    <w:rsid w:val="00D26821"/>
    <w:rsid w:val="00D2697A"/>
    <w:rsid w:val="00D2697D"/>
    <w:rsid w:val="00D26A30"/>
    <w:rsid w:val="00D26B12"/>
    <w:rsid w:val="00D26C92"/>
    <w:rsid w:val="00D27760"/>
    <w:rsid w:val="00D2793B"/>
    <w:rsid w:val="00D27A77"/>
    <w:rsid w:val="00D27A9A"/>
    <w:rsid w:val="00D27B37"/>
    <w:rsid w:val="00D308D9"/>
    <w:rsid w:val="00D30A73"/>
    <w:rsid w:val="00D30A7B"/>
    <w:rsid w:val="00D30AD4"/>
    <w:rsid w:val="00D30C81"/>
    <w:rsid w:val="00D31157"/>
    <w:rsid w:val="00D31233"/>
    <w:rsid w:val="00D317EC"/>
    <w:rsid w:val="00D31D41"/>
    <w:rsid w:val="00D31DC5"/>
    <w:rsid w:val="00D3243E"/>
    <w:rsid w:val="00D32A9A"/>
    <w:rsid w:val="00D3327A"/>
    <w:rsid w:val="00D337A9"/>
    <w:rsid w:val="00D338E7"/>
    <w:rsid w:val="00D339BB"/>
    <w:rsid w:val="00D33AB0"/>
    <w:rsid w:val="00D33CD7"/>
    <w:rsid w:val="00D33D18"/>
    <w:rsid w:val="00D343C3"/>
    <w:rsid w:val="00D343E7"/>
    <w:rsid w:val="00D343F7"/>
    <w:rsid w:val="00D34BB0"/>
    <w:rsid w:val="00D34FE8"/>
    <w:rsid w:val="00D354CE"/>
    <w:rsid w:val="00D35618"/>
    <w:rsid w:val="00D35914"/>
    <w:rsid w:val="00D35FCA"/>
    <w:rsid w:val="00D36138"/>
    <w:rsid w:val="00D36277"/>
    <w:rsid w:val="00D3676C"/>
    <w:rsid w:val="00D36C07"/>
    <w:rsid w:val="00D36D7C"/>
    <w:rsid w:val="00D36F2F"/>
    <w:rsid w:val="00D3703F"/>
    <w:rsid w:val="00D37108"/>
    <w:rsid w:val="00D37298"/>
    <w:rsid w:val="00D37342"/>
    <w:rsid w:val="00D37878"/>
    <w:rsid w:val="00D37BDB"/>
    <w:rsid w:val="00D37E65"/>
    <w:rsid w:val="00D40456"/>
    <w:rsid w:val="00D4045D"/>
    <w:rsid w:val="00D40B02"/>
    <w:rsid w:val="00D40BEA"/>
    <w:rsid w:val="00D40BF8"/>
    <w:rsid w:val="00D40D4A"/>
    <w:rsid w:val="00D40D64"/>
    <w:rsid w:val="00D40DEF"/>
    <w:rsid w:val="00D41033"/>
    <w:rsid w:val="00D4148F"/>
    <w:rsid w:val="00D414C3"/>
    <w:rsid w:val="00D41566"/>
    <w:rsid w:val="00D41AF5"/>
    <w:rsid w:val="00D41C7F"/>
    <w:rsid w:val="00D4231C"/>
    <w:rsid w:val="00D42382"/>
    <w:rsid w:val="00D426D2"/>
    <w:rsid w:val="00D426FB"/>
    <w:rsid w:val="00D42799"/>
    <w:rsid w:val="00D429DB"/>
    <w:rsid w:val="00D42A52"/>
    <w:rsid w:val="00D42BE9"/>
    <w:rsid w:val="00D431B5"/>
    <w:rsid w:val="00D4325C"/>
    <w:rsid w:val="00D438B7"/>
    <w:rsid w:val="00D43A78"/>
    <w:rsid w:val="00D43C9C"/>
    <w:rsid w:val="00D43D5B"/>
    <w:rsid w:val="00D43EB3"/>
    <w:rsid w:val="00D44008"/>
    <w:rsid w:val="00D44480"/>
    <w:rsid w:val="00D44505"/>
    <w:rsid w:val="00D44563"/>
    <w:rsid w:val="00D44A12"/>
    <w:rsid w:val="00D44C3B"/>
    <w:rsid w:val="00D44D30"/>
    <w:rsid w:val="00D44F48"/>
    <w:rsid w:val="00D450CB"/>
    <w:rsid w:val="00D45357"/>
    <w:rsid w:val="00D453B4"/>
    <w:rsid w:val="00D45475"/>
    <w:rsid w:val="00D456B1"/>
    <w:rsid w:val="00D4570A"/>
    <w:rsid w:val="00D45B2A"/>
    <w:rsid w:val="00D45B55"/>
    <w:rsid w:val="00D45BC7"/>
    <w:rsid w:val="00D45F42"/>
    <w:rsid w:val="00D45FA7"/>
    <w:rsid w:val="00D46118"/>
    <w:rsid w:val="00D4635C"/>
    <w:rsid w:val="00D46606"/>
    <w:rsid w:val="00D4664D"/>
    <w:rsid w:val="00D46E76"/>
    <w:rsid w:val="00D472A5"/>
    <w:rsid w:val="00D47368"/>
    <w:rsid w:val="00D475FD"/>
    <w:rsid w:val="00D47875"/>
    <w:rsid w:val="00D47A12"/>
    <w:rsid w:val="00D47A1E"/>
    <w:rsid w:val="00D47BC4"/>
    <w:rsid w:val="00D47C9F"/>
    <w:rsid w:val="00D47DA9"/>
    <w:rsid w:val="00D5009D"/>
    <w:rsid w:val="00D50260"/>
    <w:rsid w:val="00D5047A"/>
    <w:rsid w:val="00D505D7"/>
    <w:rsid w:val="00D5066B"/>
    <w:rsid w:val="00D5088A"/>
    <w:rsid w:val="00D50BC6"/>
    <w:rsid w:val="00D5106C"/>
    <w:rsid w:val="00D51300"/>
    <w:rsid w:val="00D51673"/>
    <w:rsid w:val="00D51C74"/>
    <w:rsid w:val="00D5242D"/>
    <w:rsid w:val="00D5258F"/>
    <w:rsid w:val="00D527C7"/>
    <w:rsid w:val="00D52B69"/>
    <w:rsid w:val="00D52D46"/>
    <w:rsid w:val="00D532BE"/>
    <w:rsid w:val="00D533F0"/>
    <w:rsid w:val="00D538BB"/>
    <w:rsid w:val="00D53A60"/>
    <w:rsid w:val="00D53D00"/>
    <w:rsid w:val="00D53E50"/>
    <w:rsid w:val="00D5418C"/>
    <w:rsid w:val="00D54329"/>
    <w:rsid w:val="00D545B6"/>
    <w:rsid w:val="00D556A3"/>
    <w:rsid w:val="00D55A3D"/>
    <w:rsid w:val="00D55EDF"/>
    <w:rsid w:val="00D56541"/>
    <w:rsid w:val="00D567C5"/>
    <w:rsid w:val="00D569EC"/>
    <w:rsid w:val="00D56A52"/>
    <w:rsid w:val="00D56B22"/>
    <w:rsid w:val="00D5752B"/>
    <w:rsid w:val="00D576C6"/>
    <w:rsid w:val="00D5797B"/>
    <w:rsid w:val="00D579D9"/>
    <w:rsid w:val="00D57DEA"/>
    <w:rsid w:val="00D603B3"/>
    <w:rsid w:val="00D60465"/>
    <w:rsid w:val="00D6084F"/>
    <w:rsid w:val="00D6096A"/>
    <w:rsid w:val="00D60BD1"/>
    <w:rsid w:val="00D60F4C"/>
    <w:rsid w:val="00D612BD"/>
    <w:rsid w:val="00D614A5"/>
    <w:rsid w:val="00D61500"/>
    <w:rsid w:val="00D61624"/>
    <w:rsid w:val="00D61697"/>
    <w:rsid w:val="00D61B72"/>
    <w:rsid w:val="00D61E63"/>
    <w:rsid w:val="00D6208A"/>
    <w:rsid w:val="00D621E2"/>
    <w:rsid w:val="00D622AE"/>
    <w:rsid w:val="00D622EF"/>
    <w:rsid w:val="00D6256A"/>
    <w:rsid w:val="00D62810"/>
    <w:rsid w:val="00D62924"/>
    <w:rsid w:val="00D629D6"/>
    <w:rsid w:val="00D62BDF"/>
    <w:rsid w:val="00D62D1C"/>
    <w:rsid w:val="00D62F48"/>
    <w:rsid w:val="00D6308D"/>
    <w:rsid w:val="00D6332B"/>
    <w:rsid w:val="00D634D9"/>
    <w:rsid w:val="00D63BC1"/>
    <w:rsid w:val="00D643D9"/>
    <w:rsid w:val="00D64870"/>
    <w:rsid w:val="00D6492D"/>
    <w:rsid w:val="00D64BB2"/>
    <w:rsid w:val="00D64BC5"/>
    <w:rsid w:val="00D653D7"/>
    <w:rsid w:val="00D655B8"/>
    <w:rsid w:val="00D656AC"/>
    <w:rsid w:val="00D65AE4"/>
    <w:rsid w:val="00D65C29"/>
    <w:rsid w:val="00D65F53"/>
    <w:rsid w:val="00D66301"/>
    <w:rsid w:val="00D66BB0"/>
    <w:rsid w:val="00D66CF7"/>
    <w:rsid w:val="00D67027"/>
    <w:rsid w:val="00D6783A"/>
    <w:rsid w:val="00D67840"/>
    <w:rsid w:val="00D6787A"/>
    <w:rsid w:val="00D678EB"/>
    <w:rsid w:val="00D67E3B"/>
    <w:rsid w:val="00D67F4F"/>
    <w:rsid w:val="00D7005B"/>
    <w:rsid w:val="00D702CA"/>
    <w:rsid w:val="00D70406"/>
    <w:rsid w:val="00D704B0"/>
    <w:rsid w:val="00D704DC"/>
    <w:rsid w:val="00D70537"/>
    <w:rsid w:val="00D70596"/>
    <w:rsid w:val="00D707D9"/>
    <w:rsid w:val="00D70F31"/>
    <w:rsid w:val="00D7109E"/>
    <w:rsid w:val="00D7109F"/>
    <w:rsid w:val="00D711FC"/>
    <w:rsid w:val="00D716EB"/>
    <w:rsid w:val="00D71856"/>
    <w:rsid w:val="00D71B76"/>
    <w:rsid w:val="00D71BF1"/>
    <w:rsid w:val="00D71C12"/>
    <w:rsid w:val="00D71EF2"/>
    <w:rsid w:val="00D7210D"/>
    <w:rsid w:val="00D7218E"/>
    <w:rsid w:val="00D72204"/>
    <w:rsid w:val="00D72490"/>
    <w:rsid w:val="00D725D7"/>
    <w:rsid w:val="00D727F7"/>
    <w:rsid w:val="00D72894"/>
    <w:rsid w:val="00D72AA3"/>
    <w:rsid w:val="00D73195"/>
    <w:rsid w:val="00D73220"/>
    <w:rsid w:val="00D733BE"/>
    <w:rsid w:val="00D73566"/>
    <w:rsid w:val="00D73641"/>
    <w:rsid w:val="00D73671"/>
    <w:rsid w:val="00D7393A"/>
    <w:rsid w:val="00D73A60"/>
    <w:rsid w:val="00D73A99"/>
    <w:rsid w:val="00D73D48"/>
    <w:rsid w:val="00D73DCB"/>
    <w:rsid w:val="00D73E9A"/>
    <w:rsid w:val="00D74031"/>
    <w:rsid w:val="00D74043"/>
    <w:rsid w:val="00D740F3"/>
    <w:rsid w:val="00D74237"/>
    <w:rsid w:val="00D74DFC"/>
    <w:rsid w:val="00D74EB2"/>
    <w:rsid w:val="00D75A9D"/>
    <w:rsid w:val="00D76052"/>
    <w:rsid w:val="00D760F9"/>
    <w:rsid w:val="00D7611F"/>
    <w:rsid w:val="00D761D5"/>
    <w:rsid w:val="00D7637B"/>
    <w:rsid w:val="00D76755"/>
    <w:rsid w:val="00D76894"/>
    <w:rsid w:val="00D76C9C"/>
    <w:rsid w:val="00D770EB"/>
    <w:rsid w:val="00D772B2"/>
    <w:rsid w:val="00D77370"/>
    <w:rsid w:val="00D77563"/>
    <w:rsid w:val="00D7759D"/>
    <w:rsid w:val="00D775E8"/>
    <w:rsid w:val="00D776FE"/>
    <w:rsid w:val="00D779FC"/>
    <w:rsid w:val="00D77A19"/>
    <w:rsid w:val="00D77D18"/>
    <w:rsid w:val="00D77D75"/>
    <w:rsid w:val="00D80030"/>
    <w:rsid w:val="00D80036"/>
    <w:rsid w:val="00D804BC"/>
    <w:rsid w:val="00D807BF"/>
    <w:rsid w:val="00D809B2"/>
    <w:rsid w:val="00D81357"/>
    <w:rsid w:val="00D81974"/>
    <w:rsid w:val="00D81A5B"/>
    <w:rsid w:val="00D81AA6"/>
    <w:rsid w:val="00D81B7B"/>
    <w:rsid w:val="00D81C0C"/>
    <w:rsid w:val="00D82515"/>
    <w:rsid w:val="00D8263B"/>
    <w:rsid w:val="00D8296B"/>
    <w:rsid w:val="00D82C91"/>
    <w:rsid w:val="00D82D84"/>
    <w:rsid w:val="00D83014"/>
    <w:rsid w:val="00D8310F"/>
    <w:rsid w:val="00D8320E"/>
    <w:rsid w:val="00D8346F"/>
    <w:rsid w:val="00D8348A"/>
    <w:rsid w:val="00D834DE"/>
    <w:rsid w:val="00D8353D"/>
    <w:rsid w:val="00D8363F"/>
    <w:rsid w:val="00D836D1"/>
    <w:rsid w:val="00D83700"/>
    <w:rsid w:val="00D83712"/>
    <w:rsid w:val="00D83DDE"/>
    <w:rsid w:val="00D83EBB"/>
    <w:rsid w:val="00D83ED8"/>
    <w:rsid w:val="00D84799"/>
    <w:rsid w:val="00D848B1"/>
    <w:rsid w:val="00D848DE"/>
    <w:rsid w:val="00D84EA3"/>
    <w:rsid w:val="00D84FB8"/>
    <w:rsid w:val="00D8523C"/>
    <w:rsid w:val="00D8612F"/>
    <w:rsid w:val="00D86352"/>
    <w:rsid w:val="00D867A6"/>
    <w:rsid w:val="00D86904"/>
    <w:rsid w:val="00D86ADE"/>
    <w:rsid w:val="00D86B2E"/>
    <w:rsid w:val="00D86C55"/>
    <w:rsid w:val="00D86E73"/>
    <w:rsid w:val="00D878C8"/>
    <w:rsid w:val="00D879E4"/>
    <w:rsid w:val="00D87E27"/>
    <w:rsid w:val="00D90681"/>
    <w:rsid w:val="00D906D7"/>
    <w:rsid w:val="00D91159"/>
    <w:rsid w:val="00D9163A"/>
    <w:rsid w:val="00D91B9D"/>
    <w:rsid w:val="00D91C0D"/>
    <w:rsid w:val="00D91CCD"/>
    <w:rsid w:val="00D91D87"/>
    <w:rsid w:val="00D92D95"/>
    <w:rsid w:val="00D92EB0"/>
    <w:rsid w:val="00D93006"/>
    <w:rsid w:val="00D9332F"/>
    <w:rsid w:val="00D933FF"/>
    <w:rsid w:val="00D934B1"/>
    <w:rsid w:val="00D937FA"/>
    <w:rsid w:val="00D93883"/>
    <w:rsid w:val="00D939CB"/>
    <w:rsid w:val="00D93A65"/>
    <w:rsid w:val="00D93BD9"/>
    <w:rsid w:val="00D944F1"/>
    <w:rsid w:val="00D9454E"/>
    <w:rsid w:val="00D9473D"/>
    <w:rsid w:val="00D94938"/>
    <w:rsid w:val="00D94DF1"/>
    <w:rsid w:val="00D94E59"/>
    <w:rsid w:val="00D94F9E"/>
    <w:rsid w:val="00D9526D"/>
    <w:rsid w:val="00D9573A"/>
    <w:rsid w:val="00D957FA"/>
    <w:rsid w:val="00D9588D"/>
    <w:rsid w:val="00D959E0"/>
    <w:rsid w:val="00D95A14"/>
    <w:rsid w:val="00D95A66"/>
    <w:rsid w:val="00D95A76"/>
    <w:rsid w:val="00D95AF6"/>
    <w:rsid w:val="00D95BD9"/>
    <w:rsid w:val="00D961C8"/>
    <w:rsid w:val="00D96B3D"/>
    <w:rsid w:val="00D96F56"/>
    <w:rsid w:val="00D97059"/>
    <w:rsid w:val="00D971DD"/>
    <w:rsid w:val="00D97368"/>
    <w:rsid w:val="00D97615"/>
    <w:rsid w:val="00D9766A"/>
    <w:rsid w:val="00D9766B"/>
    <w:rsid w:val="00D978C5"/>
    <w:rsid w:val="00D9795F"/>
    <w:rsid w:val="00D97B67"/>
    <w:rsid w:val="00D97BFE"/>
    <w:rsid w:val="00D97DC8"/>
    <w:rsid w:val="00D97DEF"/>
    <w:rsid w:val="00D97F22"/>
    <w:rsid w:val="00DA08A9"/>
    <w:rsid w:val="00DA08CC"/>
    <w:rsid w:val="00DA12C1"/>
    <w:rsid w:val="00DA15C2"/>
    <w:rsid w:val="00DA1D8C"/>
    <w:rsid w:val="00DA2248"/>
    <w:rsid w:val="00DA2392"/>
    <w:rsid w:val="00DA2759"/>
    <w:rsid w:val="00DA293D"/>
    <w:rsid w:val="00DA2F5B"/>
    <w:rsid w:val="00DA31CB"/>
    <w:rsid w:val="00DA31F0"/>
    <w:rsid w:val="00DA333E"/>
    <w:rsid w:val="00DA3355"/>
    <w:rsid w:val="00DA35F6"/>
    <w:rsid w:val="00DA3769"/>
    <w:rsid w:val="00DA3878"/>
    <w:rsid w:val="00DA39E5"/>
    <w:rsid w:val="00DA3BB7"/>
    <w:rsid w:val="00DA412A"/>
    <w:rsid w:val="00DA42AC"/>
    <w:rsid w:val="00DA4515"/>
    <w:rsid w:val="00DA4705"/>
    <w:rsid w:val="00DA47FA"/>
    <w:rsid w:val="00DA48C7"/>
    <w:rsid w:val="00DA4CE4"/>
    <w:rsid w:val="00DA4EA6"/>
    <w:rsid w:val="00DA4FCA"/>
    <w:rsid w:val="00DA50F1"/>
    <w:rsid w:val="00DA52BD"/>
    <w:rsid w:val="00DA52F5"/>
    <w:rsid w:val="00DA5360"/>
    <w:rsid w:val="00DA5BCE"/>
    <w:rsid w:val="00DA5D77"/>
    <w:rsid w:val="00DA62FC"/>
    <w:rsid w:val="00DA6802"/>
    <w:rsid w:val="00DA6D95"/>
    <w:rsid w:val="00DA6E62"/>
    <w:rsid w:val="00DA7061"/>
    <w:rsid w:val="00DA78E2"/>
    <w:rsid w:val="00DA78ED"/>
    <w:rsid w:val="00DA7940"/>
    <w:rsid w:val="00DA7A46"/>
    <w:rsid w:val="00DA7CCE"/>
    <w:rsid w:val="00DA7ED9"/>
    <w:rsid w:val="00DA7F17"/>
    <w:rsid w:val="00DA7F30"/>
    <w:rsid w:val="00DB0236"/>
    <w:rsid w:val="00DB07FC"/>
    <w:rsid w:val="00DB0A98"/>
    <w:rsid w:val="00DB0B76"/>
    <w:rsid w:val="00DB0B8D"/>
    <w:rsid w:val="00DB0DAC"/>
    <w:rsid w:val="00DB11BD"/>
    <w:rsid w:val="00DB1410"/>
    <w:rsid w:val="00DB1486"/>
    <w:rsid w:val="00DB151D"/>
    <w:rsid w:val="00DB174F"/>
    <w:rsid w:val="00DB17C7"/>
    <w:rsid w:val="00DB1A80"/>
    <w:rsid w:val="00DB1DE4"/>
    <w:rsid w:val="00DB1F0A"/>
    <w:rsid w:val="00DB20CB"/>
    <w:rsid w:val="00DB2382"/>
    <w:rsid w:val="00DB2425"/>
    <w:rsid w:val="00DB3052"/>
    <w:rsid w:val="00DB30F6"/>
    <w:rsid w:val="00DB3237"/>
    <w:rsid w:val="00DB3495"/>
    <w:rsid w:val="00DB383E"/>
    <w:rsid w:val="00DB39D2"/>
    <w:rsid w:val="00DB414D"/>
    <w:rsid w:val="00DB4461"/>
    <w:rsid w:val="00DB450A"/>
    <w:rsid w:val="00DB47C9"/>
    <w:rsid w:val="00DB4870"/>
    <w:rsid w:val="00DB50F3"/>
    <w:rsid w:val="00DB52A6"/>
    <w:rsid w:val="00DB58C5"/>
    <w:rsid w:val="00DB5D6C"/>
    <w:rsid w:val="00DB60DE"/>
    <w:rsid w:val="00DB6191"/>
    <w:rsid w:val="00DB65DC"/>
    <w:rsid w:val="00DB6C17"/>
    <w:rsid w:val="00DB72A2"/>
    <w:rsid w:val="00DB7398"/>
    <w:rsid w:val="00DB7523"/>
    <w:rsid w:val="00DB7860"/>
    <w:rsid w:val="00DB7B1D"/>
    <w:rsid w:val="00DB7CA6"/>
    <w:rsid w:val="00DB7EBF"/>
    <w:rsid w:val="00DC020C"/>
    <w:rsid w:val="00DC061F"/>
    <w:rsid w:val="00DC07BB"/>
    <w:rsid w:val="00DC0B2C"/>
    <w:rsid w:val="00DC0C19"/>
    <w:rsid w:val="00DC1002"/>
    <w:rsid w:val="00DC160B"/>
    <w:rsid w:val="00DC1A67"/>
    <w:rsid w:val="00DC1A96"/>
    <w:rsid w:val="00DC1EE0"/>
    <w:rsid w:val="00DC21DA"/>
    <w:rsid w:val="00DC2A97"/>
    <w:rsid w:val="00DC2BF1"/>
    <w:rsid w:val="00DC2C92"/>
    <w:rsid w:val="00DC2E37"/>
    <w:rsid w:val="00DC303B"/>
    <w:rsid w:val="00DC31BA"/>
    <w:rsid w:val="00DC33D4"/>
    <w:rsid w:val="00DC38AB"/>
    <w:rsid w:val="00DC3FC0"/>
    <w:rsid w:val="00DC4158"/>
    <w:rsid w:val="00DC4616"/>
    <w:rsid w:val="00DC47DE"/>
    <w:rsid w:val="00DC499B"/>
    <w:rsid w:val="00DC4D0E"/>
    <w:rsid w:val="00DC5020"/>
    <w:rsid w:val="00DC563E"/>
    <w:rsid w:val="00DC572E"/>
    <w:rsid w:val="00DC58D5"/>
    <w:rsid w:val="00DC63A4"/>
    <w:rsid w:val="00DC6991"/>
    <w:rsid w:val="00DC69FC"/>
    <w:rsid w:val="00DC6A73"/>
    <w:rsid w:val="00DC6A86"/>
    <w:rsid w:val="00DC6D3B"/>
    <w:rsid w:val="00DC6FF6"/>
    <w:rsid w:val="00DC718D"/>
    <w:rsid w:val="00DC71A9"/>
    <w:rsid w:val="00DC7215"/>
    <w:rsid w:val="00DC7294"/>
    <w:rsid w:val="00DC7553"/>
    <w:rsid w:val="00DC75C4"/>
    <w:rsid w:val="00DC7B49"/>
    <w:rsid w:val="00DC7C85"/>
    <w:rsid w:val="00DD004F"/>
    <w:rsid w:val="00DD00CC"/>
    <w:rsid w:val="00DD0106"/>
    <w:rsid w:val="00DD046A"/>
    <w:rsid w:val="00DD064D"/>
    <w:rsid w:val="00DD0AAF"/>
    <w:rsid w:val="00DD0AF2"/>
    <w:rsid w:val="00DD0B50"/>
    <w:rsid w:val="00DD0D8E"/>
    <w:rsid w:val="00DD1187"/>
    <w:rsid w:val="00DD1193"/>
    <w:rsid w:val="00DD1478"/>
    <w:rsid w:val="00DD18B1"/>
    <w:rsid w:val="00DD1A28"/>
    <w:rsid w:val="00DD2352"/>
    <w:rsid w:val="00DD236D"/>
    <w:rsid w:val="00DD2607"/>
    <w:rsid w:val="00DD29C1"/>
    <w:rsid w:val="00DD2B71"/>
    <w:rsid w:val="00DD2E8E"/>
    <w:rsid w:val="00DD2F08"/>
    <w:rsid w:val="00DD2FD1"/>
    <w:rsid w:val="00DD3423"/>
    <w:rsid w:val="00DD35E3"/>
    <w:rsid w:val="00DD3C72"/>
    <w:rsid w:val="00DD44CD"/>
    <w:rsid w:val="00DD451F"/>
    <w:rsid w:val="00DD4745"/>
    <w:rsid w:val="00DD4C0F"/>
    <w:rsid w:val="00DD5012"/>
    <w:rsid w:val="00DD505B"/>
    <w:rsid w:val="00DD50A4"/>
    <w:rsid w:val="00DD52DC"/>
    <w:rsid w:val="00DD572A"/>
    <w:rsid w:val="00DD57D3"/>
    <w:rsid w:val="00DD595D"/>
    <w:rsid w:val="00DD5AEE"/>
    <w:rsid w:val="00DD5C3A"/>
    <w:rsid w:val="00DD5C6A"/>
    <w:rsid w:val="00DD5E60"/>
    <w:rsid w:val="00DD60D9"/>
    <w:rsid w:val="00DD6487"/>
    <w:rsid w:val="00DD651E"/>
    <w:rsid w:val="00DD653D"/>
    <w:rsid w:val="00DD67C1"/>
    <w:rsid w:val="00DD695C"/>
    <w:rsid w:val="00DD6B0D"/>
    <w:rsid w:val="00DD6BD6"/>
    <w:rsid w:val="00DD6E92"/>
    <w:rsid w:val="00DD70F6"/>
    <w:rsid w:val="00DD71C8"/>
    <w:rsid w:val="00DD7516"/>
    <w:rsid w:val="00DD79C5"/>
    <w:rsid w:val="00DD7C83"/>
    <w:rsid w:val="00DD7D9B"/>
    <w:rsid w:val="00DE00A8"/>
    <w:rsid w:val="00DE0808"/>
    <w:rsid w:val="00DE092E"/>
    <w:rsid w:val="00DE094B"/>
    <w:rsid w:val="00DE0B49"/>
    <w:rsid w:val="00DE0E7A"/>
    <w:rsid w:val="00DE0F80"/>
    <w:rsid w:val="00DE0F94"/>
    <w:rsid w:val="00DE104D"/>
    <w:rsid w:val="00DE104F"/>
    <w:rsid w:val="00DE1079"/>
    <w:rsid w:val="00DE10D4"/>
    <w:rsid w:val="00DE1201"/>
    <w:rsid w:val="00DE1325"/>
    <w:rsid w:val="00DE13C4"/>
    <w:rsid w:val="00DE18DB"/>
    <w:rsid w:val="00DE1904"/>
    <w:rsid w:val="00DE1B58"/>
    <w:rsid w:val="00DE1B84"/>
    <w:rsid w:val="00DE2470"/>
    <w:rsid w:val="00DE250A"/>
    <w:rsid w:val="00DE2550"/>
    <w:rsid w:val="00DE25A3"/>
    <w:rsid w:val="00DE2A9F"/>
    <w:rsid w:val="00DE2B1B"/>
    <w:rsid w:val="00DE2C8E"/>
    <w:rsid w:val="00DE2CDE"/>
    <w:rsid w:val="00DE31F1"/>
    <w:rsid w:val="00DE3409"/>
    <w:rsid w:val="00DE3F98"/>
    <w:rsid w:val="00DE412A"/>
    <w:rsid w:val="00DE441D"/>
    <w:rsid w:val="00DE445F"/>
    <w:rsid w:val="00DE4680"/>
    <w:rsid w:val="00DE484C"/>
    <w:rsid w:val="00DE48AF"/>
    <w:rsid w:val="00DE4AA8"/>
    <w:rsid w:val="00DE4BA6"/>
    <w:rsid w:val="00DE5162"/>
    <w:rsid w:val="00DE5785"/>
    <w:rsid w:val="00DE5DA7"/>
    <w:rsid w:val="00DE636A"/>
    <w:rsid w:val="00DE6455"/>
    <w:rsid w:val="00DE66F7"/>
    <w:rsid w:val="00DE67F2"/>
    <w:rsid w:val="00DE6C97"/>
    <w:rsid w:val="00DE6FD2"/>
    <w:rsid w:val="00DE71B4"/>
    <w:rsid w:val="00DE7223"/>
    <w:rsid w:val="00DE7234"/>
    <w:rsid w:val="00DE7519"/>
    <w:rsid w:val="00DE7542"/>
    <w:rsid w:val="00DE75BC"/>
    <w:rsid w:val="00DE7662"/>
    <w:rsid w:val="00DE77E9"/>
    <w:rsid w:val="00DE7B79"/>
    <w:rsid w:val="00DE7D10"/>
    <w:rsid w:val="00DF0024"/>
    <w:rsid w:val="00DF054E"/>
    <w:rsid w:val="00DF0716"/>
    <w:rsid w:val="00DF09BD"/>
    <w:rsid w:val="00DF0A4D"/>
    <w:rsid w:val="00DF0EE7"/>
    <w:rsid w:val="00DF0F70"/>
    <w:rsid w:val="00DF1038"/>
    <w:rsid w:val="00DF172D"/>
    <w:rsid w:val="00DF1950"/>
    <w:rsid w:val="00DF19B3"/>
    <w:rsid w:val="00DF1D93"/>
    <w:rsid w:val="00DF21A6"/>
    <w:rsid w:val="00DF2267"/>
    <w:rsid w:val="00DF2827"/>
    <w:rsid w:val="00DF2CF6"/>
    <w:rsid w:val="00DF3ADC"/>
    <w:rsid w:val="00DF3B37"/>
    <w:rsid w:val="00DF3CCD"/>
    <w:rsid w:val="00DF3DA0"/>
    <w:rsid w:val="00DF407A"/>
    <w:rsid w:val="00DF40A7"/>
    <w:rsid w:val="00DF4604"/>
    <w:rsid w:val="00DF465C"/>
    <w:rsid w:val="00DF4696"/>
    <w:rsid w:val="00DF4B7F"/>
    <w:rsid w:val="00DF4F4E"/>
    <w:rsid w:val="00DF5008"/>
    <w:rsid w:val="00DF50CD"/>
    <w:rsid w:val="00DF5253"/>
    <w:rsid w:val="00DF5301"/>
    <w:rsid w:val="00DF540A"/>
    <w:rsid w:val="00DF55DB"/>
    <w:rsid w:val="00DF5967"/>
    <w:rsid w:val="00DF59FC"/>
    <w:rsid w:val="00DF5AFC"/>
    <w:rsid w:val="00DF5C7C"/>
    <w:rsid w:val="00DF5C9F"/>
    <w:rsid w:val="00DF61AA"/>
    <w:rsid w:val="00DF62D2"/>
    <w:rsid w:val="00DF709C"/>
    <w:rsid w:val="00DF729B"/>
    <w:rsid w:val="00DF7324"/>
    <w:rsid w:val="00DF75B7"/>
    <w:rsid w:val="00DF76D8"/>
    <w:rsid w:val="00DF77CE"/>
    <w:rsid w:val="00DF78DE"/>
    <w:rsid w:val="00DF78F3"/>
    <w:rsid w:val="00DF7907"/>
    <w:rsid w:val="00DF7A2E"/>
    <w:rsid w:val="00DF7C91"/>
    <w:rsid w:val="00DF7F10"/>
    <w:rsid w:val="00E001A9"/>
    <w:rsid w:val="00E00480"/>
    <w:rsid w:val="00E004EE"/>
    <w:rsid w:val="00E00E74"/>
    <w:rsid w:val="00E0135E"/>
    <w:rsid w:val="00E014FA"/>
    <w:rsid w:val="00E01673"/>
    <w:rsid w:val="00E01C39"/>
    <w:rsid w:val="00E01F47"/>
    <w:rsid w:val="00E0223C"/>
    <w:rsid w:val="00E022D0"/>
    <w:rsid w:val="00E02613"/>
    <w:rsid w:val="00E02737"/>
    <w:rsid w:val="00E02A4A"/>
    <w:rsid w:val="00E02A8D"/>
    <w:rsid w:val="00E02A9D"/>
    <w:rsid w:val="00E02AF1"/>
    <w:rsid w:val="00E02F7F"/>
    <w:rsid w:val="00E031D1"/>
    <w:rsid w:val="00E03248"/>
    <w:rsid w:val="00E03701"/>
    <w:rsid w:val="00E03E3B"/>
    <w:rsid w:val="00E03EFA"/>
    <w:rsid w:val="00E044E4"/>
    <w:rsid w:val="00E045B8"/>
    <w:rsid w:val="00E04CDB"/>
    <w:rsid w:val="00E04D56"/>
    <w:rsid w:val="00E0516E"/>
    <w:rsid w:val="00E053A9"/>
    <w:rsid w:val="00E053E4"/>
    <w:rsid w:val="00E054B1"/>
    <w:rsid w:val="00E0553F"/>
    <w:rsid w:val="00E05760"/>
    <w:rsid w:val="00E05AC3"/>
    <w:rsid w:val="00E05C7B"/>
    <w:rsid w:val="00E065C3"/>
    <w:rsid w:val="00E0691D"/>
    <w:rsid w:val="00E06A1A"/>
    <w:rsid w:val="00E06D13"/>
    <w:rsid w:val="00E073AC"/>
    <w:rsid w:val="00E073DB"/>
    <w:rsid w:val="00E07518"/>
    <w:rsid w:val="00E075E8"/>
    <w:rsid w:val="00E0769E"/>
    <w:rsid w:val="00E0789E"/>
    <w:rsid w:val="00E07A26"/>
    <w:rsid w:val="00E07F7E"/>
    <w:rsid w:val="00E10090"/>
    <w:rsid w:val="00E1013F"/>
    <w:rsid w:val="00E103CE"/>
    <w:rsid w:val="00E106EC"/>
    <w:rsid w:val="00E1082A"/>
    <w:rsid w:val="00E10868"/>
    <w:rsid w:val="00E10F87"/>
    <w:rsid w:val="00E11417"/>
    <w:rsid w:val="00E114F0"/>
    <w:rsid w:val="00E11674"/>
    <w:rsid w:val="00E11797"/>
    <w:rsid w:val="00E11A0A"/>
    <w:rsid w:val="00E12111"/>
    <w:rsid w:val="00E12205"/>
    <w:rsid w:val="00E12214"/>
    <w:rsid w:val="00E12522"/>
    <w:rsid w:val="00E125B3"/>
    <w:rsid w:val="00E125EF"/>
    <w:rsid w:val="00E12741"/>
    <w:rsid w:val="00E1281B"/>
    <w:rsid w:val="00E12B59"/>
    <w:rsid w:val="00E12BF7"/>
    <w:rsid w:val="00E12DD2"/>
    <w:rsid w:val="00E1305F"/>
    <w:rsid w:val="00E130BC"/>
    <w:rsid w:val="00E1356A"/>
    <w:rsid w:val="00E13660"/>
    <w:rsid w:val="00E13A88"/>
    <w:rsid w:val="00E13AF6"/>
    <w:rsid w:val="00E13BD1"/>
    <w:rsid w:val="00E13C53"/>
    <w:rsid w:val="00E13D53"/>
    <w:rsid w:val="00E13E0F"/>
    <w:rsid w:val="00E13EC0"/>
    <w:rsid w:val="00E1403E"/>
    <w:rsid w:val="00E1420E"/>
    <w:rsid w:val="00E14504"/>
    <w:rsid w:val="00E149A8"/>
    <w:rsid w:val="00E14AED"/>
    <w:rsid w:val="00E1501E"/>
    <w:rsid w:val="00E1509F"/>
    <w:rsid w:val="00E1523E"/>
    <w:rsid w:val="00E1541B"/>
    <w:rsid w:val="00E159B8"/>
    <w:rsid w:val="00E15E8F"/>
    <w:rsid w:val="00E15FEA"/>
    <w:rsid w:val="00E160FB"/>
    <w:rsid w:val="00E1628C"/>
    <w:rsid w:val="00E1639E"/>
    <w:rsid w:val="00E163A7"/>
    <w:rsid w:val="00E163C3"/>
    <w:rsid w:val="00E1666C"/>
    <w:rsid w:val="00E16758"/>
    <w:rsid w:val="00E1683E"/>
    <w:rsid w:val="00E171A0"/>
    <w:rsid w:val="00E172C4"/>
    <w:rsid w:val="00E177B9"/>
    <w:rsid w:val="00E17A58"/>
    <w:rsid w:val="00E17CA1"/>
    <w:rsid w:val="00E17ECB"/>
    <w:rsid w:val="00E203EC"/>
    <w:rsid w:val="00E20A2B"/>
    <w:rsid w:val="00E20C7D"/>
    <w:rsid w:val="00E21033"/>
    <w:rsid w:val="00E21065"/>
    <w:rsid w:val="00E2153E"/>
    <w:rsid w:val="00E215BD"/>
    <w:rsid w:val="00E217AA"/>
    <w:rsid w:val="00E21AEB"/>
    <w:rsid w:val="00E21C17"/>
    <w:rsid w:val="00E2214C"/>
    <w:rsid w:val="00E225C6"/>
    <w:rsid w:val="00E226C1"/>
    <w:rsid w:val="00E22BFC"/>
    <w:rsid w:val="00E236FF"/>
    <w:rsid w:val="00E23F14"/>
    <w:rsid w:val="00E23F6E"/>
    <w:rsid w:val="00E24185"/>
    <w:rsid w:val="00E246BF"/>
    <w:rsid w:val="00E24980"/>
    <w:rsid w:val="00E24A4E"/>
    <w:rsid w:val="00E24AB4"/>
    <w:rsid w:val="00E24BD9"/>
    <w:rsid w:val="00E25187"/>
    <w:rsid w:val="00E25A3F"/>
    <w:rsid w:val="00E25DAC"/>
    <w:rsid w:val="00E2628F"/>
    <w:rsid w:val="00E2654B"/>
    <w:rsid w:val="00E26652"/>
    <w:rsid w:val="00E26796"/>
    <w:rsid w:val="00E2686E"/>
    <w:rsid w:val="00E26BFA"/>
    <w:rsid w:val="00E26CEC"/>
    <w:rsid w:val="00E27653"/>
    <w:rsid w:val="00E27CFF"/>
    <w:rsid w:val="00E307E5"/>
    <w:rsid w:val="00E3124C"/>
    <w:rsid w:val="00E314A7"/>
    <w:rsid w:val="00E314CF"/>
    <w:rsid w:val="00E319E7"/>
    <w:rsid w:val="00E31B6C"/>
    <w:rsid w:val="00E31CFA"/>
    <w:rsid w:val="00E31DDD"/>
    <w:rsid w:val="00E31E14"/>
    <w:rsid w:val="00E31EDB"/>
    <w:rsid w:val="00E32004"/>
    <w:rsid w:val="00E32114"/>
    <w:rsid w:val="00E3233B"/>
    <w:rsid w:val="00E32426"/>
    <w:rsid w:val="00E32460"/>
    <w:rsid w:val="00E3287E"/>
    <w:rsid w:val="00E32A4D"/>
    <w:rsid w:val="00E3305F"/>
    <w:rsid w:val="00E337A3"/>
    <w:rsid w:val="00E338AD"/>
    <w:rsid w:val="00E33A4D"/>
    <w:rsid w:val="00E34120"/>
    <w:rsid w:val="00E341A6"/>
    <w:rsid w:val="00E34598"/>
    <w:rsid w:val="00E347B8"/>
    <w:rsid w:val="00E347C7"/>
    <w:rsid w:val="00E348B6"/>
    <w:rsid w:val="00E34A3A"/>
    <w:rsid w:val="00E34C0A"/>
    <w:rsid w:val="00E34F5F"/>
    <w:rsid w:val="00E34F9F"/>
    <w:rsid w:val="00E34FBC"/>
    <w:rsid w:val="00E35012"/>
    <w:rsid w:val="00E350B1"/>
    <w:rsid w:val="00E3563D"/>
    <w:rsid w:val="00E35797"/>
    <w:rsid w:val="00E35858"/>
    <w:rsid w:val="00E35BB0"/>
    <w:rsid w:val="00E35C6F"/>
    <w:rsid w:val="00E35F47"/>
    <w:rsid w:val="00E3600E"/>
    <w:rsid w:val="00E360A9"/>
    <w:rsid w:val="00E363A6"/>
    <w:rsid w:val="00E36713"/>
    <w:rsid w:val="00E36897"/>
    <w:rsid w:val="00E3690D"/>
    <w:rsid w:val="00E36A7E"/>
    <w:rsid w:val="00E36CD4"/>
    <w:rsid w:val="00E36D70"/>
    <w:rsid w:val="00E37112"/>
    <w:rsid w:val="00E372CC"/>
    <w:rsid w:val="00E37424"/>
    <w:rsid w:val="00E374A4"/>
    <w:rsid w:val="00E37515"/>
    <w:rsid w:val="00E378CA"/>
    <w:rsid w:val="00E37BAA"/>
    <w:rsid w:val="00E37F48"/>
    <w:rsid w:val="00E4038B"/>
    <w:rsid w:val="00E408D5"/>
    <w:rsid w:val="00E409E9"/>
    <w:rsid w:val="00E411CA"/>
    <w:rsid w:val="00E41D79"/>
    <w:rsid w:val="00E41EC4"/>
    <w:rsid w:val="00E42007"/>
    <w:rsid w:val="00E42696"/>
    <w:rsid w:val="00E428F4"/>
    <w:rsid w:val="00E42DE3"/>
    <w:rsid w:val="00E42EA2"/>
    <w:rsid w:val="00E4303D"/>
    <w:rsid w:val="00E435C6"/>
    <w:rsid w:val="00E43B47"/>
    <w:rsid w:val="00E440E9"/>
    <w:rsid w:val="00E44133"/>
    <w:rsid w:val="00E44203"/>
    <w:rsid w:val="00E443E8"/>
    <w:rsid w:val="00E4444A"/>
    <w:rsid w:val="00E44719"/>
    <w:rsid w:val="00E44ACC"/>
    <w:rsid w:val="00E44B75"/>
    <w:rsid w:val="00E44CCD"/>
    <w:rsid w:val="00E44FF7"/>
    <w:rsid w:val="00E45252"/>
    <w:rsid w:val="00E45419"/>
    <w:rsid w:val="00E454FD"/>
    <w:rsid w:val="00E458E6"/>
    <w:rsid w:val="00E45A7A"/>
    <w:rsid w:val="00E45B42"/>
    <w:rsid w:val="00E464C6"/>
    <w:rsid w:val="00E46D14"/>
    <w:rsid w:val="00E4710F"/>
    <w:rsid w:val="00E477D1"/>
    <w:rsid w:val="00E47839"/>
    <w:rsid w:val="00E47CE9"/>
    <w:rsid w:val="00E50088"/>
    <w:rsid w:val="00E501A9"/>
    <w:rsid w:val="00E503D3"/>
    <w:rsid w:val="00E503FD"/>
    <w:rsid w:val="00E50A90"/>
    <w:rsid w:val="00E50B66"/>
    <w:rsid w:val="00E50BFE"/>
    <w:rsid w:val="00E51039"/>
    <w:rsid w:val="00E5134B"/>
    <w:rsid w:val="00E51878"/>
    <w:rsid w:val="00E51BED"/>
    <w:rsid w:val="00E51F5D"/>
    <w:rsid w:val="00E521AB"/>
    <w:rsid w:val="00E52685"/>
    <w:rsid w:val="00E526B6"/>
    <w:rsid w:val="00E5299C"/>
    <w:rsid w:val="00E52CE0"/>
    <w:rsid w:val="00E52D71"/>
    <w:rsid w:val="00E52DA1"/>
    <w:rsid w:val="00E534B1"/>
    <w:rsid w:val="00E53727"/>
    <w:rsid w:val="00E53AA9"/>
    <w:rsid w:val="00E53BB8"/>
    <w:rsid w:val="00E53CF9"/>
    <w:rsid w:val="00E53DED"/>
    <w:rsid w:val="00E54138"/>
    <w:rsid w:val="00E54B5A"/>
    <w:rsid w:val="00E54E80"/>
    <w:rsid w:val="00E55268"/>
    <w:rsid w:val="00E55520"/>
    <w:rsid w:val="00E556D6"/>
    <w:rsid w:val="00E557A0"/>
    <w:rsid w:val="00E557D2"/>
    <w:rsid w:val="00E559C5"/>
    <w:rsid w:val="00E55EE7"/>
    <w:rsid w:val="00E55FE8"/>
    <w:rsid w:val="00E56166"/>
    <w:rsid w:val="00E56473"/>
    <w:rsid w:val="00E56918"/>
    <w:rsid w:val="00E56C25"/>
    <w:rsid w:val="00E56C34"/>
    <w:rsid w:val="00E56C80"/>
    <w:rsid w:val="00E56CBF"/>
    <w:rsid w:val="00E56D77"/>
    <w:rsid w:val="00E5705E"/>
    <w:rsid w:val="00E57357"/>
    <w:rsid w:val="00E57384"/>
    <w:rsid w:val="00E573C1"/>
    <w:rsid w:val="00E57414"/>
    <w:rsid w:val="00E578A3"/>
    <w:rsid w:val="00E578F2"/>
    <w:rsid w:val="00E57919"/>
    <w:rsid w:val="00E57B7D"/>
    <w:rsid w:val="00E57D09"/>
    <w:rsid w:val="00E6061D"/>
    <w:rsid w:val="00E60670"/>
    <w:rsid w:val="00E60BA8"/>
    <w:rsid w:val="00E60C2B"/>
    <w:rsid w:val="00E6127F"/>
    <w:rsid w:val="00E613CD"/>
    <w:rsid w:val="00E61674"/>
    <w:rsid w:val="00E61C08"/>
    <w:rsid w:val="00E61C45"/>
    <w:rsid w:val="00E61C4C"/>
    <w:rsid w:val="00E61C56"/>
    <w:rsid w:val="00E61D9A"/>
    <w:rsid w:val="00E61E92"/>
    <w:rsid w:val="00E61ED3"/>
    <w:rsid w:val="00E61EDE"/>
    <w:rsid w:val="00E621F7"/>
    <w:rsid w:val="00E62258"/>
    <w:rsid w:val="00E6256D"/>
    <w:rsid w:val="00E62660"/>
    <w:rsid w:val="00E62793"/>
    <w:rsid w:val="00E627A8"/>
    <w:rsid w:val="00E62D42"/>
    <w:rsid w:val="00E634D7"/>
    <w:rsid w:val="00E63661"/>
    <w:rsid w:val="00E6372F"/>
    <w:rsid w:val="00E63984"/>
    <w:rsid w:val="00E63CD1"/>
    <w:rsid w:val="00E63DAD"/>
    <w:rsid w:val="00E63E79"/>
    <w:rsid w:val="00E63F76"/>
    <w:rsid w:val="00E63FFE"/>
    <w:rsid w:val="00E645A1"/>
    <w:rsid w:val="00E648C6"/>
    <w:rsid w:val="00E649A1"/>
    <w:rsid w:val="00E64E12"/>
    <w:rsid w:val="00E65243"/>
    <w:rsid w:val="00E6534E"/>
    <w:rsid w:val="00E654BE"/>
    <w:rsid w:val="00E658B3"/>
    <w:rsid w:val="00E65BCB"/>
    <w:rsid w:val="00E65D76"/>
    <w:rsid w:val="00E65DD5"/>
    <w:rsid w:val="00E65E55"/>
    <w:rsid w:val="00E65F2E"/>
    <w:rsid w:val="00E65FF4"/>
    <w:rsid w:val="00E66801"/>
    <w:rsid w:val="00E6697E"/>
    <w:rsid w:val="00E66F2D"/>
    <w:rsid w:val="00E6746A"/>
    <w:rsid w:val="00E6764C"/>
    <w:rsid w:val="00E676AA"/>
    <w:rsid w:val="00E676B6"/>
    <w:rsid w:val="00E67F15"/>
    <w:rsid w:val="00E70009"/>
    <w:rsid w:val="00E70339"/>
    <w:rsid w:val="00E704E2"/>
    <w:rsid w:val="00E706A8"/>
    <w:rsid w:val="00E70736"/>
    <w:rsid w:val="00E70794"/>
    <w:rsid w:val="00E70C9F"/>
    <w:rsid w:val="00E717B4"/>
    <w:rsid w:val="00E720BC"/>
    <w:rsid w:val="00E7230D"/>
    <w:rsid w:val="00E725C2"/>
    <w:rsid w:val="00E72A82"/>
    <w:rsid w:val="00E72D12"/>
    <w:rsid w:val="00E73426"/>
    <w:rsid w:val="00E73835"/>
    <w:rsid w:val="00E73954"/>
    <w:rsid w:val="00E73990"/>
    <w:rsid w:val="00E73E66"/>
    <w:rsid w:val="00E73F84"/>
    <w:rsid w:val="00E7401C"/>
    <w:rsid w:val="00E74508"/>
    <w:rsid w:val="00E74733"/>
    <w:rsid w:val="00E74D70"/>
    <w:rsid w:val="00E74F97"/>
    <w:rsid w:val="00E74FB3"/>
    <w:rsid w:val="00E7533A"/>
    <w:rsid w:val="00E753DB"/>
    <w:rsid w:val="00E7547F"/>
    <w:rsid w:val="00E7556D"/>
    <w:rsid w:val="00E755E0"/>
    <w:rsid w:val="00E75806"/>
    <w:rsid w:val="00E758E5"/>
    <w:rsid w:val="00E75ABE"/>
    <w:rsid w:val="00E75CDB"/>
    <w:rsid w:val="00E760B3"/>
    <w:rsid w:val="00E762E7"/>
    <w:rsid w:val="00E763CF"/>
    <w:rsid w:val="00E7672A"/>
    <w:rsid w:val="00E76839"/>
    <w:rsid w:val="00E76C99"/>
    <w:rsid w:val="00E76C9C"/>
    <w:rsid w:val="00E7740E"/>
    <w:rsid w:val="00E77461"/>
    <w:rsid w:val="00E7749C"/>
    <w:rsid w:val="00E774FD"/>
    <w:rsid w:val="00E77697"/>
    <w:rsid w:val="00E77779"/>
    <w:rsid w:val="00E77EB6"/>
    <w:rsid w:val="00E80047"/>
    <w:rsid w:val="00E804A0"/>
    <w:rsid w:val="00E80750"/>
    <w:rsid w:val="00E80986"/>
    <w:rsid w:val="00E80B69"/>
    <w:rsid w:val="00E80F7A"/>
    <w:rsid w:val="00E814C1"/>
    <w:rsid w:val="00E81550"/>
    <w:rsid w:val="00E8158E"/>
    <w:rsid w:val="00E81848"/>
    <w:rsid w:val="00E818B9"/>
    <w:rsid w:val="00E81907"/>
    <w:rsid w:val="00E81E2F"/>
    <w:rsid w:val="00E820F4"/>
    <w:rsid w:val="00E8219B"/>
    <w:rsid w:val="00E82506"/>
    <w:rsid w:val="00E82921"/>
    <w:rsid w:val="00E82CFD"/>
    <w:rsid w:val="00E82FE5"/>
    <w:rsid w:val="00E83841"/>
    <w:rsid w:val="00E83AB6"/>
    <w:rsid w:val="00E84003"/>
    <w:rsid w:val="00E84AF2"/>
    <w:rsid w:val="00E857A6"/>
    <w:rsid w:val="00E8584F"/>
    <w:rsid w:val="00E858BE"/>
    <w:rsid w:val="00E85A7C"/>
    <w:rsid w:val="00E85F24"/>
    <w:rsid w:val="00E86088"/>
    <w:rsid w:val="00E8608A"/>
    <w:rsid w:val="00E860DA"/>
    <w:rsid w:val="00E8641C"/>
    <w:rsid w:val="00E865C4"/>
    <w:rsid w:val="00E86C39"/>
    <w:rsid w:val="00E86FE3"/>
    <w:rsid w:val="00E87BFA"/>
    <w:rsid w:val="00E87C54"/>
    <w:rsid w:val="00E87DE8"/>
    <w:rsid w:val="00E87E84"/>
    <w:rsid w:val="00E9002D"/>
    <w:rsid w:val="00E90150"/>
    <w:rsid w:val="00E9069F"/>
    <w:rsid w:val="00E90716"/>
    <w:rsid w:val="00E90856"/>
    <w:rsid w:val="00E909E8"/>
    <w:rsid w:val="00E90D65"/>
    <w:rsid w:val="00E90DF8"/>
    <w:rsid w:val="00E90F27"/>
    <w:rsid w:val="00E9138A"/>
    <w:rsid w:val="00E918CB"/>
    <w:rsid w:val="00E91A11"/>
    <w:rsid w:val="00E91BFA"/>
    <w:rsid w:val="00E91E83"/>
    <w:rsid w:val="00E92266"/>
    <w:rsid w:val="00E92308"/>
    <w:rsid w:val="00E92A22"/>
    <w:rsid w:val="00E92A54"/>
    <w:rsid w:val="00E92BD3"/>
    <w:rsid w:val="00E9339C"/>
    <w:rsid w:val="00E93551"/>
    <w:rsid w:val="00E935BD"/>
    <w:rsid w:val="00E93681"/>
    <w:rsid w:val="00E93817"/>
    <w:rsid w:val="00E93D3C"/>
    <w:rsid w:val="00E93DDA"/>
    <w:rsid w:val="00E941EF"/>
    <w:rsid w:val="00E9422D"/>
    <w:rsid w:val="00E942ED"/>
    <w:rsid w:val="00E946E9"/>
    <w:rsid w:val="00E9477E"/>
    <w:rsid w:val="00E947DC"/>
    <w:rsid w:val="00E9489D"/>
    <w:rsid w:val="00E949E8"/>
    <w:rsid w:val="00E94A89"/>
    <w:rsid w:val="00E94D0A"/>
    <w:rsid w:val="00E94D58"/>
    <w:rsid w:val="00E9500A"/>
    <w:rsid w:val="00E95108"/>
    <w:rsid w:val="00E95313"/>
    <w:rsid w:val="00E957FB"/>
    <w:rsid w:val="00E95929"/>
    <w:rsid w:val="00E960AA"/>
    <w:rsid w:val="00E965CC"/>
    <w:rsid w:val="00E96B98"/>
    <w:rsid w:val="00E96BA1"/>
    <w:rsid w:val="00E96CFF"/>
    <w:rsid w:val="00E974CA"/>
    <w:rsid w:val="00E975B0"/>
    <w:rsid w:val="00E97973"/>
    <w:rsid w:val="00E97C1A"/>
    <w:rsid w:val="00EA02DD"/>
    <w:rsid w:val="00EA0343"/>
    <w:rsid w:val="00EA057C"/>
    <w:rsid w:val="00EA08DC"/>
    <w:rsid w:val="00EA0FCA"/>
    <w:rsid w:val="00EA104E"/>
    <w:rsid w:val="00EA109B"/>
    <w:rsid w:val="00EA137B"/>
    <w:rsid w:val="00EA159E"/>
    <w:rsid w:val="00EA1712"/>
    <w:rsid w:val="00EA1A1E"/>
    <w:rsid w:val="00EA1E77"/>
    <w:rsid w:val="00EA2393"/>
    <w:rsid w:val="00EA2712"/>
    <w:rsid w:val="00EA2AF8"/>
    <w:rsid w:val="00EA2BFF"/>
    <w:rsid w:val="00EA2D5E"/>
    <w:rsid w:val="00EA3955"/>
    <w:rsid w:val="00EA3C84"/>
    <w:rsid w:val="00EA3F5A"/>
    <w:rsid w:val="00EA3FFF"/>
    <w:rsid w:val="00EA4152"/>
    <w:rsid w:val="00EA449C"/>
    <w:rsid w:val="00EA45F9"/>
    <w:rsid w:val="00EA4BC2"/>
    <w:rsid w:val="00EA4BFF"/>
    <w:rsid w:val="00EA4C46"/>
    <w:rsid w:val="00EA4D94"/>
    <w:rsid w:val="00EA5042"/>
    <w:rsid w:val="00EA5413"/>
    <w:rsid w:val="00EA5639"/>
    <w:rsid w:val="00EA5AF6"/>
    <w:rsid w:val="00EA621C"/>
    <w:rsid w:val="00EA62EB"/>
    <w:rsid w:val="00EA643B"/>
    <w:rsid w:val="00EA6689"/>
    <w:rsid w:val="00EA681B"/>
    <w:rsid w:val="00EA6A56"/>
    <w:rsid w:val="00EA6AAD"/>
    <w:rsid w:val="00EA6BE5"/>
    <w:rsid w:val="00EA6DA4"/>
    <w:rsid w:val="00EA74AF"/>
    <w:rsid w:val="00EA757B"/>
    <w:rsid w:val="00EA7B99"/>
    <w:rsid w:val="00EA7EF2"/>
    <w:rsid w:val="00EA7F36"/>
    <w:rsid w:val="00EB022B"/>
    <w:rsid w:val="00EB08D4"/>
    <w:rsid w:val="00EB0BCB"/>
    <w:rsid w:val="00EB0E27"/>
    <w:rsid w:val="00EB100D"/>
    <w:rsid w:val="00EB1230"/>
    <w:rsid w:val="00EB1330"/>
    <w:rsid w:val="00EB1369"/>
    <w:rsid w:val="00EB14C8"/>
    <w:rsid w:val="00EB1512"/>
    <w:rsid w:val="00EB15D8"/>
    <w:rsid w:val="00EB15E5"/>
    <w:rsid w:val="00EB1E67"/>
    <w:rsid w:val="00EB203E"/>
    <w:rsid w:val="00EB20BC"/>
    <w:rsid w:val="00EB2A67"/>
    <w:rsid w:val="00EB2AC2"/>
    <w:rsid w:val="00EB2D0C"/>
    <w:rsid w:val="00EB2EB1"/>
    <w:rsid w:val="00EB2FA3"/>
    <w:rsid w:val="00EB3007"/>
    <w:rsid w:val="00EB3247"/>
    <w:rsid w:val="00EB3401"/>
    <w:rsid w:val="00EB3499"/>
    <w:rsid w:val="00EB38EF"/>
    <w:rsid w:val="00EB39C6"/>
    <w:rsid w:val="00EB3A11"/>
    <w:rsid w:val="00EB3AA0"/>
    <w:rsid w:val="00EB3C15"/>
    <w:rsid w:val="00EB3D6F"/>
    <w:rsid w:val="00EB45FF"/>
    <w:rsid w:val="00EB4878"/>
    <w:rsid w:val="00EB497C"/>
    <w:rsid w:val="00EB4B57"/>
    <w:rsid w:val="00EB4C22"/>
    <w:rsid w:val="00EB4C58"/>
    <w:rsid w:val="00EB5228"/>
    <w:rsid w:val="00EB561F"/>
    <w:rsid w:val="00EB56C4"/>
    <w:rsid w:val="00EB583D"/>
    <w:rsid w:val="00EB5BB9"/>
    <w:rsid w:val="00EB60EC"/>
    <w:rsid w:val="00EB62D4"/>
    <w:rsid w:val="00EB66AC"/>
    <w:rsid w:val="00EB69AE"/>
    <w:rsid w:val="00EB6E50"/>
    <w:rsid w:val="00EB7197"/>
    <w:rsid w:val="00EB729C"/>
    <w:rsid w:val="00EB7BE9"/>
    <w:rsid w:val="00EB7EEB"/>
    <w:rsid w:val="00EC0105"/>
    <w:rsid w:val="00EC05AB"/>
    <w:rsid w:val="00EC084C"/>
    <w:rsid w:val="00EC0987"/>
    <w:rsid w:val="00EC0A69"/>
    <w:rsid w:val="00EC0DAB"/>
    <w:rsid w:val="00EC0E34"/>
    <w:rsid w:val="00EC11AA"/>
    <w:rsid w:val="00EC1524"/>
    <w:rsid w:val="00EC15EE"/>
    <w:rsid w:val="00EC168F"/>
    <w:rsid w:val="00EC17A0"/>
    <w:rsid w:val="00EC191C"/>
    <w:rsid w:val="00EC1A89"/>
    <w:rsid w:val="00EC1AAF"/>
    <w:rsid w:val="00EC1B7F"/>
    <w:rsid w:val="00EC1B87"/>
    <w:rsid w:val="00EC1BDB"/>
    <w:rsid w:val="00EC1BDD"/>
    <w:rsid w:val="00EC1EFE"/>
    <w:rsid w:val="00EC21C6"/>
    <w:rsid w:val="00EC241B"/>
    <w:rsid w:val="00EC2424"/>
    <w:rsid w:val="00EC250E"/>
    <w:rsid w:val="00EC299D"/>
    <w:rsid w:val="00EC2A80"/>
    <w:rsid w:val="00EC2B41"/>
    <w:rsid w:val="00EC2CB5"/>
    <w:rsid w:val="00EC2DA4"/>
    <w:rsid w:val="00EC341E"/>
    <w:rsid w:val="00EC34A1"/>
    <w:rsid w:val="00EC353E"/>
    <w:rsid w:val="00EC39D7"/>
    <w:rsid w:val="00EC3C66"/>
    <w:rsid w:val="00EC3E97"/>
    <w:rsid w:val="00EC3EFA"/>
    <w:rsid w:val="00EC4370"/>
    <w:rsid w:val="00EC440D"/>
    <w:rsid w:val="00EC458D"/>
    <w:rsid w:val="00EC4712"/>
    <w:rsid w:val="00EC47F7"/>
    <w:rsid w:val="00EC4929"/>
    <w:rsid w:val="00EC4AFE"/>
    <w:rsid w:val="00EC4EFD"/>
    <w:rsid w:val="00EC4F80"/>
    <w:rsid w:val="00EC522F"/>
    <w:rsid w:val="00EC5398"/>
    <w:rsid w:val="00EC5457"/>
    <w:rsid w:val="00EC558E"/>
    <w:rsid w:val="00EC55C3"/>
    <w:rsid w:val="00EC5C9B"/>
    <w:rsid w:val="00EC6317"/>
    <w:rsid w:val="00EC65DD"/>
    <w:rsid w:val="00EC680C"/>
    <w:rsid w:val="00EC68AD"/>
    <w:rsid w:val="00EC6AE8"/>
    <w:rsid w:val="00EC6B80"/>
    <w:rsid w:val="00EC704B"/>
    <w:rsid w:val="00EC744F"/>
    <w:rsid w:val="00EC7969"/>
    <w:rsid w:val="00EC7A35"/>
    <w:rsid w:val="00EC7B0A"/>
    <w:rsid w:val="00EC7B5E"/>
    <w:rsid w:val="00EC7E0C"/>
    <w:rsid w:val="00EC7F51"/>
    <w:rsid w:val="00ED00A0"/>
    <w:rsid w:val="00ED00F0"/>
    <w:rsid w:val="00ED0315"/>
    <w:rsid w:val="00ED0483"/>
    <w:rsid w:val="00ED04FA"/>
    <w:rsid w:val="00ED0601"/>
    <w:rsid w:val="00ED076B"/>
    <w:rsid w:val="00ED07A5"/>
    <w:rsid w:val="00ED0AB4"/>
    <w:rsid w:val="00ED0B2E"/>
    <w:rsid w:val="00ED0BA3"/>
    <w:rsid w:val="00ED0D3F"/>
    <w:rsid w:val="00ED0DBB"/>
    <w:rsid w:val="00ED0E03"/>
    <w:rsid w:val="00ED1058"/>
    <w:rsid w:val="00ED14DF"/>
    <w:rsid w:val="00ED1557"/>
    <w:rsid w:val="00ED15C6"/>
    <w:rsid w:val="00ED16A3"/>
    <w:rsid w:val="00ED16C2"/>
    <w:rsid w:val="00ED18A7"/>
    <w:rsid w:val="00ED1D13"/>
    <w:rsid w:val="00ED20C4"/>
    <w:rsid w:val="00ED23BA"/>
    <w:rsid w:val="00ED2410"/>
    <w:rsid w:val="00ED2645"/>
    <w:rsid w:val="00ED28E0"/>
    <w:rsid w:val="00ED2AB9"/>
    <w:rsid w:val="00ED2EF9"/>
    <w:rsid w:val="00ED3147"/>
    <w:rsid w:val="00ED31E8"/>
    <w:rsid w:val="00ED3413"/>
    <w:rsid w:val="00ED3547"/>
    <w:rsid w:val="00ED365B"/>
    <w:rsid w:val="00ED36DD"/>
    <w:rsid w:val="00ED39F0"/>
    <w:rsid w:val="00ED3ADF"/>
    <w:rsid w:val="00ED3B42"/>
    <w:rsid w:val="00ED4036"/>
    <w:rsid w:val="00ED43F2"/>
    <w:rsid w:val="00ED4416"/>
    <w:rsid w:val="00ED4B89"/>
    <w:rsid w:val="00ED5739"/>
    <w:rsid w:val="00ED66F2"/>
    <w:rsid w:val="00ED6C20"/>
    <w:rsid w:val="00ED7775"/>
    <w:rsid w:val="00ED7882"/>
    <w:rsid w:val="00ED7AD9"/>
    <w:rsid w:val="00ED7BB2"/>
    <w:rsid w:val="00EE0145"/>
    <w:rsid w:val="00EE0431"/>
    <w:rsid w:val="00EE098A"/>
    <w:rsid w:val="00EE1166"/>
    <w:rsid w:val="00EE1B0B"/>
    <w:rsid w:val="00EE1D2C"/>
    <w:rsid w:val="00EE2081"/>
    <w:rsid w:val="00EE227C"/>
    <w:rsid w:val="00EE2684"/>
    <w:rsid w:val="00EE26B8"/>
    <w:rsid w:val="00EE2814"/>
    <w:rsid w:val="00EE2DE3"/>
    <w:rsid w:val="00EE2F81"/>
    <w:rsid w:val="00EE3354"/>
    <w:rsid w:val="00EE33F0"/>
    <w:rsid w:val="00EE33F6"/>
    <w:rsid w:val="00EE3513"/>
    <w:rsid w:val="00EE3670"/>
    <w:rsid w:val="00EE3A16"/>
    <w:rsid w:val="00EE3DB1"/>
    <w:rsid w:val="00EE3E56"/>
    <w:rsid w:val="00EE3E5B"/>
    <w:rsid w:val="00EE42C6"/>
    <w:rsid w:val="00EE4333"/>
    <w:rsid w:val="00EE43EA"/>
    <w:rsid w:val="00EE4AFD"/>
    <w:rsid w:val="00EE4F48"/>
    <w:rsid w:val="00EE5250"/>
    <w:rsid w:val="00EE601F"/>
    <w:rsid w:val="00EE6175"/>
    <w:rsid w:val="00EE6443"/>
    <w:rsid w:val="00EE6772"/>
    <w:rsid w:val="00EE6918"/>
    <w:rsid w:val="00EE6985"/>
    <w:rsid w:val="00EE6CB9"/>
    <w:rsid w:val="00EE6DBF"/>
    <w:rsid w:val="00EE6EB6"/>
    <w:rsid w:val="00EE6EF4"/>
    <w:rsid w:val="00EE70E9"/>
    <w:rsid w:val="00EE7292"/>
    <w:rsid w:val="00EE7890"/>
    <w:rsid w:val="00EE7B10"/>
    <w:rsid w:val="00EE7BB7"/>
    <w:rsid w:val="00EF0629"/>
    <w:rsid w:val="00EF08AC"/>
    <w:rsid w:val="00EF0C43"/>
    <w:rsid w:val="00EF0FEC"/>
    <w:rsid w:val="00EF14D9"/>
    <w:rsid w:val="00EF1721"/>
    <w:rsid w:val="00EF186B"/>
    <w:rsid w:val="00EF1893"/>
    <w:rsid w:val="00EF1BE5"/>
    <w:rsid w:val="00EF2159"/>
    <w:rsid w:val="00EF2419"/>
    <w:rsid w:val="00EF2789"/>
    <w:rsid w:val="00EF2BEA"/>
    <w:rsid w:val="00EF2C81"/>
    <w:rsid w:val="00EF2ECF"/>
    <w:rsid w:val="00EF2F4A"/>
    <w:rsid w:val="00EF3035"/>
    <w:rsid w:val="00EF3640"/>
    <w:rsid w:val="00EF3A6A"/>
    <w:rsid w:val="00EF3B6D"/>
    <w:rsid w:val="00EF3CC2"/>
    <w:rsid w:val="00EF4053"/>
    <w:rsid w:val="00EF415E"/>
    <w:rsid w:val="00EF4420"/>
    <w:rsid w:val="00EF45F9"/>
    <w:rsid w:val="00EF4759"/>
    <w:rsid w:val="00EF489C"/>
    <w:rsid w:val="00EF4F7C"/>
    <w:rsid w:val="00EF5095"/>
    <w:rsid w:val="00EF5149"/>
    <w:rsid w:val="00EF52D6"/>
    <w:rsid w:val="00EF5359"/>
    <w:rsid w:val="00EF54F3"/>
    <w:rsid w:val="00EF5565"/>
    <w:rsid w:val="00EF5616"/>
    <w:rsid w:val="00EF571D"/>
    <w:rsid w:val="00EF589C"/>
    <w:rsid w:val="00EF5A20"/>
    <w:rsid w:val="00EF5A48"/>
    <w:rsid w:val="00EF5AB4"/>
    <w:rsid w:val="00EF5E41"/>
    <w:rsid w:val="00EF60E2"/>
    <w:rsid w:val="00EF6387"/>
    <w:rsid w:val="00EF66A7"/>
    <w:rsid w:val="00EF6A40"/>
    <w:rsid w:val="00EF6E1C"/>
    <w:rsid w:val="00EF7168"/>
    <w:rsid w:val="00EF71D6"/>
    <w:rsid w:val="00EF71EF"/>
    <w:rsid w:val="00EF7526"/>
    <w:rsid w:val="00EF763C"/>
    <w:rsid w:val="00EF7643"/>
    <w:rsid w:val="00EF7B21"/>
    <w:rsid w:val="00EF7B9E"/>
    <w:rsid w:val="00EF7BCF"/>
    <w:rsid w:val="00EF7F7F"/>
    <w:rsid w:val="00F0017A"/>
    <w:rsid w:val="00F001B5"/>
    <w:rsid w:val="00F00380"/>
    <w:rsid w:val="00F003C2"/>
    <w:rsid w:val="00F00491"/>
    <w:rsid w:val="00F005A2"/>
    <w:rsid w:val="00F008D4"/>
    <w:rsid w:val="00F009D7"/>
    <w:rsid w:val="00F00B50"/>
    <w:rsid w:val="00F00D6A"/>
    <w:rsid w:val="00F00E62"/>
    <w:rsid w:val="00F00F6B"/>
    <w:rsid w:val="00F012A1"/>
    <w:rsid w:val="00F016A0"/>
    <w:rsid w:val="00F0182C"/>
    <w:rsid w:val="00F019BD"/>
    <w:rsid w:val="00F01ED2"/>
    <w:rsid w:val="00F01EFD"/>
    <w:rsid w:val="00F02224"/>
    <w:rsid w:val="00F0256F"/>
    <w:rsid w:val="00F02578"/>
    <w:rsid w:val="00F02892"/>
    <w:rsid w:val="00F02928"/>
    <w:rsid w:val="00F02A24"/>
    <w:rsid w:val="00F02CEE"/>
    <w:rsid w:val="00F030B3"/>
    <w:rsid w:val="00F0346A"/>
    <w:rsid w:val="00F035D8"/>
    <w:rsid w:val="00F036C0"/>
    <w:rsid w:val="00F03CBB"/>
    <w:rsid w:val="00F03F77"/>
    <w:rsid w:val="00F0414C"/>
    <w:rsid w:val="00F044F9"/>
    <w:rsid w:val="00F048C7"/>
    <w:rsid w:val="00F04B4F"/>
    <w:rsid w:val="00F04EBD"/>
    <w:rsid w:val="00F04F2F"/>
    <w:rsid w:val="00F04F51"/>
    <w:rsid w:val="00F051C5"/>
    <w:rsid w:val="00F05B3C"/>
    <w:rsid w:val="00F05D85"/>
    <w:rsid w:val="00F05FAC"/>
    <w:rsid w:val="00F064E9"/>
    <w:rsid w:val="00F0653D"/>
    <w:rsid w:val="00F06A45"/>
    <w:rsid w:val="00F06CB5"/>
    <w:rsid w:val="00F06D2D"/>
    <w:rsid w:val="00F06F9A"/>
    <w:rsid w:val="00F06FC1"/>
    <w:rsid w:val="00F0751C"/>
    <w:rsid w:val="00F079BD"/>
    <w:rsid w:val="00F07A91"/>
    <w:rsid w:val="00F07C13"/>
    <w:rsid w:val="00F10004"/>
    <w:rsid w:val="00F1006E"/>
    <w:rsid w:val="00F10287"/>
    <w:rsid w:val="00F10312"/>
    <w:rsid w:val="00F104D7"/>
    <w:rsid w:val="00F1119E"/>
    <w:rsid w:val="00F112E4"/>
    <w:rsid w:val="00F11513"/>
    <w:rsid w:val="00F11720"/>
    <w:rsid w:val="00F119EA"/>
    <w:rsid w:val="00F11DAD"/>
    <w:rsid w:val="00F11E95"/>
    <w:rsid w:val="00F12528"/>
    <w:rsid w:val="00F1253C"/>
    <w:rsid w:val="00F1284C"/>
    <w:rsid w:val="00F13517"/>
    <w:rsid w:val="00F13788"/>
    <w:rsid w:val="00F13A53"/>
    <w:rsid w:val="00F14088"/>
    <w:rsid w:val="00F14274"/>
    <w:rsid w:val="00F142AE"/>
    <w:rsid w:val="00F14C8F"/>
    <w:rsid w:val="00F15002"/>
    <w:rsid w:val="00F150EF"/>
    <w:rsid w:val="00F155A7"/>
    <w:rsid w:val="00F15BBE"/>
    <w:rsid w:val="00F15D89"/>
    <w:rsid w:val="00F15E3B"/>
    <w:rsid w:val="00F15FFA"/>
    <w:rsid w:val="00F163B2"/>
    <w:rsid w:val="00F1649F"/>
    <w:rsid w:val="00F1682B"/>
    <w:rsid w:val="00F16C18"/>
    <w:rsid w:val="00F16E33"/>
    <w:rsid w:val="00F17360"/>
    <w:rsid w:val="00F1737B"/>
    <w:rsid w:val="00F1762B"/>
    <w:rsid w:val="00F177E8"/>
    <w:rsid w:val="00F17AE2"/>
    <w:rsid w:val="00F17D2E"/>
    <w:rsid w:val="00F17E88"/>
    <w:rsid w:val="00F2038F"/>
    <w:rsid w:val="00F20488"/>
    <w:rsid w:val="00F2057D"/>
    <w:rsid w:val="00F20B2D"/>
    <w:rsid w:val="00F20F1C"/>
    <w:rsid w:val="00F210E3"/>
    <w:rsid w:val="00F211AE"/>
    <w:rsid w:val="00F21952"/>
    <w:rsid w:val="00F22335"/>
    <w:rsid w:val="00F224AF"/>
    <w:rsid w:val="00F22503"/>
    <w:rsid w:val="00F2274E"/>
    <w:rsid w:val="00F22775"/>
    <w:rsid w:val="00F23028"/>
    <w:rsid w:val="00F2312F"/>
    <w:rsid w:val="00F23824"/>
    <w:rsid w:val="00F23985"/>
    <w:rsid w:val="00F23BDD"/>
    <w:rsid w:val="00F23C72"/>
    <w:rsid w:val="00F23D02"/>
    <w:rsid w:val="00F23D71"/>
    <w:rsid w:val="00F23DBC"/>
    <w:rsid w:val="00F23FAA"/>
    <w:rsid w:val="00F24069"/>
    <w:rsid w:val="00F243E9"/>
    <w:rsid w:val="00F2461F"/>
    <w:rsid w:val="00F24954"/>
    <w:rsid w:val="00F24A47"/>
    <w:rsid w:val="00F24E9E"/>
    <w:rsid w:val="00F24F0B"/>
    <w:rsid w:val="00F24F57"/>
    <w:rsid w:val="00F24FDE"/>
    <w:rsid w:val="00F25106"/>
    <w:rsid w:val="00F2584D"/>
    <w:rsid w:val="00F259F5"/>
    <w:rsid w:val="00F25DCB"/>
    <w:rsid w:val="00F25F93"/>
    <w:rsid w:val="00F260EE"/>
    <w:rsid w:val="00F2654C"/>
    <w:rsid w:val="00F26CBD"/>
    <w:rsid w:val="00F26E80"/>
    <w:rsid w:val="00F27051"/>
    <w:rsid w:val="00F27168"/>
    <w:rsid w:val="00F27222"/>
    <w:rsid w:val="00F272B7"/>
    <w:rsid w:val="00F2739B"/>
    <w:rsid w:val="00F27680"/>
    <w:rsid w:val="00F276B4"/>
    <w:rsid w:val="00F278AA"/>
    <w:rsid w:val="00F279E9"/>
    <w:rsid w:val="00F27A3F"/>
    <w:rsid w:val="00F27DB5"/>
    <w:rsid w:val="00F301E9"/>
    <w:rsid w:val="00F30A34"/>
    <w:rsid w:val="00F30C94"/>
    <w:rsid w:val="00F30EC7"/>
    <w:rsid w:val="00F3102B"/>
    <w:rsid w:val="00F312B8"/>
    <w:rsid w:val="00F31517"/>
    <w:rsid w:val="00F31A70"/>
    <w:rsid w:val="00F320D2"/>
    <w:rsid w:val="00F3253E"/>
    <w:rsid w:val="00F3257F"/>
    <w:rsid w:val="00F32618"/>
    <w:rsid w:val="00F32750"/>
    <w:rsid w:val="00F32BAA"/>
    <w:rsid w:val="00F32FFE"/>
    <w:rsid w:val="00F331E8"/>
    <w:rsid w:val="00F33310"/>
    <w:rsid w:val="00F338FC"/>
    <w:rsid w:val="00F33FDF"/>
    <w:rsid w:val="00F341FA"/>
    <w:rsid w:val="00F3437C"/>
    <w:rsid w:val="00F34734"/>
    <w:rsid w:val="00F352EE"/>
    <w:rsid w:val="00F35686"/>
    <w:rsid w:val="00F35766"/>
    <w:rsid w:val="00F35784"/>
    <w:rsid w:val="00F357A0"/>
    <w:rsid w:val="00F357F0"/>
    <w:rsid w:val="00F35DBB"/>
    <w:rsid w:val="00F35F14"/>
    <w:rsid w:val="00F36165"/>
    <w:rsid w:val="00F36424"/>
    <w:rsid w:val="00F36447"/>
    <w:rsid w:val="00F3663D"/>
    <w:rsid w:val="00F36BA9"/>
    <w:rsid w:val="00F36C6A"/>
    <w:rsid w:val="00F36D37"/>
    <w:rsid w:val="00F36E76"/>
    <w:rsid w:val="00F37260"/>
    <w:rsid w:val="00F3738B"/>
    <w:rsid w:val="00F37A9E"/>
    <w:rsid w:val="00F37AEB"/>
    <w:rsid w:val="00F40667"/>
    <w:rsid w:val="00F40DDD"/>
    <w:rsid w:val="00F40DF3"/>
    <w:rsid w:val="00F40F53"/>
    <w:rsid w:val="00F4106F"/>
    <w:rsid w:val="00F4154A"/>
    <w:rsid w:val="00F41625"/>
    <w:rsid w:val="00F41B8A"/>
    <w:rsid w:val="00F41B9E"/>
    <w:rsid w:val="00F41EC7"/>
    <w:rsid w:val="00F420BB"/>
    <w:rsid w:val="00F420F6"/>
    <w:rsid w:val="00F4238C"/>
    <w:rsid w:val="00F423CA"/>
    <w:rsid w:val="00F42455"/>
    <w:rsid w:val="00F42D0F"/>
    <w:rsid w:val="00F42D1C"/>
    <w:rsid w:val="00F43BC7"/>
    <w:rsid w:val="00F43C14"/>
    <w:rsid w:val="00F43EF4"/>
    <w:rsid w:val="00F44266"/>
    <w:rsid w:val="00F447D7"/>
    <w:rsid w:val="00F44895"/>
    <w:rsid w:val="00F4516A"/>
    <w:rsid w:val="00F451B1"/>
    <w:rsid w:val="00F457B2"/>
    <w:rsid w:val="00F45803"/>
    <w:rsid w:val="00F4586E"/>
    <w:rsid w:val="00F45B40"/>
    <w:rsid w:val="00F45C22"/>
    <w:rsid w:val="00F45D9B"/>
    <w:rsid w:val="00F45EB5"/>
    <w:rsid w:val="00F46046"/>
    <w:rsid w:val="00F463A0"/>
    <w:rsid w:val="00F46686"/>
    <w:rsid w:val="00F46999"/>
    <w:rsid w:val="00F46E41"/>
    <w:rsid w:val="00F4701B"/>
    <w:rsid w:val="00F472EF"/>
    <w:rsid w:val="00F47333"/>
    <w:rsid w:val="00F47476"/>
    <w:rsid w:val="00F47488"/>
    <w:rsid w:val="00F47774"/>
    <w:rsid w:val="00F47A69"/>
    <w:rsid w:val="00F47BBA"/>
    <w:rsid w:val="00F47BDB"/>
    <w:rsid w:val="00F47CD3"/>
    <w:rsid w:val="00F47ECE"/>
    <w:rsid w:val="00F5030F"/>
    <w:rsid w:val="00F5052B"/>
    <w:rsid w:val="00F50FD0"/>
    <w:rsid w:val="00F50FD6"/>
    <w:rsid w:val="00F5175C"/>
    <w:rsid w:val="00F51793"/>
    <w:rsid w:val="00F5192C"/>
    <w:rsid w:val="00F51991"/>
    <w:rsid w:val="00F51C08"/>
    <w:rsid w:val="00F5218D"/>
    <w:rsid w:val="00F521F3"/>
    <w:rsid w:val="00F52240"/>
    <w:rsid w:val="00F52EA1"/>
    <w:rsid w:val="00F531F2"/>
    <w:rsid w:val="00F53278"/>
    <w:rsid w:val="00F533F8"/>
    <w:rsid w:val="00F534A0"/>
    <w:rsid w:val="00F53532"/>
    <w:rsid w:val="00F536DF"/>
    <w:rsid w:val="00F537A2"/>
    <w:rsid w:val="00F538BC"/>
    <w:rsid w:val="00F53AB3"/>
    <w:rsid w:val="00F53E5F"/>
    <w:rsid w:val="00F542E0"/>
    <w:rsid w:val="00F54305"/>
    <w:rsid w:val="00F54900"/>
    <w:rsid w:val="00F54AA9"/>
    <w:rsid w:val="00F54CC4"/>
    <w:rsid w:val="00F550A5"/>
    <w:rsid w:val="00F5532C"/>
    <w:rsid w:val="00F556A9"/>
    <w:rsid w:val="00F55C8A"/>
    <w:rsid w:val="00F55FEF"/>
    <w:rsid w:val="00F5616E"/>
    <w:rsid w:val="00F5626B"/>
    <w:rsid w:val="00F5670D"/>
    <w:rsid w:val="00F56751"/>
    <w:rsid w:val="00F5686C"/>
    <w:rsid w:val="00F56968"/>
    <w:rsid w:val="00F569F2"/>
    <w:rsid w:val="00F56B0F"/>
    <w:rsid w:val="00F56BA5"/>
    <w:rsid w:val="00F56CF7"/>
    <w:rsid w:val="00F56F4E"/>
    <w:rsid w:val="00F572D6"/>
    <w:rsid w:val="00F576A2"/>
    <w:rsid w:val="00F5784D"/>
    <w:rsid w:val="00F578DB"/>
    <w:rsid w:val="00F578E1"/>
    <w:rsid w:val="00F57CBE"/>
    <w:rsid w:val="00F57D0B"/>
    <w:rsid w:val="00F57F48"/>
    <w:rsid w:val="00F57FB9"/>
    <w:rsid w:val="00F57FF5"/>
    <w:rsid w:val="00F60255"/>
    <w:rsid w:val="00F6033D"/>
    <w:rsid w:val="00F604C0"/>
    <w:rsid w:val="00F607B8"/>
    <w:rsid w:val="00F6088D"/>
    <w:rsid w:val="00F60956"/>
    <w:rsid w:val="00F60B9E"/>
    <w:rsid w:val="00F6108E"/>
    <w:rsid w:val="00F6115A"/>
    <w:rsid w:val="00F6159A"/>
    <w:rsid w:val="00F61D80"/>
    <w:rsid w:val="00F61F8F"/>
    <w:rsid w:val="00F62355"/>
    <w:rsid w:val="00F6294A"/>
    <w:rsid w:val="00F62FC2"/>
    <w:rsid w:val="00F631AF"/>
    <w:rsid w:val="00F63264"/>
    <w:rsid w:val="00F633DE"/>
    <w:rsid w:val="00F6347D"/>
    <w:rsid w:val="00F636E4"/>
    <w:rsid w:val="00F637BC"/>
    <w:rsid w:val="00F63B3B"/>
    <w:rsid w:val="00F63B7E"/>
    <w:rsid w:val="00F63D47"/>
    <w:rsid w:val="00F63F19"/>
    <w:rsid w:val="00F640B0"/>
    <w:rsid w:val="00F64387"/>
    <w:rsid w:val="00F6441C"/>
    <w:rsid w:val="00F6476F"/>
    <w:rsid w:val="00F65064"/>
    <w:rsid w:val="00F65344"/>
    <w:rsid w:val="00F65B5F"/>
    <w:rsid w:val="00F65D33"/>
    <w:rsid w:val="00F66097"/>
    <w:rsid w:val="00F66A2E"/>
    <w:rsid w:val="00F67099"/>
    <w:rsid w:val="00F67800"/>
    <w:rsid w:val="00F67932"/>
    <w:rsid w:val="00F67B3B"/>
    <w:rsid w:val="00F704B2"/>
    <w:rsid w:val="00F7054D"/>
    <w:rsid w:val="00F70641"/>
    <w:rsid w:val="00F70645"/>
    <w:rsid w:val="00F7090F"/>
    <w:rsid w:val="00F70B18"/>
    <w:rsid w:val="00F70B20"/>
    <w:rsid w:val="00F70CF5"/>
    <w:rsid w:val="00F70DF5"/>
    <w:rsid w:val="00F71047"/>
    <w:rsid w:val="00F71152"/>
    <w:rsid w:val="00F715E9"/>
    <w:rsid w:val="00F71936"/>
    <w:rsid w:val="00F71DC6"/>
    <w:rsid w:val="00F72291"/>
    <w:rsid w:val="00F72299"/>
    <w:rsid w:val="00F72847"/>
    <w:rsid w:val="00F72881"/>
    <w:rsid w:val="00F7290F"/>
    <w:rsid w:val="00F72A3D"/>
    <w:rsid w:val="00F72C4D"/>
    <w:rsid w:val="00F72E70"/>
    <w:rsid w:val="00F72F7D"/>
    <w:rsid w:val="00F7347C"/>
    <w:rsid w:val="00F7366D"/>
    <w:rsid w:val="00F73EBC"/>
    <w:rsid w:val="00F74198"/>
    <w:rsid w:val="00F7421C"/>
    <w:rsid w:val="00F74233"/>
    <w:rsid w:val="00F744F0"/>
    <w:rsid w:val="00F74B8E"/>
    <w:rsid w:val="00F74C6D"/>
    <w:rsid w:val="00F7502D"/>
    <w:rsid w:val="00F7532A"/>
    <w:rsid w:val="00F75620"/>
    <w:rsid w:val="00F75665"/>
    <w:rsid w:val="00F75BE6"/>
    <w:rsid w:val="00F75ED8"/>
    <w:rsid w:val="00F762C7"/>
    <w:rsid w:val="00F76340"/>
    <w:rsid w:val="00F763DB"/>
    <w:rsid w:val="00F76B27"/>
    <w:rsid w:val="00F76F0C"/>
    <w:rsid w:val="00F770E2"/>
    <w:rsid w:val="00F77543"/>
    <w:rsid w:val="00F776EF"/>
    <w:rsid w:val="00F77770"/>
    <w:rsid w:val="00F7782D"/>
    <w:rsid w:val="00F77853"/>
    <w:rsid w:val="00F7798F"/>
    <w:rsid w:val="00F77B02"/>
    <w:rsid w:val="00F77C30"/>
    <w:rsid w:val="00F77F16"/>
    <w:rsid w:val="00F8002A"/>
    <w:rsid w:val="00F80041"/>
    <w:rsid w:val="00F80157"/>
    <w:rsid w:val="00F802FD"/>
    <w:rsid w:val="00F803A6"/>
    <w:rsid w:val="00F8052A"/>
    <w:rsid w:val="00F80806"/>
    <w:rsid w:val="00F809F1"/>
    <w:rsid w:val="00F80C4B"/>
    <w:rsid w:val="00F80F90"/>
    <w:rsid w:val="00F80FA8"/>
    <w:rsid w:val="00F80FFE"/>
    <w:rsid w:val="00F810FD"/>
    <w:rsid w:val="00F813CB"/>
    <w:rsid w:val="00F816D2"/>
    <w:rsid w:val="00F81713"/>
    <w:rsid w:val="00F81A41"/>
    <w:rsid w:val="00F81BFC"/>
    <w:rsid w:val="00F81C6E"/>
    <w:rsid w:val="00F81FCF"/>
    <w:rsid w:val="00F827BD"/>
    <w:rsid w:val="00F8291B"/>
    <w:rsid w:val="00F83198"/>
    <w:rsid w:val="00F833A3"/>
    <w:rsid w:val="00F836BA"/>
    <w:rsid w:val="00F8370A"/>
    <w:rsid w:val="00F83ABD"/>
    <w:rsid w:val="00F83B70"/>
    <w:rsid w:val="00F83E0B"/>
    <w:rsid w:val="00F8422E"/>
    <w:rsid w:val="00F84456"/>
    <w:rsid w:val="00F84AB5"/>
    <w:rsid w:val="00F84E27"/>
    <w:rsid w:val="00F850D5"/>
    <w:rsid w:val="00F8557C"/>
    <w:rsid w:val="00F855DB"/>
    <w:rsid w:val="00F85D99"/>
    <w:rsid w:val="00F862D3"/>
    <w:rsid w:val="00F86B58"/>
    <w:rsid w:val="00F86D63"/>
    <w:rsid w:val="00F86D6C"/>
    <w:rsid w:val="00F87399"/>
    <w:rsid w:val="00F873E7"/>
    <w:rsid w:val="00F87428"/>
    <w:rsid w:val="00F8788F"/>
    <w:rsid w:val="00F878FB"/>
    <w:rsid w:val="00F87CC4"/>
    <w:rsid w:val="00F87D10"/>
    <w:rsid w:val="00F87E76"/>
    <w:rsid w:val="00F90000"/>
    <w:rsid w:val="00F90191"/>
    <w:rsid w:val="00F903D1"/>
    <w:rsid w:val="00F906A6"/>
    <w:rsid w:val="00F907B7"/>
    <w:rsid w:val="00F90E51"/>
    <w:rsid w:val="00F9103F"/>
    <w:rsid w:val="00F911C3"/>
    <w:rsid w:val="00F91386"/>
    <w:rsid w:val="00F91F31"/>
    <w:rsid w:val="00F9243E"/>
    <w:rsid w:val="00F92796"/>
    <w:rsid w:val="00F92883"/>
    <w:rsid w:val="00F92BC0"/>
    <w:rsid w:val="00F9324D"/>
    <w:rsid w:val="00F934A4"/>
    <w:rsid w:val="00F93AB5"/>
    <w:rsid w:val="00F93C9F"/>
    <w:rsid w:val="00F93ECE"/>
    <w:rsid w:val="00F94058"/>
    <w:rsid w:val="00F9468E"/>
    <w:rsid w:val="00F947C6"/>
    <w:rsid w:val="00F94B5B"/>
    <w:rsid w:val="00F94C24"/>
    <w:rsid w:val="00F94F75"/>
    <w:rsid w:val="00F94FE8"/>
    <w:rsid w:val="00F95639"/>
    <w:rsid w:val="00F95718"/>
    <w:rsid w:val="00F95B69"/>
    <w:rsid w:val="00F95BEE"/>
    <w:rsid w:val="00F95CD9"/>
    <w:rsid w:val="00F96056"/>
    <w:rsid w:val="00F9609E"/>
    <w:rsid w:val="00F9687E"/>
    <w:rsid w:val="00F96A49"/>
    <w:rsid w:val="00F96E69"/>
    <w:rsid w:val="00F9734D"/>
    <w:rsid w:val="00F973A5"/>
    <w:rsid w:val="00F9757A"/>
    <w:rsid w:val="00F977CA"/>
    <w:rsid w:val="00F97AAD"/>
    <w:rsid w:val="00FA0009"/>
    <w:rsid w:val="00FA0089"/>
    <w:rsid w:val="00FA011E"/>
    <w:rsid w:val="00FA02A0"/>
    <w:rsid w:val="00FA097F"/>
    <w:rsid w:val="00FA09DD"/>
    <w:rsid w:val="00FA0C80"/>
    <w:rsid w:val="00FA0C87"/>
    <w:rsid w:val="00FA1321"/>
    <w:rsid w:val="00FA14C4"/>
    <w:rsid w:val="00FA19FC"/>
    <w:rsid w:val="00FA1BE5"/>
    <w:rsid w:val="00FA1FE3"/>
    <w:rsid w:val="00FA2125"/>
    <w:rsid w:val="00FA219E"/>
    <w:rsid w:val="00FA2452"/>
    <w:rsid w:val="00FA30E7"/>
    <w:rsid w:val="00FA3110"/>
    <w:rsid w:val="00FA31E0"/>
    <w:rsid w:val="00FA32F4"/>
    <w:rsid w:val="00FA36FE"/>
    <w:rsid w:val="00FA376E"/>
    <w:rsid w:val="00FA3C7C"/>
    <w:rsid w:val="00FA3DC1"/>
    <w:rsid w:val="00FA3F75"/>
    <w:rsid w:val="00FA41FF"/>
    <w:rsid w:val="00FA452C"/>
    <w:rsid w:val="00FA4611"/>
    <w:rsid w:val="00FA4948"/>
    <w:rsid w:val="00FA4E1E"/>
    <w:rsid w:val="00FA4E6C"/>
    <w:rsid w:val="00FA5014"/>
    <w:rsid w:val="00FA5AC2"/>
    <w:rsid w:val="00FA61A0"/>
    <w:rsid w:val="00FA6560"/>
    <w:rsid w:val="00FA65D7"/>
    <w:rsid w:val="00FA6849"/>
    <w:rsid w:val="00FA6A54"/>
    <w:rsid w:val="00FA6BF2"/>
    <w:rsid w:val="00FA7200"/>
    <w:rsid w:val="00FA7376"/>
    <w:rsid w:val="00FA752D"/>
    <w:rsid w:val="00FA7713"/>
    <w:rsid w:val="00FA7800"/>
    <w:rsid w:val="00FA79EB"/>
    <w:rsid w:val="00FA7CE4"/>
    <w:rsid w:val="00FB034C"/>
    <w:rsid w:val="00FB054E"/>
    <w:rsid w:val="00FB0E74"/>
    <w:rsid w:val="00FB0F09"/>
    <w:rsid w:val="00FB14D5"/>
    <w:rsid w:val="00FB1546"/>
    <w:rsid w:val="00FB16AF"/>
    <w:rsid w:val="00FB182B"/>
    <w:rsid w:val="00FB1AC0"/>
    <w:rsid w:val="00FB20D4"/>
    <w:rsid w:val="00FB211C"/>
    <w:rsid w:val="00FB21BD"/>
    <w:rsid w:val="00FB24EB"/>
    <w:rsid w:val="00FB27D6"/>
    <w:rsid w:val="00FB2BD6"/>
    <w:rsid w:val="00FB300B"/>
    <w:rsid w:val="00FB3809"/>
    <w:rsid w:val="00FB4050"/>
    <w:rsid w:val="00FB44AE"/>
    <w:rsid w:val="00FB481A"/>
    <w:rsid w:val="00FB4FF3"/>
    <w:rsid w:val="00FB5100"/>
    <w:rsid w:val="00FB536E"/>
    <w:rsid w:val="00FB5558"/>
    <w:rsid w:val="00FB56A2"/>
    <w:rsid w:val="00FB59E4"/>
    <w:rsid w:val="00FB5C95"/>
    <w:rsid w:val="00FB5F7A"/>
    <w:rsid w:val="00FB6012"/>
    <w:rsid w:val="00FB6348"/>
    <w:rsid w:val="00FB64EB"/>
    <w:rsid w:val="00FB67E8"/>
    <w:rsid w:val="00FB6E1E"/>
    <w:rsid w:val="00FB701F"/>
    <w:rsid w:val="00FB7558"/>
    <w:rsid w:val="00FB7730"/>
    <w:rsid w:val="00FB7982"/>
    <w:rsid w:val="00FB7EEA"/>
    <w:rsid w:val="00FB7F21"/>
    <w:rsid w:val="00FC0207"/>
    <w:rsid w:val="00FC024E"/>
    <w:rsid w:val="00FC05BF"/>
    <w:rsid w:val="00FC086C"/>
    <w:rsid w:val="00FC10C5"/>
    <w:rsid w:val="00FC1240"/>
    <w:rsid w:val="00FC16AF"/>
    <w:rsid w:val="00FC1895"/>
    <w:rsid w:val="00FC1C44"/>
    <w:rsid w:val="00FC1FFE"/>
    <w:rsid w:val="00FC2001"/>
    <w:rsid w:val="00FC2416"/>
    <w:rsid w:val="00FC25EA"/>
    <w:rsid w:val="00FC25FB"/>
    <w:rsid w:val="00FC2633"/>
    <w:rsid w:val="00FC2A2B"/>
    <w:rsid w:val="00FC30C2"/>
    <w:rsid w:val="00FC39FC"/>
    <w:rsid w:val="00FC3EF6"/>
    <w:rsid w:val="00FC4826"/>
    <w:rsid w:val="00FC49A2"/>
    <w:rsid w:val="00FC4B70"/>
    <w:rsid w:val="00FC4FDC"/>
    <w:rsid w:val="00FC5048"/>
    <w:rsid w:val="00FC5078"/>
    <w:rsid w:val="00FC53E4"/>
    <w:rsid w:val="00FC542C"/>
    <w:rsid w:val="00FC54B5"/>
    <w:rsid w:val="00FC592B"/>
    <w:rsid w:val="00FC5B06"/>
    <w:rsid w:val="00FC5C36"/>
    <w:rsid w:val="00FC63DE"/>
    <w:rsid w:val="00FC6410"/>
    <w:rsid w:val="00FC6463"/>
    <w:rsid w:val="00FC667C"/>
    <w:rsid w:val="00FC6CF2"/>
    <w:rsid w:val="00FC6EFE"/>
    <w:rsid w:val="00FC7040"/>
    <w:rsid w:val="00FC7432"/>
    <w:rsid w:val="00FC7473"/>
    <w:rsid w:val="00FC788F"/>
    <w:rsid w:val="00FC7CD1"/>
    <w:rsid w:val="00FC7DF6"/>
    <w:rsid w:val="00FC7E7A"/>
    <w:rsid w:val="00FD0262"/>
    <w:rsid w:val="00FD05D0"/>
    <w:rsid w:val="00FD0735"/>
    <w:rsid w:val="00FD082B"/>
    <w:rsid w:val="00FD0DF3"/>
    <w:rsid w:val="00FD1219"/>
    <w:rsid w:val="00FD1440"/>
    <w:rsid w:val="00FD1619"/>
    <w:rsid w:val="00FD16D6"/>
    <w:rsid w:val="00FD172B"/>
    <w:rsid w:val="00FD1AEF"/>
    <w:rsid w:val="00FD1B36"/>
    <w:rsid w:val="00FD1CFC"/>
    <w:rsid w:val="00FD1F2F"/>
    <w:rsid w:val="00FD213E"/>
    <w:rsid w:val="00FD2333"/>
    <w:rsid w:val="00FD2B8E"/>
    <w:rsid w:val="00FD2BBE"/>
    <w:rsid w:val="00FD2C43"/>
    <w:rsid w:val="00FD2DE1"/>
    <w:rsid w:val="00FD326F"/>
    <w:rsid w:val="00FD345C"/>
    <w:rsid w:val="00FD3AE0"/>
    <w:rsid w:val="00FD3B98"/>
    <w:rsid w:val="00FD3D04"/>
    <w:rsid w:val="00FD3EFE"/>
    <w:rsid w:val="00FD437B"/>
    <w:rsid w:val="00FD44E9"/>
    <w:rsid w:val="00FD47AF"/>
    <w:rsid w:val="00FD4A85"/>
    <w:rsid w:val="00FD4CE7"/>
    <w:rsid w:val="00FD5093"/>
    <w:rsid w:val="00FD53E2"/>
    <w:rsid w:val="00FD5418"/>
    <w:rsid w:val="00FD5584"/>
    <w:rsid w:val="00FD5D9E"/>
    <w:rsid w:val="00FD62D8"/>
    <w:rsid w:val="00FD6310"/>
    <w:rsid w:val="00FD6807"/>
    <w:rsid w:val="00FD6985"/>
    <w:rsid w:val="00FD6BB9"/>
    <w:rsid w:val="00FD6BDE"/>
    <w:rsid w:val="00FD6C79"/>
    <w:rsid w:val="00FD6EB0"/>
    <w:rsid w:val="00FD7426"/>
    <w:rsid w:val="00FD7CCB"/>
    <w:rsid w:val="00FE003C"/>
    <w:rsid w:val="00FE00D5"/>
    <w:rsid w:val="00FE0158"/>
    <w:rsid w:val="00FE04BE"/>
    <w:rsid w:val="00FE0DA7"/>
    <w:rsid w:val="00FE0E96"/>
    <w:rsid w:val="00FE1164"/>
    <w:rsid w:val="00FE13E2"/>
    <w:rsid w:val="00FE1930"/>
    <w:rsid w:val="00FE1C68"/>
    <w:rsid w:val="00FE1D35"/>
    <w:rsid w:val="00FE1F2C"/>
    <w:rsid w:val="00FE26C6"/>
    <w:rsid w:val="00FE26F8"/>
    <w:rsid w:val="00FE28D2"/>
    <w:rsid w:val="00FE2AFB"/>
    <w:rsid w:val="00FE2CCA"/>
    <w:rsid w:val="00FE39C5"/>
    <w:rsid w:val="00FE3C58"/>
    <w:rsid w:val="00FE3CD3"/>
    <w:rsid w:val="00FE3D9A"/>
    <w:rsid w:val="00FE3E03"/>
    <w:rsid w:val="00FE484D"/>
    <w:rsid w:val="00FE4F64"/>
    <w:rsid w:val="00FE522D"/>
    <w:rsid w:val="00FE537B"/>
    <w:rsid w:val="00FE569A"/>
    <w:rsid w:val="00FE5D2C"/>
    <w:rsid w:val="00FE61AA"/>
    <w:rsid w:val="00FE635A"/>
    <w:rsid w:val="00FE63A0"/>
    <w:rsid w:val="00FE66B0"/>
    <w:rsid w:val="00FE66D5"/>
    <w:rsid w:val="00FE6737"/>
    <w:rsid w:val="00FE68D0"/>
    <w:rsid w:val="00FE6DB0"/>
    <w:rsid w:val="00FE6FB5"/>
    <w:rsid w:val="00FE721F"/>
    <w:rsid w:val="00FE7D92"/>
    <w:rsid w:val="00FE7E67"/>
    <w:rsid w:val="00FE7F63"/>
    <w:rsid w:val="00FF02C6"/>
    <w:rsid w:val="00FF0606"/>
    <w:rsid w:val="00FF068C"/>
    <w:rsid w:val="00FF06C3"/>
    <w:rsid w:val="00FF09C7"/>
    <w:rsid w:val="00FF0A73"/>
    <w:rsid w:val="00FF0ACD"/>
    <w:rsid w:val="00FF0AE5"/>
    <w:rsid w:val="00FF0DB1"/>
    <w:rsid w:val="00FF1052"/>
    <w:rsid w:val="00FF1218"/>
    <w:rsid w:val="00FF15DA"/>
    <w:rsid w:val="00FF16F8"/>
    <w:rsid w:val="00FF1985"/>
    <w:rsid w:val="00FF1A06"/>
    <w:rsid w:val="00FF27F0"/>
    <w:rsid w:val="00FF2882"/>
    <w:rsid w:val="00FF28D2"/>
    <w:rsid w:val="00FF28E7"/>
    <w:rsid w:val="00FF2BE1"/>
    <w:rsid w:val="00FF2D69"/>
    <w:rsid w:val="00FF2DEF"/>
    <w:rsid w:val="00FF2F44"/>
    <w:rsid w:val="00FF3A06"/>
    <w:rsid w:val="00FF3C83"/>
    <w:rsid w:val="00FF3D07"/>
    <w:rsid w:val="00FF3F63"/>
    <w:rsid w:val="00FF411D"/>
    <w:rsid w:val="00FF44F6"/>
    <w:rsid w:val="00FF47DB"/>
    <w:rsid w:val="00FF4812"/>
    <w:rsid w:val="00FF489E"/>
    <w:rsid w:val="00FF48B4"/>
    <w:rsid w:val="00FF4B8B"/>
    <w:rsid w:val="00FF4D2A"/>
    <w:rsid w:val="00FF5070"/>
    <w:rsid w:val="00FF5125"/>
    <w:rsid w:val="00FF53BA"/>
    <w:rsid w:val="00FF5980"/>
    <w:rsid w:val="00FF5A3C"/>
    <w:rsid w:val="00FF5C67"/>
    <w:rsid w:val="00FF5CC0"/>
    <w:rsid w:val="00FF60BD"/>
    <w:rsid w:val="00FF6108"/>
    <w:rsid w:val="00FF615D"/>
    <w:rsid w:val="00FF6237"/>
    <w:rsid w:val="00FF6486"/>
    <w:rsid w:val="00FF68AC"/>
    <w:rsid w:val="00FF690A"/>
    <w:rsid w:val="00FF697B"/>
    <w:rsid w:val="00FF6B1D"/>
    <w:rsid w:val="00FF6DE6"/>
    <w:rsid w:val="00FF7238"/>
    <w:rsid w:val="00FF74A9"/>
    <w:rsid w:val="00FF75AF"/>
    <w:rsid w:val="00FF7AE9"/>
    <w:rsid w:val="00FF7F7C"/>
    <w:rsid w:val="01173EBB"/>
    <w:rsid w:val="013F03A7"/>
    <w:rsid w:val="01753491"/>
    <w:rsid w:val="017B7B60"/>
    <w:rsid w:val="01930A6B"/>
    <w:rsid w:val="01AD5116"/>
    <w:rsid w:val="020C580B"/>
    <w:rsid w:val="02603EF6"/>
    <w:rsid w:val="02A46C33"/>
    <w:rsid w:val="02C97C56"/>
    <w:rsid w:val="032B07F1"/>
    <w:rsid w:val="033457AA"/>
    <w:rsid w:val="03386CF5"/>
    <w:rsid w:val="04293F18"/>
    <w:rsid w:val="04E3385B"/>
    <w:rsid w:val="05C41C5F"/>
    <w:rsid w:val="05CF1E87"/>
    <w:rsid w:val="06032D6D"/>
    <w:rsid w:val="066466EB"/>
    <w:rsid w:val="067E1D8E"/>
    <w:rsid w:val="06DA65DB"/>
    <w:rsid w:val="0714287C"/>
    <w:rsid w:val="072877CB"/>
    <w:rsid w:val="07416A2C"/>
    <w:rsid w:val="07946B2C"/>
    <w:rsid w:val="07F3343D"/>
    <w:rsid w:val="07F37D0F"/>
    <w:rsid w:val="084314D4"/>
    <w:rsid w:val="088C65A6"/>
    <w:rsid w:val="08CB0CA3"/>
    <w:rsid w:val="09301072"/>
    <w:rsid w:val="09333E49"/>
    <w:rsid w:val="097E064D"/>
    <w:rsid w:val="09C60BAC"/>
    <w:rsid w:val="09D36D60"/>
    <w:rsid w:val="09F409C5"/>
    <w:rsid w:val="0A3D7F4A"/>
    <w:rsid w:val="0AB76B03"/>
    <w:rsid w:val="0AE0655C"/>
    <w:rsid w:val="0B127ADB"/>
    <w:rsid w:val="0B375715"/>
    <w:rsid w:val="0B767A39"/>
    <w:rsid w:val="0BA2392C"/>
    <w:rsid w:val="0BBE5E9C"/>
    <w:rsid w:val="0BCE6FA9"/>
    <w:rsid w:val="0C727813"/>
    <w:rsid w:val="0CA40BDD"/>
    <w:rsid w:val="0D334ADB"/>
    <w:rsid w:val="0D8C1FF1"/>
    <w:rsid w:val="0DAD3E6E"/>
    <w:rsid w:val="0E335F88"/>
    <w:rsid w:val="0E376180"/>
    <w:rsid w:val="0E441ECA"/>
    <w:rsid w:val="0E486616"/>
    <w:rsid w:val="0E6C29E6"/>
    <w:rsid w:val="0F045708"/>
    <w:rsid w:val="0F777E12"/>
    <w:rsid w:val="0FF6711E"/>
    <w:rsid w:val="0FFC756F"/>
    <w:rsid w:val="1000619E"/>
    <w:rsid w:val="10030C41"/>
    <w:rsid w:val="102921D2"/>
    <w:rsid w:val="102A708F"/>
    <w:rsid w:val="103F3294"/>
    <w:rsid w:val="10416904"/>
    <w:rsid w:val="105F7525"/>
    <w:rsid w:val="107A08A9"/>
    <w:rsid w:val="10A25253"/>
    <w:rsid w:val="10BC5868"/>
    <w:rsid w:val="11551404"/>
    <w:rsid w:val="11850AC9"/>
    <w:rsid w:val="118A7226"/>
    <w:rsid w:val="11AC7735"/>
    <w:rsid w:val="11B3519B"/>
    <w:rsid w:val="11D04EF0"/>
    <w:rsid w:val="124A5A42"/>
    <w:rsid w:val="125515DD"/>
    <w:rsid w:val="12753A2E"/>
    <w:rsid w:val="12906026"/>
    <w:rsid w:val="13454E10"/>
    <w:rsid w:val="13691AD4"/>
    <w:rsid w:val="13AC5A56"/>
    <w:rsid w:val="13B61E07"/>
    <w:rsid w:val="13BD22E0"/>
    <w:rsid w:val="140432D8"/>
    <w:rsid w:val="14370051"/>
    <w:rsid w:val="15034FC5"/>
    <w:rsid w:val="15223216"/>
    <w:rsid w:val="15393438"/>
    <w:rsid w:val="15E12F25"/>
    <w:rsid w:val="15FA6B44"/>
    <w:rsid w:val="1606271C"/>
    <w:rsid w:val="16282F80"/>
    <w:rsid w:val="1642101E"/>
    <w:rsid w:val="164B0E50"/>
    <w:rsid w:val="1664799C"/>
    <w:rsid w:val="16AA7AB3"/>
    <w:rsid w:val="16FC79F9"/>
    <w:rsid w:val="1773702B"/>
    <w:rsid w:val="17744F5B"/>
    <w:rsid w:val="178C3CF3"/>
    <w:rsid w:val="1796732E"/>
    <w:rsid w:val="17A40B03"/>
    <w:rsid w:val="17AA23CB"/>
    <w:rsid w:val="17AD188C"/>
    <w:rsid w:val="17C15B76"/>
    <w:rsid w:val="17C25E11"/>
    <w:rsid w:val="17CE5625"/>
    <w:rsid w:val="17F3444D"/>
    <w:rsid w:val="183D34AC"/>
    <w:rsid w:val="18844826"/>
    <w:rsid w:val="18A5769F"/>
    <w:rsid w:val="18D574E9"/>
    <w:rsid w:val="18D76F2C"/>
    <w:rsid w:val="19165EAC"/>
    <w:rsid w:val="192A04EF"/>
    <w:rsid w:val="192C7455"/>
    <w:rsid w:val="194513F2"/>
    <w:rsid w:val="19466124"/>
    <w:rsid w:val="196E3E3B"/>
    <w:rsid w:val="198B1F2B"/>
    <w:rsid w:val="19E0006E"/>
    <w:rsid w:val="1A7B0BBF"/>
    <w:rsid w:val="1AC7252F"/>
    <w:rsid w:val="1B250E56"/>
    <w:rsid w:val="1B855C81"/>
    <w:rsid w:val="1B885E10"/>
    <w:rsid w:val="1BD73371"/>
    <w:rsid w:val="1BFD1E20"/>
    <w:rsid w:val="1C05480B"/>
    <w:rsid w:val="1C3376BC"/>
    <w:rsid w:val="1CBE6CF9"/>
    <w:rsid w:val="1CF16D3C"/>
    <w:rsid w:val="1D1E092D"/>
    <w:rsid w:val="1D697189"/>
    <w:rsid w:val="1D9F127F"/>
    <w:rsid w:val="1DB9180A"/>
    <w:rsid w:val="1DBE53DD"/>
    <w:rsid w:val="1DCF3665"/>
    <w:rsid w:val="1DEE6130"/>
    <w:rsid w:val="1E14059F"/>
    <w:rsid w:val="1E2041C2"/>
    <w:rsid w:val="1E9D0EFA"/>
    <w:rsid w:val="1ED8096C"/>
    <w:rsid w:val="1EEA1078"/>
    <w:rsid w:val="1F09096B"/>
    <w:rsid w:val="1F2F5A67"/>
    <w:rsid w:val="1F4314E5"/>
    <w:rsid w:val="1F6E4240"/>
    <w:rsid w:val="1F8812E1"/>
    <w:rsid w:val="1F983C9B"/>
    <w:rsid w:val="1FA72CF9"/>
    <w:rsid w:val="201605FE"/>
    <w:rsid w:val="209269F8"/>
    <w:rsid w:val="2093351C"/>
    <w:rsid w:val="20B70DFA"/>
    <w:rsid w:val="20D10697"/>
    <w:rsid w:val="21060F4F"/>
    <w:rsid w:val="211C4D14"/>
    <w:rsid w:val="21557265"/>
    <w:rsid w:val="215A609D"/>
    <w:rsid w:val="21BB6E51"/>
    <w:rsid w:val="22385B7B"/>
    <w:rsid w:val="224A529C"/>
    <w:rsid w:val="226824C2"/>
    <w:rsid w:val="226A4C31"/>
    <w:rsid w:val="226B795D"/>
    <w:rsid w:val="22887A80"/>
    <w:rsid w:val="228F2214"/>
    <w:rsid w:val="2292667C"/>
    <w:rsid w:val="22A2238D"/>
    <w:rsid w:val="22DE3187"/>
    <w:rsid w:val="22EE47E6"/>
    <w:rsid w:val="22F634B8"/>
    <w:rsid w:val="23203542"/>
    <w:rsid w:val="23503E69"/>
    <w:rsid w:val="23603F83"/>
    <w:rsid w:val="23700181"/>
    <w:rsid w:val="238A1A91"/>
    <w:rsid w:val="23AA3203"/>
    <w:rsid w:val="23EC51D5"/>
    <w:rsid w:val="23FB75C4"/>
    <w:rsid w:val="240661C5"/>
    <w:rsid w:val="24995476"/>
    <w:rsid w:val="24B3750A"/>
    <w:rsid w:val="24B91C95"/>
    <w:rsid w:val="24BF140F"/>
    <w:rsid w:val="24DC50B9"/>
    <w:rsid w:val="24E23B7F"/>
    <w:rsid w:val="24E5168B"/>
    <w:rsid w:val="24F11C9D"/>
    <w:rsid w:val="25060B80"/>
    <w:rsid w:val="25161BC7"/>
    <w:rsid w:val="25317EB3"/>
    <w:rsid w:val="25377729"/>
    <w:rsid w:val="257826FF"/>
    <w:rsid w:val="25D93266"/>
    <w:rsid w:val="25E03CB8"/>
    <w:rsid w:val="260400FD"/>
    <w:rsid w:val="260B7141"/>
    <w:rsid w:val="262B2002"/>
    <w:rsid w:val="2657271D"/>
    <w:rsid w:val="26794A3E"/>
    <w:rsid w:val="26BA3F8D"/>
    <w:rsid w:val="26F557F8"/>
    <w:rsid w:val="26FE0B05"/>
    <w:rsid w:val="271059E5"/>
    <w:rsid w:val="27662778"/>
    <w:rsid w:val="279246B1"/>
    <w:rsid w:val="27B91EF4"/>
    <w:rsid w:val="280C0DC8"/>
    <w:rsid w:val="289B79CF"/>
    <w:rsid w:val="28E079FB"/>
    <w:rsid w:val="293E031B"/>
    <w:rsid w:val="29BA52C8"/>
    <w:rsid w:val="2A117324"/>
    <w:rsid w:val="2A4407E0"/>
    <w:rsid w:val="2A6F476C"/>
    <w:rsid w:val="2AA63EDF"/>
    <w:rsid w:val="2AC8123B"/>
    <w:rsid w:val="2ACE1DEA"/>
    <w:rsid w:val="2B377AEF"/>
    <w:rsid w:val="2B757801"/>
    <w:rsid w:val="2BEF4CDD"/>
    <w:rsid w:val="2C0A63F2"/>
    <w:rsid w:val="2C0B67F0"/>
    <w:rsid w:val="2C654F6F"/>
    <w:rsid w:val="2CD50526"/>
    <w:rsid w:val="2CEE130F"/>
    <w:rsid w:val="2D511C1E"/>
    <w:rsid w:val="2D6019D9"/>
    <w:rsid w:val="2D75397A"/>
    <w:rsid w:val="2DE26078"/>
    <w:rsid w:val="2DF10E73"/>
    <w:rsid w:val="2E365919"/>
    <w:rsid w:val="2E95331E"/>
    <w:rsid w:val="2E9E1AE3"/>
    <w:rsid w:val="2EC53ACC"/>
    <w:rsid w:val="2EF516D8"/>
    <w:rsid w:val="2F09580E"/>
    <w:rsid w:val="2F263B50"/>
    <w:rsid w:val="2F61446B"/>
    <w:rsid w:val="2F6E74E8"/>
    <w:rsid w:val="2FD55BA1"/>
    <w:rsid w:val="30244DD7"/>
    <w:rsid w:val="3026570F"/>
    <w:rsid w:val="30B23531"/>
    <w:rsid w:val="30D14AC9"/>
    <w:rsid w:val="3106310C"/>
    <w:rsid w:val="31101881"/>
    <w:rsid w:val="312119C5"/>
    <w:rsid w:val="313C6FCA"/>
    <w:rsid w:val="315F51AD"/>
    <w:rsid w:val="319D2954"/>
    <w:rsid w:val="31CC5A32"/>
    <w:rsid w:val="31CD2AE7"/>
    <w:rsid w:val="323D6B00"/>
    <w:rsid w:val="3252095D"/>
    <w:rsid w:val="32546BE3"/>
    <w:rsid w:val="325D04B0"/>
    <w:rsid w:val="32667F8B"/>
    <w:rsid w:val="328061B5"/>
    <w:rsid w:val="32A952BB"/>
    <w:rsid w:val="330F54AC"/>
    <w:rsid w:val="33186CD8"/>
    <w:rsid w:val="3324188B"/>
    <w:rsid w:val="3337663A"/>
    <w:rsid w:val="33511338"/>
    <w:rsid w:val="335E12C3"/>
    <w:rsid w:val="33D5415E"/>
    <w:rsid w:val="33DD204C"/>
    <w:rsid w:val="34110697"/>
    <w:rsid w:val="342C42EA"/>
    <w:rsid w:val="34477CD0"/>
    <w:rsid w:val="344A2EA8"/>
    <w:rsid w:val="3456294C"/>
    <w:rsid w:val="34A02DD4"/>
    <w:rsid w:val="34A237BE"/>
    <w:rsid w:val="358F5CCE"/>
    <w:rsid w:val="35C63821"/>
    <w:rsid w:val="35E62812"/>
    <w:rsid w:val="36054D59"/>
    <w:rsid w:val="365B6913"/>
    <w:rsid w:val="367B57E2"/>
    <w:rsid w:val="36BA5A6C"/>
    <w:rsid w:val="36E00D39"/>
    <w:rsid w:val="36E82E9C"/>
    <w:rsid w:val="36F30F87"/>
    <w:rsid w:val="36F87D3A"/>
    <w:rsid w:val="370A1144"/>
    <w:rsid w:val="372C6A28"/>
    <w:rsid w:val="378751E0"/>
    <w:rsid w:val="37E473E0"/>
    <w:rsid w:val="38B942E6"/>
    <w:rsid w:val="39145B36"/>
    <w:rsid w:val="391B1B5E"/>
    <w:rsid w:val="39317DFF"/>
    <w:rsid w:val="39BA380F"/>
    <w:rsid w:val="39BC414B"/>
    <w:rsid w:val="39D27234"/>
    <w:rsid w:val="3A003B37"/>
    <w:rsid w:val="3AC01104"/>
    <w:rsid w:val="3B2026F4"/>
    <w:rsid w:val="3B443E1A"/>
    <w:rsid w:val="3B5551E9"/>
    <w:rsid w:val="3B9E2049"/>
    <w:rsid w:val="3B9F331B"/>
    <w:rsid w:val="3BB368BD"/>
    <w:rsid w:val="3BCB00D1"/>
    <w:rsid w:val="3BF515B8"/>
    <w:rsid w:val="3C4934F1"/>
    <w:rsid w:val="3C5A0901"/>
    <w:rsid w:val="3C6B32AA"/>
    <w:rsid w:val="3C982167"/>
    <w:rsid w:val="3CAB2246"/>
    <w:rsid w:val="3CE17B25"/>
    <w:rsid w:val="3D03489D"/>
    <w:rsid w:val="3D116317"/>
    <w:rsid w:val="3D6C2C22"/>
    <w:rsid w:val="3D9A6146"/>
    <w:rsid w:val="3DB11FCA"/>
    <w:rsid w:val="3DD45A9B"/>
    <w:rsid w:val="3E0B27ED"/>
    <w:rsid w:val="3E5F19C7"/>
    <w:rsid w:val="3E63071B"/>
    <w:rsid w:val="3E7246B4"/>
    <w:rsid w:val="3EC071FB"/>
    <w:rsid w:val="3EEB339B"/>
    <w:rsid w:val="3F1C5340"/>
    <w:rsid w:val="3F531384"/>
    <w:rsid w:val="3FC538CA"/>
    <w:rsid w:val="3FD17632"/>
    <w:rsid w:val="3FE63CFE"/>
    <w:rsid w:val="40457D39"/>
    <w:rsid w:val="40661497"/>
    <w:rsid w:val="40BB4394"/>
    <w:rsid w:val="40EF197F"/>
    <w:rsid w:val="41550E32"/>
    <w:rsid w:val="41A77581"/>
    <w:rsid w:val="41FE521C"/>
    <w:rsid w:val="424661F3"/>
    <w:rsid w:val="42AC70CA"/>
    <w:rsid w:val="42B61891"/>
    <w:rsid w:val="42CC3BFE"/>
    <w:rsid w:val="42E96BE5"/>
    <w:rsid w:val="42FC5F5A"/>
    <w:rsid w:val="432964CA"/>
    <w:rsid w:val="433A11F8"/>
    <w:rsid w:val="4346592C"/>
    <w:rsid w:val="435A7637"/>
    <w:rsid w:val="439B71F8"/>
    <w:rsid w:val="43A07FEF"/>
    <w:rsid w:val="43C85AEB"/>
    <w:rsid w:val="44042466"/>
    <w:rsid w:val="44C01F25"/>
    <w:rsid w:val="44C924A6"/>
    <w:rsid w:val="44E01311"/>
    <w:rsid w:val="44EA18A3"/>
    <w:rsid w:val="452A0524"/>
    <w:rsid w:val="455308B3"/>
    <w:rsid w:val="45575DF3"/>
    <w:rsid w:val="458750DA"/>
    <w:rsid w:val="45EC1096"/>
    <w:rsid w:val="45F867AD"/>
    <w:rsid w:val="465C7814"/>
    <w:rsid w:val="46726D9D"/>
    <w:rsid w:val="46A82B7D"/>
    <w:rsid w:val="46CE3545"/>
    <w:rsid w:val="46EC7FB3"/>
    <w:rsid w:val="46EE36B4"/>
    <w:rsid w:val="47372A84"/>
    <w:rsid w:val="474B199A"/>
    <w:rsid w:val="47503476"/>
    <w:rsid w:val="479954ED"/>
    <w:rsid w:val="47CA2CCF"/>
    <w:rsid w:val="47E02331"/>
    <w:rsid w:val="48BC3659"/>
    <w:rsid w:val="48E23BFA"/>
    <w:rsid w:val="490A7BA5"/>
    <w:rsid w:val="491631E3"/>
    <w:rsid w:val="491D5DA7"/>
    <w:rsid w:val="49262207"/>
    <w:rsid w:val="494172AA"/>
    <w:rsid w:val="496B2F4D"/>
    <w:rsid w:val="4A0643BD"/>
    <w:rsid w:val="4A702841"/>
    <w:rsid w:val="4A7B2457"/>
    <w:rsid w:val="4AA95674"/>
    <w:rsid w:val="4AF730C4"/>
    <w:rsid w:val="4B0F301A"/>
    <w:rsid w:val="4B1E1FF4"/>
    <w:rsid w:val="4B293373"/>
    <w:rsid w:val="4B371075"/>
    <w:rsid w:val="4B3E38C0"/>
    <w:rsid w:val="4B427C4A"/>
    <w:rsid w:val="4B4B7009"/>
    <w:rsid w:val="4B9824B7"/>
    <w:rsid w:val="4BA459C6"/>
    <w:rsid w:val="4BB94235"/>
    <w:rsid w:val="4BD82FF8"/>
    <w:rsid w:val="4BE70780"/>
    <w:rsid w:val="4BEE5ED0"/>
    <w:rsid w:val="4C206F6E"/>
    <w:rsid w:val="4C214E32"/>
    <w:rsid w:val="4C410A42"/>
    <w:rsid w:val="4C54779B"/>
    <w:rsid w:val="4C8E5EAB"/>
    <w:rsid w:val="4C9E7F31"/>
    <w:rsid w:val="4CBE02EC"/>
    <w:rsid w:val="4CCD2B82"/>
    <w:rsid w:val="4D4F06AA"/>
    <w:rsid w:val="4D8746B9"/>
    <w:rsid w:val="4DB44612"/>
    <w:rsid w:val="4DF10F03"/>
    <w:rsid w:val="4E496386"/>
    <w:rsid w:val="4E597A3B"/>
    <w:rsid w:val="4EEB44FA"/>
    <w:rsid w:val="4EEC06BD"/>
    <w:rsid w:val="4F1A2B37"/>
    <w:rsid w:val="4F1D2E37"/>
    <w:rsid w:val="4F1D4C56"/>
    <w:rsid w:val="4F224403"/>
    <w:rsid w:val="4F532781"/>
    <w:rsid w:val="4F536AF8"/>
    <w:rsid w:val="4F8D3B57"/>
    <w:rsid w:val="4F8E0987"/>
    <w:rsid w:val="4F976C0B"/>
    <w:rsid w:val="4FDA33CC"/>
    <w:rsid w:val="502B5D10"/>
    <w:rsid w:val="50473DB1"/>
    <w:rsid w:val="50776135"/>
    <w:rsid w:val="50A70EAB"/>
    <w:rsid w:val="50C65CE0"/>
    <w:rsid w:val="50CA133A"/>
    <w:rsid w:val="50F32696"/>
    <w:rsid w:val="513F3021"/>
    <w:rsid w:val="5184373B"/>
    <w:rsid w:val="51C940C2"/>
    <w:rsid w:val="51FC1B27"/>
    <w:rsid w:val="523C2001"/>
    <w:rsid w:val="52E94169"/>
    <w:rsid w:val="5308542E"/>
    <w:rsid w:val="53BE25B4"/>
    <w:rsid w:val="53DB2E1F"/>
    <w:rsid w:val="53DC7D16"/>
    <w:rsid w:val="54355112"/>
    <w:rsid w:val="54685525"/>
    <w:rsid w:val="546D1141"/>
    <w:rsid w:val="54866F9A"/>
    <w:rsid w:val="54B93579"/>
    <w:rsid w:val="54C85CEA"/>
    <w:rsid w:val="55351C79"/>
    <w:rsid w:val="5544012A"/>
    <w:rsid w:val="556E42CC"/>
    <w:rsid w:val="559274A0"/>
    <w:rsid w:val="55955E83"/>
    <w:rsid w:val="55CE5D90"/>
    <w:rsid w:val="56092490"/>
    <w:rsid w:val="563345F6"/>
    <w:rsid w:val="56464FAA"/>
    <w:rsid w:val="56616D4A"/>
    <w:rsid w:val="56684598"/>
    <w:rsid w:val="568534DE"/>
    <w:rsid w:val="56874019"/>
    <w:rsid w:val="56911896"/>
    <w:rsid w:val="569C6167"/>
    <w:rsid w:val="56A065A6"/>
    <w:rsid w:val="56D64435"/>
    <w:rsid w:val="56D95EF8"/>
    <w:rsid w:val="570A1C36"/>
    <w:rsid w:val="5750078C"/>
    <w:rsid w:val="575258EA"/>
    <w:rsid w:val="57B074FE"/>
    <w:rsid w:val="57CF01DB"/>
    <w:rsid w:val="57CF2FCA"/>
    <w:rsid w:val="57FC2C7E"/>
    <w:rsid w:val="582C1DA9"/>
    <w:rsid w:val="584319BC"/>
    <w:rsid w:val="585621EB"/>
    <w:rsid w:val="58753507"/>
    <w:rsid w:val="58CE30D5"/>
    <w:rsid w:val="58DB4DD1"/>
    <w:rsid w:val="59001AE6"/>
    <w:rsid w:val="595C4EE5"/>
    <w:rsid w:val="595E57CA"/>
    <w:rsid w:val="597E122A"/>
    <w:rsid w:val="59D36806"/>
    <w:rsid w:val="59DC7706"/>
    <w:rsid w:val="5A0E3B19"/>
    <w:rsid w:val="5A271D80"/>
    <w:rsid w:val="5A655F73"/>
    <w:rsid w:val="5A9415B1"/>
    <w:rsid w:val="5A9D4EC7"/>
    <w:rsid w:val="5AE5346F"/>
    <w:rsid w:val="5AEC5ED8"/>
    <w:rsid w:val="5AF72D1E"/>
    <w:rsid w:val="5BB57138"/>
    <w:rsid w:val="5C11654A"/>
    <w:rsid w:val="5C2D3D84"/>
    <w:rsid w:val="5C4939B6"/>
    <w:rsid w:val="5C9E7802"/>
    <w:rsid w:val="5D013021"/>
    <w:rsid w:val="5D485BD7"/>
    <w:rsid w:val="5D49435D"/>
    <w:rsid w:val="5D9672F3"/>
    <w:rsid w:val="5E470330"/>
    <w:rsid w:val="5E715D5D"/>
    <w:rsid w:val="5EF41A5E"/>
    <w:rsid w:val="5EF74F44"/>
    <w:rsid w:val="5F1A3AB7"/>
    <w:rsid w:val="5F1A4D0E"/>
    <w:rsid w:val="5F9249C9"/>
    <w:rsid w:val="5F984F00"/>
    <w:rsid w:val="5FA84549"/>
    <w:rsid w:val="5FB567E4"/>
    <w:rsid w:val="604B67EA"/>
    <w:rsid w:val="61426E03"/>
    <w:rsid w:val="61684250"/>
    <w:rsid w:val="61764A43"/>
    <w:rsid w:val="61B2648A"/>
    <w:rsid w:val="6217459F"/>
    <w:rsid w:val="622F7D85"/>
    <w:rsid w:val="623E4A31"/>
    <w:rsid w:val="62A7054C"/>
    <w:rsid w:val="62E16B01"/>
    <w:rsid w:val="6355377F"/>
    <w:rsid w:val="63DC7FC3"/>
    <w:rsid w:val="63EE3920"/>
    <w:rsid w:val="640B6A22"/>
    <w:rsid w:val="6416568C"/>
    <w:rsid w:val="643616ED"/>
    <w:rsid w:val="643F5F06"/>
    <w:rsid w:val="64952391"/>
    <w:rsid w:val="64C82C21"/>
    <w:rsid w:val="64ED6935"/>
    <w:rsid w:val="64ED7E2D"/>
    <w:rsid w:val="653A3A8C"/>
    <w:rsid w:val="657449B3"/>
    <w:rsid w:val="659855FC"/>
    <w:rsid w:val="665A33B0"/>
    <w:rsid w:val="668B270C"/>
    <w:rsid w:val="66BB5028"/>
    <w:rsid w:val="66D87604"/>
    <w:rsid w:val="66DC2353"/>
    <w:rsid w:val="66EB2076"/>
    <w:rsid w:val="671E7C1C"/>
    <w:rsid w:val="673E2F02"/>
    <w:rsid w:val="67B61CE8"/>
    <w:rsid w:val="67D41DA2"/>
    <w:rsid w:val="67F15062"/>
    <w:rsid w:val="682240CD"/>
    <w:rsid w:val="684F6EEC"/>
    <w:rsid w:val="68534FC0"/>
    <w:rsid w:val="686862B4"/>
    <w:rsid w:val="68DA6378"/>
    <w:rsid w:val="68DE5552"/>
    <w:rsid w:val="68DE6A21"/>
    <w:rsid w:val="68FC212F"/>
    <w:rsid w:val="69335730"/>
    <w:rsid w:val="69420390"/>
    <w:rsid w:val="695157D0"/>
    <w:rsid w:val="69676427"/>
    <w:rsid w:val="6A133F2B"/>
    <w:rsid w:val="6A345981"/>
    <w:rsid w:val="6A867E04"/>
    <w:rsid w:val="6AB259A8"/>
    <w:rsid w:val="6AD07C5A"/>
    <w:rsid w:val="6B336FB6"/>
    <w:rsid w:val="6B4138B1"/>
    <w:rsid w:val="6BCB5BF8"/>
    <w:rsid w:val="6BCE3108"/>
    <w:rsid w:val="6C2C387A"/>
    <w:rsid w:val="6C64334F"/>
    <w:rsid w:val="6C841505"/>
    <w:rsid w:val="6C8E0635"/>
    <w:rsid w:val="6C926B2D"/>
    <w:rsid w:val="6CBA14DD"/>
    <w:rsid w:val="6CCB3495"/>
    <w:rsid w:val="6D0D041B"/>
    <w:rsid w:val="6D0D5126"/>
    <w:rsid w:val="6D0E21C8"/>
    <w:rsid w:val="6D390BD3"/>
    <w:rsid w:val="6D4F6496"/>
    <w:rsid w:val="6D6C7EF7"/>
    <w:rsid w:val="6DAA208A"/>
    <w:rsid w:val="6DCA25EF"/>
    <w:rsid w:val="6DE54EEA"/>
    <w:rsid w:val="6E186B51"/>
    <w:rsid w:val="6E3B1DEB"/>
    <w:rsid w:val="6E5F6899"/>
    <w:rsid w:val="6EAF2BCE"/>
    <w:rsid w:val="6F1357CF"/>
    <w:rsid w:val="6F246F3F"/>
    <w:rsid w:val="6F99231F"/>
    <w:rsid w:val="6FA25D22"/>
    <w:rsid w:val="6FA625BF"/>
    <w:rsid w:val="6FF41E23"/>
    <w:rsid w:val="70210C35"/>
    <w:rsid w:val="707E70E2"/>
    <w:rsid w:val="715E4F2E"/>
    <w:rsid w:val="7192713F"/>
    <w:rsid w:val="71C31F6D"/>
    <w:rsid w:val="71CF1CEE"/>
    <w:rsid w:val="720A2BAE"/>
    <w:rsid w:val="720F44EB"/>
    <w:rsid w:val="72177F6A"/>
    <w:rsid w:val="722D6956"/>
    <w:rsid w:val="7235622E"/>
    <w:rsid w:val="728360B8"/>
    <w:rsid w:val="728C0300"/>
    <w:rsid w:val="729548E6"/>
    <w:rsid w:val="72966AA5"/>
    <w:rsid w:val="72A26EFE"/>
    <w:rsid w:val="72CD5727"/>
    <w:rsid w:val="731E79F9"/>
    <w:rsid w:val="735E3561"/>
    <w:rsid w:val="73644B82"/>
    <w:rsid w:val="74061DF3"/>
    <w:rsid w:val="741C2A6E"/>
    <w:rsid w:val="74914580"/>
    <w:rsid w:val="74A64088"/>
    <w:rsid w:val="750E10CA"/>
    <w:rsid w:val="75134DC7"/>
    <w:rsid w:val="753112FC"/>
    <w:rsid w:val="75546140"/>
    <w:rsid w:val="75631380"/>
    <w:rsid w:val="759C5044"/>
    <w:rsid w:val="75C52811"/>
    <w:rsid w:val="75D81BF4"/>
    <w:rsid w:val="75F46061"/>
    <w:rsid w:val="76446B06"/>
    <w:rsid w:val="766259C8"/>
    <w:rsid w:val="76974CA4"/>
    <w:rsid w:val="76A53D43"/>
    <w:rsid w:val="76EB6279"/>
    <w:rsid w:val="772F24B8"/>
    <w:rsid w:val="7763043E"/>
    <w:rsid w:val="776F5B90"/>
    <w:rsid w:val="77DC18FA"/>
    <w:rsid w:val="77F31AE8"/>
    <w:rsid w:val="783562BD"/>
    <w:rsid w:val="791F1C0F"/>
    <w:rsid w:val="793B6AD0"/>
    <w:rsid w:val="79CC1E85"/>
    <w:rsid w:val="7A647F11"/>
    <w:rsid w:val="7AA000A3"/>
    <w:rsid w:val="7ADD1BB1"/>
    <w:rsid w:val="7B2040DE"/>
    <w:rsid w:val="7B4A2B21"/>
    <w:rsid w:val="7B4C5195"/>
    <w:rsid w:val="7BB8180E"/>
    <w:rsid w:val="7BC617C2"/>
    <w:rsid w:val="7BDF2AE1"/>
    <w:rsid w:val="7C066496"/>
    <w:rsid w:val="7C180966"/>
    <w:rsid w:val="7C1C4372"/>
    <w:rsid w:val="7C292318"/>
    <w:rsid w:val="7C5B102E"/>
    <w:rsid w:val="7C6F494A"/>
    <w:rsid w:val="7C7F3FAA"/>
    <w:rsid w:val="7CF252F4"/>
    <w:rsid w:val="7D0F532E"/>
    <w:rsid w:val="7D383451"/>
    <w:rsid w:val="7D851A94"/>
    <w:rsid w:val="7D937B3C"/>
    <w:rsid w:val="7DCA52E6"/>
    <w:rsid w:val="7E370FE0"/>
    <w:rsid w:val="7E9F639D"/>
    <w:rsid w:val="7EBF6252"/>
    <w:rsid w:val="7F4F63C9"/>
    <w:rsid w:val="7F6C2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99"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iPriority="99"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3">
    <w:name w:val="heading 1"/>
    <w:basedOn w:val="4"/>
    <w:next w:val="4"/>
    <w:link w:val="61"/>
    <w:qFormat/>
    <w:uiPriority w:val="0"/>
    <w:pPr>
      <w:keepNext/>
      <w:spacing w:before="50" w:beforeLines="50" w:after="50" w:afterLines="50"/>
      <w:ind w:firstLine="0" w:firstLineChars="0"/>
    </w:pPr>
    <w:rPr>
      <w:rFonts w:ascii="黑体" w:hAnsi="黑体" w:eastAsia="宋体"/>
    </w:rPr>
  </w:style>
  <w:style w:type="paragraph" w:styleId="5">
    <w:name w:val="heading 2"/>
    <w:basedOn w:val="1"/>
    <w:next w:val="1"/>
    <w:link w:val="63"/>
    <w:qFormat/>
    <w:uiPriority w:val="0"/>
    <w:pPr>
      <w:keepNext/>
      <w:keepLines/>
      <w:ind w:firstLine="0" w:firstLineChars="0"/>
      <w:outlineLvl w:val="1"/>
    </w:pPr>
    <w:rPr>
      <w:rFonts w:ascii="Times New Roman" w:hAnsi="Times New Roman" w:eastAsia="宋体"/>
      <w:b/>
      <w:sz w:val="28"/>
    </w:rPr>
  </w:style>
  <w:style w:type="paragraph" w:styleId="6">
    <w:name w:val="heading 3"/>
    <w:basedOn w:val="1"/>
    <w:next w:val="1"/>
    <w:link w:val="64"/>
    <w:qFormat/>
    <w:uiPriority w:val="0"/>
    <w:pPr>
      <w:keepNext/>
      <w:keepLines/>
      <w:ind w:firstLine="0" w:firstLineChars="0"/>
      <w:outlineLvl w:val="2"/>
    </w:pPr>
    <w:rPr>
      <w:b/>
      <w:szCs w:val="24"/>
    </w:rPr>
  </w:style>
  <w:style w:type="paragraph" w:styleId="7">
    <w:name w:val="heading 4"/>
    <w:basedOn w:val="1"/>
    <w:next w:val="1"/>
    <w:link w:val="60"/>
    <w:unhideWhenUsed/>
    <w:qFormat/>
    <w:uiPriority w:val="0"/>
    <w:pPr>
      <w:keepNext/>
      <w:keepLines/>
      <w:ind w:firstLine="0" w:firstLineChars="0"/>
      <w:jc w:val="left"/>
      <w:outlineLvl w:val="3"/>
    </w:pPr>
    <w:rPr>
      <w:b/>
      <w:bCs/>
      <w:szCs w:val="28"/>
    </w:rPr>
  </w:style>
  <w:style w:type="paragraph" w:styleId="8">
    <w:name w:val="heading 5"/>
    <w:basedOn w:val="1"/>
    <w:next w:val="1"/>
    <w:link w:val="112"/>
    <w:unhideWhenUsed/>
    <w:qFormat/>
    <w:uiPriority w:val="9"/>
    <w:pPr>
      <w:keepNext/>
      <w:keepLines/>
      <w:ind w:firstLine="0" w:firstLineChars="0"/>
      <w:outlineLvl w:val="4"/>
    </w:pPr>
    <w:rPr>
      <w:b/>
      <w:bCs/>
      <w:szCs w:val="28"/>
    </w:rPr>
  </w:style>
  <w:style w:type="paragraph" w:styleId="9">
    <w:name w:val="heading 6"/>
    <w:basedOn w:val="1"/>
    <w:next w:val="1"/>
    <w:link w:val="113"/>
    <w:unhideWhenUsed/>
    <w:qFormat/>
    <w:uiPriority w:val="9"/>
    <w:pPr>
      <w:keepNext/>
      <w:keepLines/>
      <w:spacing w:before="240" w:after="64" w:line="320" w:lineRule="atLeast"/>
      <w:outlineLvl w:val="5"/>
    </w:pPr>
    <w:rPr>
      <w:rFonts w:ascii="Calibri Light" w:hAnsi="Calibri Light"/>
      <w:b/>
      <w:bCs/>
      <w:szCs w:val="24"/>
    </w:rPr>
  </w:style>
  <w:style w:type="character" w:default="1" w:styleId="42">
    <w:name w:val="Default Paragraph Font"/>
    <w:semiHidden/>
    <w:unhideWhenUsed/>
    <w:qFormat/>
    <w:uiPriority w:val="1"/>
  </w:style>
  <w:style w:type="table" w:default="1" w:styleId="3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2"/>
    <w:basedOn w:val="1"/>
    <w:link w:val="94"/>
    <w:qFormat/>
    <w:uiPriority w:val="0"/>
    <w:pPr>
      <w:spacing w:after="120" w:line="480" w:lineRule="auto"/>
    </w:pPr>
  </w:style>
  <w:style w:type="paragraph" w:styleId="4">
    <w:name w:val="Title"/>
    <w:basedOn w:val="1"/>
    <w:next w:val="1"/>
    <w:link w:val="62"/>
    <w:qFormat/>
    <w:uiPriority w:val="0"/>
    <w:pPr>
      <w:spacing w:before="240" w:after="60"/>
      <w:jc w:val="center"/>
      <w:outlineLvl w:val="0"/>
    </w:pPr>
    <w:rPr>
      <w:rFonts w:ascii="Calibri Light" w:hAnsi="Calibri Light"/>
      <w:b/>
      <w:bCs/>
      <w:sz w:val="32"/>
      <w:szCs w:val="32"/>
    </w:rPr>
  </w:style>
  <w:style w:type="paragraph" w:styleId="10">
    <w:name w:val="toc 7"/>
    <w:basedOn w:val="1"/>
    <w:next w:val="1"/>
    <w:qFormat/>
    <w:uiPriority w:val="39"/>
    <w:pPr>
      <w:ind w:left="1440"/>
    </w:pPr>
    <w:rPr>
      <w:rFonts w:ascii="Calibri" w:hAnsi="Calibri"/>
      <w:sz w:val="18"/>
      <w:szCs w:val="18"/>
    </w:rPr>
  </w:style>
  <w:style w:type="paragraph" w:styleId="11">
    <w:name w:val="List Number"/>
    <w:basedOn w:val="1"/>
    <w:semiHidden/>
    <w:unhideWhenUsed/>
    <w:qFormat/>
    <w:uiPriority w:val="99"/>
    <w:pPr>
      <w:numPr>
        <w:ilvl w:val="0"/>
        <w:numId w:val="1"/>
      </w:numPr>
    </w:pPr>
  </w:style>
  <w:style w:type="paragraph" w:styleId="12">
    <w:name w:val="Normal Indent"/>
    <w:basedOn w:val="1"/>
    <w:next w:val="7"/>
    <w:link w:val="73"/>
    <w:qFormat/>
    <w:uiPriority w:val="0"/>
    <w:pPr>
      <w:ind w:firstLine="420"/>
    </w:pPr>
    <w:rPr>
      <w:sz w:val="28"/>
    </w:rPr>
  </w:style>
  <w:style w:type="paragraph" w:styleId="13">
    <w:name w:val="Document Map"/>
    <w:basedOn w:val="1"/>
    <w:link w:val="91"/>
    <w:semiHidden/>
    <w:qFormat/>
    <w:uiPriority w:val="0"/>
    <w:pPr>
      <w:shd w:val="clear" w:color="auto" w:fill="000080"/>
    </w:pPr>
  </w:style>
  <w:style w:type="paragraph" w:styleId="14">
    <w:name w:val="annotation text"/>
    <w:basedOn w:val="1"/>
    <w:link w:val="107"/>
    <w:qFormat/>
    <w:uiPriority w:val="0"/>
  </w:style>
  <w:style w:type="paragraph" w:styleId="15">
    <w:name w:val="Body Text"/>
    <w:basedOn w:val="1"/>
    <w:next w:val="16"/>
    <w:link w:val="89"/>
    <w:qFormat/>
    <w:uiPriority w:val="0"/>
    <w:pPr>
      <w:spacing w:after="120"/>
    </w:pPr>
  </w:style>
  <w:style w:type="paragraph" w:styleId="16">
    <w:name w:val="List Bullet 5"/>
    <w:basedOn w:val="1"/>
    <w:semiHidden/>
    <w:unhideWhenUsed/>
    <w:qFormat/>
    <w:uiPriority w:val="99"/>
    <w:pPr>
      <w:numPr>
        <w:ilvl w:val="0"/>
        <w:numId w:val="2"/>
      </w:numPr>
    </w:pPr>
  </w:style>
  <w:style w:type="paragraph" w:styleId="17">
    <w:name w:val="Body Text Indent"/>
    <w:basedOn w:val="1"/>
    <w:next w:val="15"/>
    <w:link w:val="82"/>
    <w:qFormat/>
    <w:uiPriority w:val="0"/>
    <w:pPr>
      <w:spacing w:after="120"/>
      <w:ind w:left="420" w:leftChars="200"/>
    </w:pPr>
  </w:style>
  <w:style w:type="paragraph" w:styleId="18">
    <w:name w:val="toc 5"/>
    <w:basedOn w:val="1"/>
    <w:next w:val="1"/>
    <w:qFormat/>
    <w:uiPriority w:val="39"/>
    <w:pPr>
      <w:ind w:left="960"/>
    </w:pPr>
    <w:rPr>
      <w:rFonts w:ascii="Calibri" w:hAnsi="Calibri"/>
      <w:sz w:val="18"/>
      <w:szCs w:val="18"/>
    </w:rPr>
  </w:style>
  <w:style w:type="paragraph" w:styleId="19">
    <w:name w:val="toc 3"/>
    <w:basedOn w:val="1"/>
    <w:next w:val="1"/>
    <w:qFormat/>
    <w:uiPriority w:val="39"/>
    <w:pPr>
      <w:ind w:left="480"/>
    </w:pPr>
    <w:rPr>
      <w:rFonts w:ascii="Calibri" w:hAnsi="Calibri"/>
      <w:i/>
      <w:iCs/>
      <w:sz w:val="20"/>
    </w:rPr>
  </w:style>
  <w:style w:type="paragraph" w:styleId="20">
    <w:name w:val="Plain Text"/>
    <w:basedOn w:val="1"/>
    <w:link w:val="72"/>
    <w:qFormat/>
    <w:uiPriority w:val="0"/>
    <w:rPr>
      <w:rFonts w:hAnsi="Courier New"/>
      <w:sz w:val="21"/>
    </w:rPr>
  </w:style>
  <w:style w:type="paragraph" w:styleId="21">
    <w:name w:val="toc 8"/>
    <w:basedOn w:val="1"/>
    <w:next w:val="1"/>
    <w:qFormat/>
    <w:uiPriority w:val="39"/>
    <w:pPr>
      <w:ind w:left="1680"/>
    </w:pPr>
    <w:rPr>
      <w:rFonts w:ascii="Calibri" w:hAnsi="Calibri"/>
      <w:sz w:val="18"/>
      <w:szCs w:val="18"/>
    </w:rPr>
  </w:style>
  <w:style w:type="paragraph" w:styleId="22">
    <w:name w:val="Date"/>
    <w:basedOn w:val="1"/>
    <w:next w:val="1"/>
    <w:link w:val="76"/>
    <w:qFormat/>
    <w:uiPriority w:val="0"/>
    <w:pPr>
      <w:ind w:left="100" w:leftChars="2500"/>
    </w:pPr>
  </w:style>
  <w:style w:type="paragraph" w:styleId="23">
    <w:name w:val="Body Text Indent 2"/>
    <w:basedOn w:val="1"/>
    <w:link w:val="74"/>
    <w:qFormat/>
    <w:uiPriority w:val="0"/>
    <w:pPr>
      <w:ind w:firstLine="720" w:firstLineChars="257"/>
    </w:pPr>
    <w:rPr>
      <w:sz w:val="28"/>
    </w:rPr>
  </w:style>
  <w:style w:type="paragraph" w:styleId="24">
    <w:name w:val="Balloon Text"/>
    <w:basedOn w:val="1"/>
    <w:link w:val="101"/>
    <w:qFormat/>
    <w:uiPriority w:val="0"/>
    <w:rPr>
      <w:sz w:val="18"/>
      <w:szCs w:val="18"/>
      <w:lang w:eastAsia="ja-JP"/>
    </w:rPr>
  </w:style>
  <w:style w:type="paragraph" w:styleId="25">
    <w:name w:val="footer"/>
    <w:basedOn w:val="1"/>
    <w:next w:val="1"/>
    <w:link w:val="70"/>
    <w:unhideWhenUsed/>
    <w:qFormat/>
    <w:uiPriority w:val="99"/>
    <w:pPr>
      <w:tabs>
        <w:tab w:val="center" w:pos="4153"/>
        <w:tab w:val="right" w:pos="8306"/>
      </w:tabs>
      <w:spacing w:line="240" w:lineRule="atLeast"/>
    </w:pPr>
    <w:rPr>
      <w:sz w:val="18"/>
      <w:szCs w:val="18"/>
    </w:rPr>
  </w:style>
  <w:style w:type="paragraph" w:styleId="26">
    <w:name w:val="header"/>
    <w:basedOn w:val="1"/>
    <w:link w:val="69"/>
    <w:unhideWhenUsed/>
    <w:qFormat/>
    <w:uiPriority w:val="0"/>
    <w:pPr>
      <w:pBdr>
        <w:bottom w:val="single" w:color="auto" w:sz="6" w:space="1"/>
      </w:pBdr>
      <w:tabs>
        <w:tab w:val="center" w:pos="4153"/>
        <w:tab w:val="right" w:pos="8306"/>
      </w:tabs>
      <w:spacing w:line="240" w:lineRule="atLeast"/>
      <w:jc w:val="center"/>
    </w:pPr>
    <w:rPr>
      <w:sz w:val="18"/>
      <w:szCs w:val="18"/>
    </w:rPr>
  </w:style>
  <w:style w:type="paragraph" w:styleId="27">
    <w:name w:val="toc 1"/>
    <w:basedOn w:val="1"/>
    <w:next w:val="1"/>
    <w:qFormat/>
    <w:uiPriority w:val="39"/>
    <w:pPr>
      <w:spacing w:before="120" w:after="120"/>
    </w:pPr>
    <w:rPr>
      <w:rFonts w:ascii="Calibri" w:hAnsi="Calibri"/>
      <w:b/>
      <w:bCs/>
      <w:caps/>
      <w:sz w:val="20"/>
    </w:rPr>
  </w:style>
  <w:style w:type="paragraph" w:styleId="28">
    <w:name w:val="toc 4"/>
    <w:basedOn w:val="1"/>
    <w:next w:val="1"/>
    <w:qFormat/>
    <w:uiPriority w:val="39"/>
    <w:pPr>
      <w:ind w:left="720"/>
    </w:pPr>
    <w:rPr>
      <w:rFonts w:ascii="Calibri" w:hAnsi="Calibri"/>
      <w:sz w:val="18"/>
      <w:szCs w:val="18"/>
    </w:rPr>
  </w:style>
  <w:style w:type="paragraph" w:styleId="29">
    <w:name w:val="index heading"/>
    <w:basedOn w:val="1"/>
    <w:next w:val="30"/>
    <w:qFormat/>
    <w:uiPriority w:val="99"/>
    <w:pPr>
      <w:spacing w:line="360" w:lineRule="atLeast"/>
      <w:textAlignment w:val="baseline"/>
    </w:pPr>
    <w:rPr>
      <w:kern w:val="44"/>
      <w:sz w:val="28"/>
    </w:rPr>
  </w:style>
  <w:style w:type="paragraph" w:styleId="30">
    <w:name w:val="index 1"/>
    <w:basedOn w:val="1"/>
    <w:next w:val="1"/>
    <w:semiHidden/>
    <w:qFormat/>
    <w:uiPriority w:val="0"/>
    <w:pPr>
      <w:spacing w:line="400" w:lineRule="exact"/>
    </w:pPr>
    <w:rPr>
      <w:szCs w:val="24"/>
    </w:rPr>
  </w:style>
  <w:style w:type="paragraph" w:styleId="31">
    <w:name w:val="List"/>
    <w:basedOn w:val="1"/>
    <w:qFormat/>
    <w:uiPriority w:val="0"/>
    <w:pPr>
      <w:ind w:left="200" w:hanging="200" w:hangingChars="200"/>
      <w:contextualSpacing/>
    </w:pPr>
    <w:rPr>
      <w:kern w:val="0"/>
    </w:rPr>
  </w:style>
  <w:style w:type="paragraph" w:styleId="32">
    <w:name w:val="toc 6"/>
    <w:basedOn w:val="1"/>
    <w:next w:val="1"/>
    <w:qFormat/>
    <w:uiPriority w:val="39"/>
    <w:pPr>
      <w:ind w:left="1200"/>
    </w:pPr>
    <w:rPr>
      <w:rFonts w:ascii="Calibri" w:hAnsi="Calibri"/>
      <w:sz w:val="18"/>
      <w:szCs w:val="18"/>
    </w:rPr>
  </w:style>
  <w:style w:type="paragraph" w:styleId="33">
    <w:name w:val="Body Text Indent 3"/>
    <w:basedOn w:val="1"/>
    <w:link w:val="78"/>
    <w:qFormat/>
    <w:uiPriority w:val="0"/>
    <w:pPr>
      <w:spacing w:after="120"/>
      <w:ind w:left="420" w:leftChars="200"/>
    </w:pPr>
    <w:rPr>
      <w:sz w:val="16"/>
      <w:szCs w:val="16"/>
    </w:rPr>
  </w:style>
  <w:style w:type="paragraph" w:styleId="34">
    <w:name w:val="toc 2"/>
    <w:basedOn w:val="1"/>
    <w:next w:val="1"/>
    <w:qFormat/>
    <w:uiPriority w:val="39"/>
    <w:pPr>
      <w:ind w:left="240"/>
    </w:pPr>
    <w:rPr>
      <w:rFonts w:ascii="Calibri" w:hAnsi="Calibri"/>
      <w:smallCaps/>
      <w:sz w:val="20"/>
    </w:rPr>
  </w:style>
  <w:style w:type="paragraph" w:styleId="35">
    <w:name w:val="toc 9"/>
    <w:basedOn w:val="1"/>
    <w:next w:val="1"/>
    <w:qFormat/>
    <w:uiPriority w:val="39"/>
    <w:pPr>
      <w:ind w:left="1920"/>
    </w:pPr>
    <w:rPr>
      <w:rFonts w:ascii="Calibri" w:hAnsi="Calibri"/>
      <w:sz w:val="18"/>
      <w:szCs w:val="18"/>
    </w:rPr>
  </w:style>
  <w:style w:type="paragraph" w:styleId="36">
    <w:name w:val="Normal (Web)"/>
    <w:basedOn w:val="1"/>
    <w:qFormat/>
    <w:uiPriority w:val="0"/>
    <w:pPr>
      <w:widowControl/>
      <w:spacing w:before="100" w:beforeAutospacing="1" w:after="100" w:afterAutospacing="1"/>
    </w:pPr>
    <w:rPr>
      <w:rFonts w:cs="宋体"/>
      <w:kern w:val="0"/>
      <w:szCs w:val="24"/>
    </w:rPr>
  </w:style>
  <w:style w:type="paragraph" w:styleId="37">
    <w:name w:val="annotation subject"/>
    <w:basedOn w:val="14"/>
    <w:next w:val="14"/>
    <w:link w:val="108"/>
    <w:qFormat/>
    <w:uiPriority w:val="0"/>
    <w:rPr>
      <w:b/>
      <w:bCs/>
    </w:rPr>
  </w:style>
  <w:style w:type="paragraph" w:styleId="38">
    <w:name w:val="Body Text First Indent 2"/>
    <w:basedOn w:val="17"/>
    <w:next w:val="1"/>
    <w:qFormat/>
    <w:uiPriority w:val="0"/>
    <w:pPr>
      <w:spacing w:line="240" w:lineRule="auto"/>
      <w:ind w:firstLine="420"/>
    </w:pPr>
    <w:rPr>
      <w:sz w:val="21"/>
    </w:rPr>
  </w:style>
  <w:style w:type="table" w:styleId="40">
    <w:name w:val="Table Grid"/>
    <w:basedOn w:val="39"/>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41">
    <w:name w:val="Table Professional"/>
    <w:basedOn w:val="3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43">
    <w:name w:val="Strong"/>
    <w:qFormat/>
    <w:uiPriority w:val="0"/>
    <w:rPr>
      <w:b/>
      <w:bCs/>
    </w:rPr>
  </w:style>
  <w:style w:type="character" w:styleId="44">
    <w:name w:val="page number"/>
    <w:basedOn w:val="42"/>
    <w:qFormat/>
    <w:uiPriority w:val="0"/>
  </w:style>
  <w:style w:type="character" w:styleId="45">
    <w:name w:val="FollowedHyperlink"/>
    <w:unhideWhenUsed/>
    <w:qFormat/>
    <w:uiPriority w:val="99"/>
    <w:rPr>
      <w:color w:val="800080"/>
      <w:u w:val="single"/>
    </w:rPr>
  </w:style>
  <w:style w:type="character" w:styleId="46">
    <w:name w:val="Emphasis"/>
    <w:basedOn w:val="42"/>
    <w:qFormat/>
    <w:uiPriority w:val="0"/>
    <w:rPr>
      <w:b/>
      <w:sz w:val="21"/>
      <w:szCs w:val="21"/>
    </w:rPr>
  </w:style>
  <w:style w:type="character" w:styleId="47">
    <w:name w:val="line number"/>
    <w:basedOn w:val="42"/>
    <w:unhideWhenUsed/>
    <w:qFormat/>
    <w:uiPriority w:val="99"/>
  </w:style>
  <w:style w:type="character" w:styleId="48">
    <w:name w:val="Hyperlink"/>
    <w:basedOn w:val="42"/>
    <w:qFormat/>
    <w:uiPriority w:val="99"/>
    <w:rPr>
      <w:color w:val="0000FF"/>
      <w:u w:val="single"/>
    </w:rPr>
  </w:style>
  <w:style w:type="character" w:styleId="49">
    <w:name w:val="annotation reference"/>
    <w:qFormat/>
    <w:uiPriority w:val="0"/>
    <w:rPr>
      <w:sz w:val="21"/>
      <w:szCs w:val="21"/>
    </w:rPr>
  </w:style>
  <w:style w:type="character" w:customStyle="1" w:styleId="50">
    <w:name w:val="标题 3 Char"/>
    <w:qFormat/>
    <w:uiPriority w:val="0"/>
    <w:rPr>
      <w:b/>
      <w:bCs/>
      <w:sz w:val="32"/>
      <w:szCs w:val="32"/>
    </w:rPr>
  </w:style>
  <w:style w:type="paragraph" w:customStyle="1" w:styleId="51">
    <w:name w:val="样式 样式 样式 四号 左侧:  1.53 厘米 + 首行缩进:  2 字符 + 居中 左侧:  2 字符 首行缩进:  2..."/>
    <w:basedOn w:val="52"/>
    <w:next w:val="1"/>
    <w:qFormat/>
    <w:uiPriority w:val="0"/>
    <w:pPr>
      <w:jc w:val="center"/>
    </w:pPr>
  </w:style>
  <w:style w:type="paragraph" w:customStyle="1" w:styleId="52">
    <w:name w:val="样式 样式 四号 左侧:  1.53 厘米 + 首行缩进:  2 字符"/>
    <w:basedOn w:val="53"/>
    <w:qFormat/>
    <w:uiPriority w:val="99"/>
    <w:pPr>
      <w:ind w:left="200" w:leftChars="200"/>
    </w:pPr>
    <w:rPr>
      <w:szCs w:val="20"/>
    </w:rPr>
  </w:style>
  <w:style w:type="paragraph" w:customStyle="1" w:styleId="53">
    <w:name w:val="样式 四号 左侧:  1.53 厘米"/>
    <w:basedOn w:val="1"/>
    <w:qFormat/>
    <w:uiPriority w:val="99"/>
    <w:rPr>
      <w:w w:val="90"/>
      <w:sz w:val="28"/>
      <w:szCs w:val="28"/>
    </w:rPr>
  </w:style>
  <w:style w:type="paragraph" w:customStyle="1" w:styleId="54">
    <w:name w:val="xl27"/>
    <w:basedOn w:val="1"/>
    <w:next w:val="55"/>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55">
    <w:name w:val="A正文"/>
    <w:basedOn w:val="1"/>
    <w:qFormat/>
    <w:uiPriority w:val="0"/>
    <w:pPr>
      <w:widowControl/>
      <w:ind w:firstLine="480"/>
      <w:jc w:val="left"/>
    </w:pPr>
    <w:rPr>
      <w:rFonts w:ascii="宋体" w:hAnsi="宋体"/>
      <w:kern w:val="0"/>
      <w:szCs w:val="22"/>
    </w:rPr>
  </w:style>
  <w:style w:type="paragraph" w:customStyle="1" w:styleId="5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7">
    <w:name w:val="样式 正文文本 + 首行缩进:  2 字符"/>
    <w:basedOn w:val="15"/>
    <w:qFormat/>
    <w:uiPriority w:val="0"/>
    <w:pPr>
      <w:spacing w:after="0" w:line="480" w:lineRule="exact"/>
      <w:ind w:firstLine="480" w:firstLineChars="200"/>
    </w:pPr>
    <w:rPr>
      <w:rFonts w:cs="宋体"/>
      <w:sz w:val="24"/>
      <w:szCs w:val="20"/>
    </w:rPr>
  </w:style>
  <w:style w:type="paragraph" w:customStyle="1" w:styleId="58">
    <w:name w:val="书四级标题"/>
    <w:basedOn w:val="6"/>
    <w:link w:val="59"/>
    <w:qFormat/>
    <w:uiPriority w:val="0"/>
    <w:pPr>
      <w:outlineLvl w:val="3"/>
    </w:pPr>
  </w:style>
  <w:style w:type="character" w:customStyle="1" w:styleId="59">
    <w:name w:val="书四级标题 Char"/>
    <w:link w:val="58"/>
    <w:qFormat/>
    <w:uiPriority w:val="0"/>
    <w:rPr>
      <w:rFonts w:ascii="Times New Roman" w:hAnsi="Times New Roman" w:eastAsia="黑体"/>
      <w:b/>
      <w:kern w:val="2"/>
      <w:sz w:val="24"/>
      <w:szCs w:val="24"/>
    </w:rPr>
  </w:style>
  <w:style w:type="character" w:customStyle="1" w:styleId="60">
    <w:name w:val="标题 4 字符"/>
    <w:link w:val="7"/>
    <w:qFormat/>
    <w:uiPriority w:val="0"/>
    <w:rPr>
      <w:rFonts w:ascii="Times New Roman" w:hAnsi="Times New Roman" w:eastAsia="宋体" w:cs="Times New Roman"/>
      <w:b/>
      <w:bCs/>
      <w:sz w:val="24"/>
      <w:szCs w:val="28"/>
    </w:rPr>
  </w:style>
  <w:style w:type="character" w:customStyle="1" w:styleId="61">
    <w:name w:val="标题 1 字符"/>
    <w:link w:val="3"/>
    <w:qFormat/>
    <w:uiPriority w:val="0"/>
    <w:rPr>
      <w:rFonts w:ascii="黑体" w:hAnsi="黑体" w:eastAsia="宋体"/>
      <w:b/>
      <w:bCs/>
      <w:kern w:val="2"/>
      <w:sz w:val="32"/>
      <w:szCs w:val="32"/>
    </w:rPr>
  </w:style>
  <w:style w:type="character" w:customStyle="1" w:styleId="62">
    <w:name w:val="标题 字符"/>
    <w:link w:val="4"/>
    <w:qFormat/>
    <w:uiPriority w:val="0"/>
    <w:rPr>
      <w:rFonts w:ascii="Calibri Light" w:hAnsi="Calibri Light" w:eastAsia="宋体" w:cs="Times New Roman"/>
      <w:b/>
      <w:bCs/>
      <w:sz w:val="32"/>
      <w:szCs w:val="32"/>
    </w:rPr>
  </w:style>
  <w:style w:type="character" w:customStyle="1" w:styleId="63">
    <w:name w:val="标题 2 字符"/>
    <w:link w:val="5"/>
    <w:qFormat/>
    <w:uiPriority w:val="0"/>
    <w:rPr>
      <w:rFonts w:ascii="Times New Roman" w:hAnsi="Times New Roman" w:eastAsia="宋体"/>
      <w:b/>
      <w:kern w:val="2"/>
      <w:sz w:val="28"/>
    </w:rPr>
  </w:style>
  <w:style w:type="character" w:customStyle="1" w:styleId="64">
    <w:name w:val="标题 3 字符"/>
    <w:link w:val="6"/>
    <w:qFormat/>
    <w:uiPriority w:val="0"/>
    <w:rPr>
      <w:rFonts w:ascii="Times New Roman" w:hAnsi="Times New Roman" w:eastAsia="宋体"/>
      <w:b/>
      <w:kern w:val="2"/>
      <w:sz w:val="24"/>
      <w:szCs w:val="24"/>
    </w:rPr>
  </w:style>
  <w:style w:type="paragraph" w:customStyle="1" w:styleId="65">
    <w:name w:val="书表格内"/>
    <w:basedOn w:val="1"/>
    <w:link w:val="66"/>
    <w:qFormat/>
    <w:uiPriority w:val="0"/>
    <w:pPr>
      <w:framePr w:hSpace="180" w:wrap="around" w:vAnchor="text" w:hAnchor="text" w:xAlign="center" w:y="1"/>
      <w:spacing w:line="240" w:lineRule="exact"/>
      <w:ind w:firstLine="0" w:firstLineChars="0"/>
      <w:jc w:val="center"/>
    </w:pPr>
    <w:rPr>
      <w:sz w:val="21"/>
      <w:szCs w:val="21"/>
    </w:rPr>
  </w:style>
  <w:style w:type="character" w:customStyle="1" w:styleId="66">
    <w:name w:val="书表格内 Char"/>
    <w:link w:val="65"/>
    <w:qFormat/>
    <w:uiPriority w:val="0"/>
    <w:rPr>
      <w:rFonts w:ascii="宋体" w:hAnsi="宋体"/>
      <w:kern w:val="2"/>
      <w:sz w:val="21"/>
      <w:szCs w:val="21"/>
    </w:rPr>
  </w:style>
  <w:style w:type="paragraph" w:customStyle="1" w:styleId="67">
    <w:name w:val="罗马数字"/>
    <w:basedOn w:val="1"/>
    <w:link w:val="68"/>
    <w:qFormat/>
    <w:uiPriority w:val="0"/>
    <w:rPr>
      <w:rFonts w:ascii="Calibri" w:hAnsi="Calibri" w:eastAsia="Times New Roman"/>
      <w:szCs w:val="22"/>
    </w:rPr>
  </w:style>
  <w:style w:type="character" w:customStyle="1" w:styleId="68">
    <w:name w:val="罗马数字 Char"/>
    <w:link w:val="67"/>
    <w:qFormat/>
    <w:uiPriority w:val="0"/>
    <w:rPr>
      <w:rFonts w:eastAsia="Times New Roman"/>
      <w:sz w:val="24"/>
    </w:rPr>
  </w:style>
  <w:style w:type="character" w:customStyle="1" w:styleId="69">
    <w:name w:val="页眉 字符"/>
    <w:link w:val="26"/>
    <w:qFormat/>
    <w:uiPriority w:val="0"/>
    <w:rPr>
      <w:rFonts w:ascii="宋体" w:hAnsi="宋体" w:eastAsia="宋体" w:cs="Times New Roman"/>
      <w:sz w:val="18"/>
      <w:szCs w:val="18"/>
    </w:rPr>
  </w:style>
  <w:style w:type="character" w:customStyle="1" w:styleId="70">
    <w:name w:val="页脚 字符"/>
    <w:link w:val="25"/>
    <w:qFormat/>
    <w:uiPriority w:val="99"/>
    <w:rPr>
      <w:rFonts w:ascii="宋体" w:hAnsi="宋体" w:eastAsia="宋体" w:cs="Times New Roman"/>
      <w:sz w:val="18"/>
      <w:szCs w:val="18"/>
    </w:rPr>
  </w:style>
  <w:style w:type="paragraph" w:customStyle="1" w:styleId="71">
    <w:name w:val="Char Char Char Char"/>
    <w:basedOn w:val="1"/>
    <w:qFormat/>
    <w:uiPriority w:val="0"/>
    <w:rPr>
      <w:sz w:val="21"/>
    </w:rPr>
  </w:style>
  <w:style w:type="character" w:customStyle="1" w:styleId="72">
    <w:name w:val="纯文本 字符"/>
    <w:link w:val="20"/>
    <w:qFormat/>
    <w:uiPriority w:val="0"/>
    <w:rPr>
      <w:rFonts w:ascii="宋体" w:hAnsi="Courier New" w:eastAsia="宋体" w:cs="Times New Roman"/>
      <w:szCs w:val="20"/>
    </w:rPr>
  </w:style>
  <w:style w:type="character" w:customStyle="1" w:styleId="73">
    <w:name w:val="正文缩进 字符"/>
    <w:link w:val="12"/>
    <w:qFormat/>
    <w:uiPriority w:val="0"/>
    <w:rPr>
      <w:rFonts w:ascii="Times New Roman" w:hAnsi="宋体" w:eastAsia="宋体" w:cs="Times New Roman"/>
      <w:sz w:val="28"/>
      <w:szCs w:val="20"/>
    </w:rPr>
  </w:style>
  <w:style w:type="character" w:customStyle="1" w:styleId="74">
    <w:name w:val="正文文本缩进 2 字符"/>
    <w:link w:val="23"/>
    <w:qFormat/>
    <w:uiPriority w:val="0"/>
    <w:rPr>
      <w:rFonts w:ascii="Times New Roman" w:hAnsi="宋体" w:eastAsia="宋体" w:cs="Times New Roman"/>
      <w:sz w:val="28"/>
      <w:szCs w:val="20"/>
    </w:rPr>
  </w:style>
  <w:style w:type="paragraph" w:customStyle="1" w:styleId="75">
    <w:name w:val="方程式"/>
    <w:basedOn w:val="1"/>
    <w:qFormat/>
    <w:uiPriority w:val="0"/>
    <w:pPr>
      <w:overflowPunct w:val="0"/>
      <w:autoSpaceDE w:val="0"/>
      <w:autoSpaceDN w:val="0"/>
      <w:spacing w:before="60" w:after="60" w:line="340" w:lineRule="exact"/>
      <w:textAlignment w:val="bottom"/>
    </w:pPr>
    <w:rPr>
      <w:kern w:val="0"/>
    </w:rPr>
  </w:style>
  <w:style w:type="character" w:customStyle="1" w:styleId="76">
    <w:name w:val="日期 字符"/>
    <w:link w:val="22"/>
    <w:qFormat/>
    <w:uiPriority w:val="0"/>
    <w:rPr>
      <w:rFonts w:ascii="宋体" w:hAnsi="宋体" w:eastAsia="宋体" w:cs="Times New Roman"/>
      <w:sz w:val="24"/>
      <w:szCs w:val="20"/>
    </w:rPr>
  </w:style>
  <w:style w:type="paragraph" w:customStyle="1" w:styleId="77">
    <w:name w:val="正文2"/>
    <w:basedOn w:val="1"/>
    <w:qFormat/>
    <w:uiPriority w:val="0"/>
    <w:pPr>
      <w:spacing w:line="440" w:lineRule="atLeast"/>
      <w:ind w:firstLine="567"/>
    </w:pPr>
  </w:style>
  <w:style w:type="character" w:customStyle="1" w:styleId="78">
    <w:name w:val="正文文本缩进 3 字符"/>
    <w:link w:val="33"/>
    <w:qFormat/>
    <w:uiPriority w:val="0"/>
    <w:rPr>
      <w:rFonts w:ascii="宋体" w:hAnsi="宋体" w:eastAsia="宋体" w:cs="Times New Roman"/>
      <w:sz w:val="16"/>
      <w:szCs w:val="16"/>
    </w:rPr>
  </w:style>
  <w:style w:type="paragraph" w:customStyle="1" w:styleId="79">
    <w:name w:val="1.1.1"/>
    <w:basedOn w:val="1"/>
    <w:next w:val="1"/>
    <w:qFormat/>
    <w:uiPriority w:val="0"/>
    <w:pPr>
      <w:widowControl/>
    </w:pPr>
    <w:rPr>
      <w:rFonts w:ascii="黑体" w:hAnsi="黑体"/>
      <w:color w:val="000000"/>
    </w:rPr>
  </w:style>
  <w:style w:type="paragraph" w:customStyle="1" w:styleId="80">
    <w:name w:val="表内"/>
    <w:basedOn w:val="1"/>
    <w:qFormat/>
    <w:uiPriority w:val="0"/>
    <w:pPr>
      <w:jc w:val="center"/>
    </w:pPr>
    <w:rPr>
      <w:sz w:val="21"/>
      <w:szCs w:val="24"/>
    </w:rPr>
  </w:style>
  <w:style w:type="paragraph" w:customStyle="1" w:styleId="81">
    <w:name w:val="0"/>
    <w:basedOn w:val="1"/>
    <w:qFormat/>
    <w:uiPriority w:val="0"/>
    <w:pPr>
      <w:widowControl/>
      <w:spacing w:before="100" w:beforeAutospacing="1" w:after="100" w:afterAutospacing="1"/>
    </w:pPr>
    <w:rPr>
      <w:rFonts w:cs="宋体"/>
      <w:kern w:val="0"/>
      <w:szCs w:val="24"/>
    </w:rPr>
  </w:style>
  <w:style w:type="character" w:customStyle="1" w:styleId="82">
    <w:name w:val="正文文本缩进 字符"/>
    <w:link w:val="17"/>
    <w:qFormat/>
    <w:uiPriority w:val="0"/>
    <w:rPr>
      <w:rFonts w:ascii="宋体" w:hAnsi="宋体" w:eastAsia="宋体" w:cs="Times New Roman"/>
      <w:sz w:val="24"/>
      <w:szCs w:val="20"/>
    </w:rPr>
  </w:style>
  <w:style w:type="paragraph" w:customStyle="1" w:styleId="83">
    <w:name w:val="Char Char1 Char"/>
    <w:basedOn w:val="6"/>
    <w:qFormat/>
    <w:uiPriority w:val="0"/>
    <w:pPr>
      <w:tabs>
        <w:tab w:val="left" w:pos="360"/>
        <w:tab w:val="left" w:pos="900"/>
      </w:tabs>
      <w:spacing w:before="120" w:after="120"/>
      <w:ind w:left="542" w:leftChars="-12"/>
    </w:pPr>
    <w:rPr>
      <w:b w:val="0"/>
      <w:snapToGrid w:val="0"/>
    </w:rPr>
  </w:style>
  <w:style w:type="character" w:customStyle="1" w:styleId="84">
    <w:name w:val="标题1"/>
    <w:basedOn w:val="42"/>
    <w:qFormat/>
    <w:uiPriority w:val="0"/>
  </w:style>
  <w:style w:type="paragraph" w:customStyle="1" w:styleId="85">
    <w:name w:val="Char"/>
    <w:basedOn w:val="6"/>
    <w:qFormat/>
    <w:uiPriority w:val="0"/>
    <w:pPr>
      <w:tabs>
        <w:tab w:val="left" w:pos="360"/>
        <w:tab w:val="left" w:pos="720"/>
        <w:tab w:val="left" w:pos="900"/>
      </w:tabs>
      <w:spacing w:before="120" w:after="120"/>
      <w:ind w:left="542" w:leftChars="-12" w:firstLine="200" w:firstLineChars="200"/>
    </w:pPr>
    <w:rPr>
      <w:b w:val="0"/>
      <w:snapToGrid w:val="0"/>
    </w:rPr>
  </w:style>
  <w:style w:type="paragraph" w:customStyle="1" w:styleId="86">
    <w:name w:val="正文1"/>
    <w:semiHidden/>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87">
    <w:name w:val="Char1"/>
    <w:basedOn w:val="6"/>
    <w:qFormat/>
    <w:uiPriority w:val="0"/>
    <w:pPr>
      <w:tabs>
        <w:tab w:val="left" w:pos="360"/>
        <w:tab w:val="left" w:pos="900"/>
      </w:tabs>
      <w:spacing w:before="120" w:after="120"/>
      <w:ind w:left="542" w:leftChars="-12"/>
    </w:pPr>
    <w:rPr>
      <w:b w:val="0"/>
      <w:snapToGrid w:val="0"/>
    </w:rPr>
  </w:style>
  <w:style w:type="paragraph" w:customStyle="1" w:styleId="88">
    <w:name w:val="Char2"/>
    <w:basedOn w:val="6"/>
    <w:qFormat/>
    <w:uiPriority w:val="0"/>
    <w:pPr>
      <w:tabs>
        <w:tab w:val="left" w:pos="360"/>
        <w:tab w:val="left" w:pos="900"/>
      </w:tabs>
      <w:spacing w:before="120" w:after="120"/>
      <w:ind w:left="542" w:leftChars="-12"/>
    </w:pPr>
    <w:rPr>
      <w:b w:val="0"/>
    </w:rPr>
  </w:style>
  <w:style w:type="character" w:customStyle="1" w:styleId="89">
    <w:name w:val="正文文本 字符"/>
    <w:link w:val="15"/>
    <w:qFormat/>
    <w:uiPriority w:val="0"/>
    <w:rPr>
      <w:rFonts w:ascii="宋体" w:hAnsi="宋体" w:eastAsia="宋体" w:cs="Times New Roman"/>
      <w:sz w:val="24"/>
      <w:szCs w:val="20"/>
    </w:rPr>
  </w:style>
  <w:style w:type="paragraph" w:customStyle="1" w:styleId="90">
    <w:name w:val="表格式"/>
    <w:basedOn w:val="1"/>
    <w:qFormat/>
    <w:uiPriority w:val="0"/>
    <w:pPr>
      <w:spacing w:line="440" w:lineRule="exact"/>
      <w:jc w:val="center"/>
      <w:textAlignment w:val="center"/>
    </w:pPr>
    <w:rPr>
      <w:rFonts w:hAnsi="华文中宋"/>
      <w:color w:val="000000"/>
      <w:sz w:val="21"/>
    </w:rPr>
  </w:style>
  <w:style w:type="character" w:customStyle="1" w:styleId="91">
    <w:name w:val="文档结构图 字符"/>
    <w:link w:val="13"/>
    <w:semiHidden/>
    <w:qFormat/>
    <w:uiPriority w:val="0"/>
    <w:rPr>
      <w:rFonts w:ascii="宋体" w:hAnsi="宋体" w:eastAsia="宋体" w:cs="Times New Roman"/>
      <w:sz w:val="24"/>
      <w:szCs w:val="20"/>
      <w:shd w:val="clear" w:color="auto" w:fill="000080"/>
    </w:rPr>
  </w:style>
  <w:style w:type="paragraph" w:customStyle="1" w:styleId="92">
    <w:name w:val="表格文字"/>
    <w:basedOn w:val="1"/>
    <w:qFormat/>
    <w:uiPriority w:val="0"/>
    <w:pPr>
      <w:jc w:val="center"/>
    </w:pPr>
    <w:rPr>
      <w:rFonts w:ascii="仿宋_GB2312" w:hAnsi="Arial Black" w:eastAsia="仿宋_GB2312"/>
      <w:kern w:val="44"/>
      <w:szCs w:val="24"/>
    </w:rPr>
  </w:style>
  <w:style w:type="paragraph" w:customStyle="1" w:styleId="93">
    <w:name w:val="表头"/>
    <w:basedOn w:val="1"/>
    <w:next w:val="1"/>
    <w:qFormat/>
    <w:uiPriority w:val="0"/>
    <w:pPr>
      <w:spacing w:before="60" w:beforeLines="25"/>
      <w:jc w:val="center"/>
      <w:textAlignment w:val="baseline"/>
    </w:pPr>
    <w:rPr>
      <w:rFonts w:eastAsia="仿宋_GB2312"/>
      <w:b/>
      <w:kern w:val="0"/>
      <w:sz w:val="28"/>
      <w:szCs w:val="28"/>
    </w:rPr>
  </w:style>
  <w:style w:type="character" w:customStyle="1" w:styleId="94">
    <w:name w:val="正文文本 2 字符"/>
    <w:link w:val="2"/>
    <w:qFormat/>
    <w:uiPriority w:val="0"/>
    <w:rPr>
      <w:rFonts w:ascii="宋体" w:hAnsi="宋体" w:eastAsia="宋体" w:cs="Times New Roman"/>
      <w:sz w:val="24"/>
      <w:szCs w:val="20"/>
    </w:rPr>
  </w:style>
  <w:style w:type="character" w:customStyle="1" w:styleId="95">
    <w:name w:val="apple-style-span"/>
    <w:basedOn w:val="42"/>
    <w:qFormat/>
    <w:uiPriority w:val="0"/>
  </w:style>
  <w:style w:type="paragraph" w:customStyle="1" w:styleId="96">
    <w:name w:val="Char Char Char Char1"/>
    <w:basedOn w:val="1"/>
    <w:qFormat/>
    <w:uiPriority w:val="0"/>
    <w:rPr>
      <w:sz w:val="21"/>
      <w:szCs w:val="24"/>
    </w:rPr>
  </w:style>
  <w:style w:type="paragraph" w:customStyle="1" w:styleId="97">
    <w:name w:val="标题6"/>
    <w:basedOn w:val="1"/>
    <w:qFormat/>
    <w:uiPriority w:val="0"/>
    <w:pPr>
      <w:widowControl/>
      <w:overflowPunct w:val="0"/>
      <w:autoSpaceDE w:val="0"/>
      <w:autoSpaceDN w:val="0"/>
      <w:spacing w:line="380" w:lineRule="exact"/>
      <w:ind w:firstLine="425"/>
      <w:textAlignment w:val="baseline"/>
    </w:pPr>
    <w:rPr>
      <w:rFonts w:ascii="仿宋_GB2312" w:eastAsia="仿宋_GB2312"/>
      <w:kern w:val="0"/>
      <w:sz w:val="28"/>
      <w:lang w:val="en-AU"/>
    </w:rPr>
  </w:style>
  <w:style w:type="paragraph" w:customStyle="1" w:styleId="98">
    <w:name w:val="p17"/>
    <w:basedOn w:val="1"/>
    <w:qFormat/>
    <w:uiPriority w:val="0"/>
    <w:pPr>
      <w:widowControl/>
    </w:pPr>
    <w:rPr>
      <w:kern w:val="0"/>
      <w:sz w:val="21"/>
    </w:rPr>
  </w:style>
  <w:style w:type="paragraph" w:customStyle="1" w:styleId="99">
    <w:name w:val="p0"/>
    <w:basedOn w:val="1"/>
    <w:qFormat/>
    <w:uiPriority w:val="0"/>
    <w:pPr>
      <w:widowControl/>
    </w:pPr>
    <w:rPr>
      <w:kern w:val="0"/>
      <w:sz w:val="21"/>
    </w:rPr>
  </w:style>
  <w:style w:type="paragraph" w:customStyle="1" w:styleId="100">
    <w:name w:val="默认段落字体 Para Char Char Char Char Char Char Char"/>
    <w:basedOn w:val="1"/>
    <w:qFormat/>
    <w:uiPriority w:val="0"/>
    <w:pPr>
      <w:textAlignment w:val="baseline"/>
    </w:pPr>
    <w:rPr>
      <w:color w:val="000000"/>
      <w:kern w:val="0"/>
      <w:szCs w:val="24"/>
      <w:lang w:eastAsia="en-US"/>
    </w:rPr>
  </w:style>
  <w:style w:type="character" w:customStyle="1" w:styleId="101">
    <w:name w:val="批注框文本 字符"/>
    <w:link w:val="24"/>
    <w:qFormat/>
    <w:uiPriority w:val="0"/>
    <w:rPr>
      <w:rFonts w:ascii="Times New Roman" w:hAnsi="宋体" w:eastAsia="宋体" w:cs="Times New Roman"/>
      <w:sz w:val="18"/>
      <w:szCs w:val="18"/>
      <w:lang w:eastAsia="ja-JP"/>
    </w:rPr>
  </w:style>
  <w:style w:type="paragraph" w:customStyle="1" w:styleId="102">
    <w:name w:val="无间隔1"/>
    <w:qFormat/>
    <w:uiPriority w:val="0"/>
    <w:pPr>
      <w:adjustRightInd w:val="0"/>
      <w:snapToGrid w:val="0"/>
      <w:spacing w:before="50" w:beforeLines="50" w:after="50" w:afterLines="50"/>
      <w:jc w:val="center"/>
    </w:pPr>
    <w:rPr>
      <w:rFonts w:ascii="Times New Roman" w:hAnsi="Times New Roman" w:eastAsia="宋体" w:cs="Times New Roman"/>
      <w:b/>
      <w:sz w:val="21"/>
      <w:szCs w:val="22"/>
      <w:lang w:val="en-US" w:eastAsia="zh-CN" w:bidi="ar-SA"/>
    </w:rPr>
  </w:style>
  <w:style w:type="paragraph" w:customStyle="1" w:styleId="103">
    <w:name w:val="封面正文"/>
    <w:qFormat/>
    <w:uiPriority w:val="0"/>
    <w:pPr>
      <w:jc w:val="both"/>
    </w:pPr>
    <w:rPr>
      <w:rFonts w:ascii="Times New Roman" w:hAnsi="Times New Roman" w:eastAsia="宋体" w:cs="Times New Roman"/>
      <w:lang w:val="en-US" w:eastAsia="zh-CN" w:bidi="ar-SA"/>
    </w:rPr>
  </w:style>
  <w:style w:type="paragraph" w:customStyle="1" w:styleId="104">
    <w:name w:val="pic-info"/>
    <w:basedOn w:val="1"/>
    <w:qFormat/>
    <w:uiPriority w:val="0"/>
    <w:pPr>
      <w:widowControl/>
      <w:spacing w:before="100" w:beforeAutospacing="1" w:after="100" w:afterAutospacing="1"/>
    </w:pPr>
    <w:rPr>
      <w:rFonts w:cs="宋体"/>
      <w:kern w:val="0"/>
      <w:szCs w:val="24"/>
    </w:rPr>
  </w:style>
  <w:style w:type="character" w:customStyle="1" w:styleId="105">
    <w:name w:val="spelle"/>
    <w:basedOn w:val="42"/>
    <w:qFormat/>
    <w:uiPriority w:val="0"/>
  </w:style>
  <w:style w:type="paragraph" w:customStyle="1" w:styleId="106">
    <w:name w:val="Char Char1 Char Char Char Char Char Char"/>
    <w:basedOn w:val="1"/>
    <w:qFormat/>
    <w:uiPriority w:val="0"/>
    <w:pPr>
      <w:widowControl/>
      <w:spacing w:after="160" w:line="240" w:lineRule="exact"/>
      <w:ind w:firstLine="0" w:firstLineChars="0"/>
    </w:pPr>
    <w:rPr>
      <w:sz w:val="21"/>
      <w:szCs w:val="24"/>
    </w:rPr>
  </w:style>
  <w:style w:type="character" w:customStyle="1" w:styleId="107">
    <w:name w:val="批注文字 字符"/>
    <w:link w:val="14"/>
    <w:qFormat/>
    <w:uiPriority w:val="0"/>
    <w:rPr>
      <w:rFonts w:ascii="宋体" w:hAnsi="宋体" w:eastAsia="宋体" w:cs="Times New Roman"/>
      <w:sz w:val="24"/>
      <w:szCs w:val="20"/>
    </w:rPr>
  </w:style>
  <w:style w:type="character" w:customStyle="1" w:styleId="108">
    <w:name w:val="批注主题 字符"/>
    <w:link w:val="37"/>
    <w:qFormat/>
    <w:uiPriority w:val="0"/>
    <w:rPr>
      <w:rFonts w:ascii="宋体" w:hAnsi="宋体" w:eastAsia="宋体" w:cs="Times New Roman"/>
      <w:b/>
      <w:bCs/>
      <w:sz w:val="24"/>
      <w:szCs w:val="20"/>
    </w:rPr>
  </w:style>
  <w:style w:type="paragraph" w:customStyle="1" w:styleId="109">
    <w:name w:val="列出段落1"/>
    <w:basedOn w:val="1"/>
    <w:qFormat/>
    <w:uiPriority w:val="34"/>
    <w:pPr>
      <w:ind w:firstLine="420"/>
    </w:pPr>
  </w:style>
  <w:style w:type="character" w:customStyle="1" w:styleId="110">
    <w:name w:val="占位符文本1"/>
    <w:semiHidden/>
    <w:qFormat/>
    <w:uiPriority w:val="99"/>
    <w:rPr>
      <w:color w:val="808080"/>
    </w:rPr>
  </w:style>
  <w:style w:type="paragraph" w:customStyle="1" w:styleId="111">
    <w:name w:val="Char Char Char Char Char Char3 Char Char Char Char Char Char Char"/>
    <w:basedOn w:val="1"/>
    <w:next w:val="1"/>
    <w:qFormat/>
    <w:uiPriority w:val="0"/>
    <w:pPr>
      <w:spacing w:line="240" w:lineRule="auto"/>
      <w:ind w:firstLine="0" w:firstLineChars="0"/>
    </w:pPr>
    <w:rPr>
      <w:sz w:val="21"/>
      <w:szCs w:val="24"/>
    </w:rPr>
  </w:style>
  <w:style w:type="character" w:customStyle="1" w:styleId="112">
    <w:name w:val="标题 5 字符"/>
    <w:link w:val="8"/>
    <w:qFormat/>
    <w:uiPriority w:val="9"/>
    <w:rPr>
      <w:rFonts w:ascii="Times New Roman" w:hAnsi="Times New Roman" w:eastAsia="宋体"/>
      <w:b/>
      <w:bCs/>
      <w:kern w:val="2"/>
      <w:sz w:val="24"/>
      <w:szCs w:val="28"/>
    </w:rPr>
  </w:style>
  <w:style w:type="character" w:customStyle="1" w:styleId="113">
    <w:name w:val="标题 6 字符"/>
    <w:link w:val="9"/>
    <w:qFormat/>
    <w:uiPriority w:val="9"/>
    <w:rPr>
      <w:rFonts w:ascii="Calibri Light" w:hAnsi="Calibri Light" w:eastAsia="宋体" w:cs="Times New Roman"/>
      <w:b/>
      <w:bCs/>
      <w:kern w:val="2"/>
      <w:sz w:val="24"/>
      <w:szCs w:val="24"/>
    </w:rPr>
  </w:style>
  <w:style w:type="paragraph" w:customStyle="1" w:styleId="114">
    <w:name w:val="正文3"/>
    <w:semiHidden/>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15">
    <w:name w:val="文"/>
    <w:basedOn w:val="1"/>
    <w:qFormat/>
    <w:uiPriority w:val="0"/>
    <w:pPr>
      <w:ind w:firstLine="480"/>
    </w:pPr>
    <w:rPr>
      <w:szCs w:val="24"/>
    </w:rPr>
  </w:style>
  <w:style w:type="paragraph" w:customStyle="1" w:styleId="116">
    <w:name w:val="默认段落字体 Para Char"/>
    <w:basedOn w:val="1"/>
    <w:qFormat/>
    <w:uiPriority w:val="0"/>
    <w:rPr>
      <w:rFonts w:cs="宋体"/>
      <w:szCs w:val="24"/>
    </w:rPr>
  </w:style>
  <w:style w:type="paragraph" w:customStyle="1" w:styleId="117">
    <w:name w:val="Char Char Char Char2"/>
    <w:basedOn w:val="1"/>
    <w:qFormat/>
    <w:uiPriority w:val="0"/>
    <w:pPr>
      <w:spacing w:line="240" w:lineRule="auto"/>
      <w:ind w:firstLine="0" w:firstLineChars="0"/>
    </w:pPr>
    <w:rPr>
      <w:sz w:val="21"/>
      <w:szCs w:val="24"/>
    </w:rPr>
  </w:style>
  <w:style w:type="paragraph" w:customStyle="1" w:styleId="118">
    <w:name w:val="TOC 标题1"/>
    <w:basedOn w:val="3"/>
    <w:next w:val="1"/>
    <w:unhideWhenUsed/>
    <w:qFormat/>
    <w:uiPriority w:val="39"/>
    <w:pPr>
      <w:keepLines/>
      <w:widowControl/>
      <w:spacing w:beforeLines="0" w:after="0" w:afterLines="0" w:line="259" w:lineRule="auto"/>
      <w:jc w:val="left"/>
      <w:outlineLvl w:val="9"/>
    </w:pPr>
    <w:rPr>
      <w:rFonts w:ascii="Calibri Light" w:hAnsi="Calibri Light" w:eastAsia="宋体"/>
      <w:b w:val="0"/>
      <w:bCs w:val="0"/>
      <w:color w:val="2E74B5"/>
      <w:kern w:val="0"/>
    </w:rPr>
  </w:style>
  <w:style w:type="character" w:customStyle="1" w:styleId="119">
    <w:name w:val="zt1"/>
    <w:qFormat/>
    <w:uiPriority w:val="0"/>
  </w:style>
  <w:style w:type="paragraph" w:customStyle="1" w:styleId="120">
    <w:name w:val="内容"/>
    <w:basedOn w:val="36"/>
    <w:link w:val="121"/>
    <w:qFormat/>
    <w:uiPriority w:val="0"/>
    <w:pPr>
      <w:widowControl w:val="0"/>
      <w:spacing w:before="0" w:beforeAutospacing="0" w:after="0" w:afterAutospacing="0" w:line="400" w:lineRule="exact"/>
      <w:ind w:firstLine="480"/>
    </w:pPr>
    <w:rPr>
      <w:rFonts w:cs="Times New Roman"/>
      <w:szCs w:val="27"/>
    </w:rPr>
  </w:style>
  <w:style w:type="character" w:customStyle="1" w:styleId="121">
    <w:name w:val="内容 Char"/>
    <w:link w:val="120"/>
    <w:qFormat/>
    <w:uiPriority w:val="0"/>
    <w:rPr>
      <w:rFonts w:ascii="宋体" w:hAnsi="宋体"/>
      <w:sz w:val="24"/>
      <w:szCs w:val="27"/>
    </w:rPr>
  </w:style>
  <w:style w:type="paragraph" w:customStyle="1" w:styleId="122">
    <w:name w:val="内表头"/>
    <w:basedOn w:val="1"/>
    <w:link w:val="12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6" w:beforeLines="50" w:after="156" w:afterLines="50" w:line="240" w:lineRule="auto"/>
      <w:ind w:firstLine="0" w:firstLineChars="0"/>
      <w:jc w:val="center"/>
    </w:pPr>
    <w:rPr>
      <w:b/>
      <w:bCs/>
      <w:kern w:val="0"/>
      <w:sz w:val="21"/>
      <w:szCs w:val="21"/>
    </w:rPr>
  </w:style>
  <w:style w:type="character" w:customStyle="1" w:styleId="123">
    <w:name w:val="内表头 Char"/>
    <w:link w:val="122"/>
    <w:qFormat/>
    <w:uiPriority w:val="0"/>
    <w:rPr>
      <w:rFonts w:ascii="宋体" w:hAnsi="宋体"/>
      <w:b/>
      <w:bCs/>
      <w:sz w:val="21"/>
      <w:szCs w:val="21"/>
    </w:rPr>
  </w:style>
  <w:style w:type="paragraph" w:customStyle="1" w:styleId="124">
    <w:name w:val="Char Char Char Char3"/>
    <w:basedOn w:val="1"/>
    <w:qFormat/>
    <w:uiPriority w:val="0"/>
    <w:pPr>
      <w:spacing w:line="240" w:lineRule="auto"/>
      <w:ind w:firstLine="0" w:firstLineChars="0"/>
    </w:pPr>
    <w:rPr>
      <w:sz w:val="21"/>
      <w:szCs w:val="24"/>
    </w:rPr>
  </w:style>
  <w:style w:type="character" w:customStyle="1" w:styleId="125">
    <w:name w:val="报告正文 Char"/>
    <w:link w:val="126"/>
    <w:qFormat/>
    <w:uiPriority w:val="0"/>
    <w:rPr>
      <w:kern w:val="2"/>
      <w:sz w:val="24"/>
      <w:szCs w:val="24"/>
    </w:rPr>
  </w:style>
  <w:style w:type="paragraph" w:customStyle="1" w:styleId="126">
    <w:name w:val="报告正文"/>
    <w:basedOn w:val="1"/>
    <w:next w:val="1"/>
    <w:link w:val="125"/>
    <w:qFormat/>
    <w:uiPriority w:val="0"/>
    <w:rPr>
      <w:rFonts w:ascii="Calibri" w:hAnsi="Calibri"/>
      <w:szCs w:val="24"/>
    </w:rPr>
  </w:style>
  <w:style w:type="paragraph" w:customStyle="1" w:styleId="127">
    <w:name w:val="列出段落2"/>
    <w:basedOn w:val="1"/>
    <w:unhideWhenUsed/>
    <w:qFormat/>
    <w:uiPriority w:val="99"/>
    <w:pPr>
      <w:ind w:firstLine="420"/>
    </w:pPr>
  </w:style>
  <w:style w:type="table" w:customStyle="1" w:styleId="128">
    <w:name w:val="网格型1"/>
    <w:basedOn w:val="39"/>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9">
    <w:name w:val="Table Paragraph"/>
    <w:basedOn w:val="1"/>
    <w:qFormat/>
    <w:uiPriority w:val="1"/>
    <w:pPr>
      <w:ind w:firstLine="480"/>
    </w:pPr>
    <w:rPr>
      <w:szCs w:val="24"/>
    </w:rPr>
  </w:style>
  <w:style w:type="character" w:customStyle="1" w:styleId="130">
    <w:name w:val="0表-序号 Char"/>
    <w:link w:val="131"/>
    <w:qFormat/>
    <w:uiPriority w:val="0"/>
    <w:rPr>
      <w:rFonts w:ascii="Times New Roman" w:hAnsi="Times New Roman" w:eastAsia="宋体"/>
      <w:b/>
      <w:sz w:val="21"/>
    </w:rPr>
  </w:style>
  <w:style w:type="paragraph" w:customStyle="1" w:styleId="131">
    <w:name w:val="0表-序号"/>
    <w:next w:val="132"/>
    <w:link w:val="130"/>
    <w:qFormat/>
    <w:uiPriority w:val="0"/>
    <w:pPr>
      <w:tabs>
        <w:tab w:val="left" w:pos="0"/>
      </w:tabs>
      <w:adjustRightInd w:val="0"/>
      <w:snapToGrid w:val="0"/>
      <w:spacing w:line="360" w:lineRule="auto"/>
      <w:jc w:val="center"/>
    </w:pPr>
    <w:rPr>
      <w:rFonts w:ascii="Times New Roman" w:hAnsi="Times New Roman" w:eastAsia="宋体" w:cs="Times New Roman"/>
      <w:b/>
      <w:sz w:val="21"/>
      <w:lang w:val="en-US" w:eastAsia="zh-CN" w:bidi="ar-SA"/>
    </w:rPr>
  </w:style>
  <w:style w:type="paragraph" w:customStyle="1" w:styleId="132">
    <w:name w:val="000表格正文"/>
    <w:basedOn w:val="1"/>
    <w:next w:val="1"/>
    <w:qFormat/>
    <w:uiPriority w:val="0"/>
    <w:pPr>
      <w:pBdr>
        <w:top w:val="none" w:color="auto" w:sz="0" w:space="1"/>
        <w:left w:val="none" w:color="auto" w:sz="0" w:space="4"/>
        <w:bottom w:val="none" w:color="auto" w:sz="0" w:space="1"/>
        <w:right w:val="none" w:color="auto" w:sz="0" w:space="4"/>
      </w:pBdr>
      <w:spacing w:line="240" w:lineRule="auto"/>
      <w:jc w:val="center"/>
    </w:pPr>
    <w:rPr>
      <w:sz w:val="21"/>
    </w:rPr>
  </w:style>
  <w:style w:type="character" w:customStyle="1" w:styleId="133">
    <w:name w:val="0序号（1） Char"/>
    <w:link w:val="134"/>
    <w:qFormat/>
    <w:uiPriority w:val="0"/>
    <w:rPr>
      <w:kern w:val="2"/>
      <w:sz w:val="24"/>
      <w:szCs w:val="24"/>
    </w:rPr>
  </w:style>
  <w:style w:type="paragraph" w:customStyle="1" w:styleId="134">
    <w:name w:val="0序号（1）"/>
    <w:basedOn w:val="1"/>
    <w:next w:val="1"/>
    <w:link w:val="133"/>
    <w:qFormat/>
    <w:uiPriority w:val="0"/>
    <w:pPr>
      <w:tabs>
        <w:tab w:val="left" w:pos="0"/>
        <w:tab w:val="left" w:pos="1980"/>
      </w:tabs>
      <w:ind w:left="1560" w:firstLine="0" w:firstLineChars="0"/>
    </w:pPr>
    <w:rPr>
      <w:rFonts w:ascii="Calibri" w:hAnsi="Calibri"/>
      <w:szCs w:val="24"/>
    </w:rPr>
  </w:style>
  <w:style w:type="paragraph" w:customStyle="1" w:styleId="135">
    <w:name w:val="0图-序号"/>
    <w:basedOn w:val="1"/>
    <w:next w:val="1"/>
    <w:qFormat/>
    <w:uiPriority w:val="0"/>
    <w:pPr>
      <w:tabs>
        <w:tab w:val="left" w:pos="420"/>
      </w:tabs>
      <w:spacing w:line="240" w:lineRule="auto"/>
      <w:ind w:firstLine="0" w:firstLineChars="0"/>
      <w:jc w:val="center"/>
    </w:pPr>
    <w:rPr>
      <w:rFonts w:eastAsia="黑体"/>
      <w:sz w:val="21"/>
      <w:szCs w:val="24"/>
    </w:rPr>
  </w:style>
  <w:style w:type="paragraph" w:customStyle="1" w:styleId="136">
    <w:name w:val="0序号①"/>
    <w:basedOn w:val="1"/>
    <w:next w:val="1"/>
    <w:qFormat/>
    <w:uiPriority w:val="0"/>
    <w:pPr>
      <w:tabs>
        <w:tab w:val="left" w:pos="420"/>
      </w:tabs>
      <w:ind w:firstLine="640"/>
    </w:pPr>
    <w:rPr>
      <w:szCs w:val="24"/>
    </w:rPr>
  </w:style>
  <w:style w:type="paragraph" w:customStyle="1" w:styleId="137">
    <w:name w:val="标题4"/>
    <w:next w:val="1"/>
    <w:qFormat/>
    <w:uiPriority w:val="0"/>
    <w:pPr>
      <w:tabs>
        <w:tab w:val="left" w:pos="1554"/>
      </w:tabs>
      <w:adjustRightInd w:val="0"/>
      <w:snapToGrid w:val="0"/>
      <w:spacing w:line="360" w:lineRule="auto"/>
      <w:ind w:left="0"/>
    </w:pPr>
    <w:rPr>
      <w:rFonts w:ascii="Times New Roman" w:hAnsi="Times New Roman" w:eastAsia="宋体" w:cs="Times New Roman"/>
      <w:b/>
      <w:sz w:val="24"/>
      <w:lang w:val="en-US" w:eastAsia="zh-CN" w:bidi="ar-SA"/>
    </w:rPr>
  </w:style>
  <w:style w:type="character" w:customStyle="1" w:styleId="138">
    <w:name w:val="无间隔 字符"/>
    <w:link w:val="139"/>
    <w:qFormat/>
    <w:uiPriority w:val="1"/>
    <w:rPr>
      <w:sz w:val="22"/>
      <w:szCs w:val="22"/>
    </w:rPr>
  </w:style>
  <w:style w:type="paragraph" w:styleId="139">
    <w:name w:val="No Spacing"/>
    <w:link w:val="138"/>
    <w:qFormat/>
    <w:uiPriority w:val="1"/>
    <w:rPr>
      <w:rFonts w:ascii="Calibri" w:hAnsi="Calibri" w:eastAsia="宋体" w:cs="Times New Roman"/>
      <w:sz w:val="22"/>
      <w:szCs w:val="22"/>
      <w:lang w:val="en-US" w:eastAsia="zh-CN" w:bidi="ar-SA"/>
    </w:rPr>
  </w:style>
  <w:style w:type="character" w:customStyle="1" w:styleId="140">
    <w:name w:val="000序号（1） Char"/>
    <w:link w:val="141"/>
    <w:qFormat/>
    <w:uiPriority w:val="0"/>
    <w:rPr>
      <w:kern w:val="2"/>
      <w:sz w:val="24"/>
      <w:szCs w:val="24"/>
    </w:rPr>
  </w:style>
  <w:style w:type="paragraph" w:customStyle="1" w:styleId="141">
    <w:name w:val="000序号（1）"/>
    <w:basedOn w:val="1"/>
    <w:link w:val="140"/>
    <w:qFormat/>
    <w:uiPriority w:val="0"/>
    <w:pPr>
      <w:numPr>
        <w:ilvl w:val="3"/>
        <w:numId w:val="3"/>
      </w:numPr>
      <w:tabs>
        <w:tab w:val="left" w:pos="420"/>
      </w:tabs>
      <w:ind w:left="0" w:firstLine="480"/>
    </w:pPr>
    <w:rPr>
      <w:rFonts w:ascii="Calibri" w:hAnsi="Calibri"/>
      <w:szCs w:val="24"/>
    </w:rPr>
  </w:style>
  <w:style w:type="paragraph" w:customStyle="1" w:styleId="142">
    <w:name w:val="样式 四号 首行缩进:  2 字符"/>
    <w:basedOn w:val="1"/>
    <w:qFormat/>
    <w:uiPriority w:val="0"/>
    <w:pPr>
      <w:overflowPunct w:val="0"/>
      <w:topLinePunct/>
      <w:autoSpaceDE w:val="0"/>
      <w:autoSpaceDN w:val="0"/>
      <w:spacing w:line="480" w:lineRule="atLeast"/>
    </w:pPr>
    <w:rPr>
      <w:sz w:val="28"/>
    </w:rPr>
  </w:style>
  <w:style w:type="paragraph" w:customStyle="1" w:styleId="143">
    <w:name w:val="报告标题3"/>
    <w:basedOn w:val="1"/>
    <w:qFormat/>
    <w:uiPriority w:val="0"/>
    <w:pPr>
      <w:keepNext/>
      <w:keepLines/>
      <w:spacing w:line="240" w:lineRule="auto"/>
      <w:ind w:firstLine="0" w:firstLineChars="0"/>
      <w:outlineLvl w:val="2"/>
    </w:pPr>
    <w:rPr>
      <w:b/>
      <w:color w:val="000000"/>
      <w:kern w:val="1"/>
      <w:sz w:val="32"/>
      <w:szCs w:val="24"/>
    </w:rPr>
  </w:style>
  <w:style w:type="paragraph" w:styleId="144">
    <w:name w:val="List Paragraph"/>
    <w:basedOn w:val="1"/>
    <w:unhideWhenUsed/>
    <w:qFormat/>
    <w:uiPriority w:val="99"/>
    <w:pPr>
      <w:ind w:firstLine="420"/>
    </w:pPr>
  </w:style>
  <w:style w:type="paragraph" w:customStyle="1" w:styleId="145">
    <w:name w:val="Char Char Char Char4"/>
    <w:basedOn w:val="1"/>
    <w:qFormat/>
    <w:uiPriority w:val="0"/>
    <w:pPr>
      <w:spacing w:line="240" w:lineRule="auto"/>
      <w:ind w:firstLine="0" w:firstLineChars="0"/>
    </w:pPr>
    <w:rPr>
      <w:sz w:val="28"/>
      <w:szCs w:val="24"/>
    </w:rPr>
  </w:style>
  <w:style w:type="character" w:customStyle="1" w:styleId="146">
    <w:name w:val="font31"/>
    <w:basedOn w:val="42"/>
    <w:qFormat/>
    <w:uiPriority w:val="0"/>
    <w:rPr>
      <w:rFonts w:hint="default" w:ascii="Times New Roman" w:hAnsi="Times New Roman" w:cs="Times New Roman"/>
      <w:b/>
      <w:bCs/>
      <w:color w:val="000000"/>
      <w:sz w:val="21"/>
      <w:szCs w:val="21"/>
      <w:u w:val="none"/>
    </w:rPr>
  </w:style>
  <w:style w:type="character" w:customStyle="1" w:styleId="147">
    <w:name w:val="font21"/>
    <w:basedOn w:val="42"/>
    <w:qFormat/>
    <w:uiPriority w:val="0"/>
    <w:rPr>
      <w:rFonts w:hint="eastAsia" w:ascii="宋体" w:hAnsi="宋体" w:eastAsia="宋体"/>
      <w:b/>
      <w:bCs/>
      <w:color w:val="000000"/>
      <w:sz w:val="21"/>
      <w:szCs w:val="21"/>
      <w:u w:val="none"/>
    </w:rPr>
  </w:style>
  <w:style w:type="character" w:customStyle="1" w:styleId="148">
    <w:name w:val="font11"/>
    <w:basedOn w:val="42"/>
    <w:qFormat/>
    <w:uiPriority w:val="0"/>
    <w:rPr>
      <w:rFonts w:hint="eastAsia" w:ascii="宋体" w:hAnsi="宋体" w:eastAsia="宋体"/>
      <w:color w:val="000000"/>
      <w:sz w:val="21"/>
      <w:szCs w:val="21"/>
      <w:u w:val="none"/>
    </w:rPr>
  </w:style>
  <w:style w:type="character" w:customStyle="1" w:styleId="149">
    <w:name w:val="font01"/>
    <w:basedOn w:val="42"/>
    <w:qFormat/>
    <w:uiPriority w:val="0"/>
    <w:rPr>
      <w:rFonts w:hint="default" w:ascii="Times New Roman" w:hAnsi="Times New Roman" w:cs="Times New Roman"/>
      <w:color w:val="000000"/>
      <w:sz w:val="21"/>
      <w:szCs w:val="21"/>
      <w:u w:val="none"/>
    </w:rPr>
  </w:style>
  <w:style w:type="paragraph" w:customStyle="1" w:styleId="150">
    <w:name w:val="Char5"/>
    <w:basedOn w:val="1"/>
    <w:qFormat/>
    <w:uiPriority w:val="0"/>
    <w:rPr>
      <w:rFonts w:cs="宋体"/>
      <w:szCs w:val="24"/>
    </w:rPr>
  </w:style>
  <w:style w:type="table" w:customStyle="1" w:styleId="151">
    <w:name w:val="Table Normal"/>
    <w:semiHidden/>
    <w:qFormat/>
    <w:uiPriority w:val="2"/>
    <w:pPr>
      <w:widowControl w:val="0"/>
      <w:autoSpaceDE w:val="0"/>
      <w:autoSpaceDN w:val="0"/>
    </w:pPr>
    <w:rPr>
      <w:rFonts w:eastAsia="Times New Roman" w:asciiTheme="minorHAnsi" w:hAnsiTheme="minorHAnsi" w:cstheme="minorBidi"/>
      <w:sz w:val="22"/>
      <w:szCs w:val="22"/>
      <w:lang w:eastAsia="en-US"/>
    </w:rPr>
    <w:tblPr>
      <w:tblCellMar>
        <w:top w:w="0" w:type="dxa"/>
        <w:left w:w="0" w:type="dxa"/>
        <w:bottom w:w="0" w:type="dxa"/>
        <w:right w:w="0" w:type="dxa"/>
      </w:tblCellMar>
    </w:tblPr>
  </w:style>
  <w:style w:type="character" w:customStyle="1" w:styleId="152">
    <w:name w:val="font51"/>
    <w:basedOn w:val="42"/>
    <w:qFormat/>
    <w:uiPriority w:val="0"/>
    <w:rPr>
      <w:rFonts w:hint="default" w:ascii="Times New Roman" w:hAnsi="Times New Roman" w:cs="Times New Roman"/>
      <w:color w:val="000000"/>
      <w:sz w:val="24"/>
      <w:szCs w:val="24"/>
      <w:u w:val="none"/>
      <w:vertAlign w:val="superscript"/>
    </w:rPr>
  </w:style>
  <w:style w:type="character" w:customStyle="1" w:styleId="153">
    <w:name w:val="font41"/>
    <w:basedOn w:val="42"/>
    <w:qFormat/>
    <w:uiPriority w:val="0"/>
    <w:rPr>
      <w:rFonts w:hint="default" w:ascii="Times New Roman" w:hAnsi="Times New Roman" w:cs="Times New Roman"/>
      <w:color w:val="000000"/>
      <w:sz w:val="24"/>
      <w:szCs w:val="24"/>
      <w:u w:val="none"/>
    </w:rPr>
  </w:style>
  <w:style w:type="character" w:customStyle="1" w:styleId="154">
    <w:name w:val="font61"/>
    <w:basedOn w:val="42"/>
    <w:qFormat/>
    <w:uiPriority w:val="0"/>
    <w:rPr>
      <w:rFonts w:hint="default" w:ascii="Times New Roman" w:hAnsi="Times New Roman" w:cs="Times New Roman"/>
      <w:color w:val="000000"/>
      <w:sz w:val="24"/>
      <w:szCs w:val="24"/>
      <w:u w:val="none"/>
      <w:vertAlign w:val="superscript"/>
    </w:rPr>
  </w:style>
  <w:style w:type="paragraph" w:customStyle="1" w:styleId="155">
    <w:name w:val="表格内容"/>
    <w:basedOn w:val="156"/>
    <w:next w:val="1"/>
    <w:qFormat/>
    <w:uiPriority w:val="0"/>
    <w:pPr>
      <w:spacing w:line="240" w:lineRule="atLeast"/>
    </w:pPr>
    <w:rPr>
      <w:rFonts w:eastAsia="宋体"/>
      <w:sz w:val="21"/>
    </w:rPr>
  </w:style>
  <w:style w:type="paragraph" w:customStyle="1" w:styleId="156">
    <w:name w:val="表格标题"/>
    <w:basedOn w:val="1"/>
    <w:next w:val="155"/>
    <w:qFormat/>
    <w:uiPriority w:val="0"/>
    <w:pPr>
      <w:ind w:firstLine="0" w:firstLineChars="0"/>
      <w:jc w:val="center"/>
    </w:pPr>
    <w:rPr>
      <w:rFonts w:eastAsia="黑体"/>
    </w:rPr>
  </w:style>
  <w:style w:type="paragraph" w:customStyle="1" w:styleId="157">
    <w:name w:val="图、表标题"/>
    <w:basedOn w:val="1"/>
    <w:qFormat/>
    <w:uiPriority w:val="0"/>
    <w:pPr>
      <w:jc w:val="center"/>
    </w:pPr>
    <w:rPr>
      <w:b/>
      <w:sz w:val="21"/>
    </w:rPr>
  </w:style>
  <w:style w:type="paragraph" w:customStyle="1" w:styleId="158">
    <w:name w:val="图、表内容"/>
    <w:basedOn w:val="1"/>
    <w:qFormat/>
    <w:uiPriority w:val="0"/>
    <w:pPr>
      <w:spacing w:line="240" w:lineRule="auto"/>
      <w:ind w:firstLine="0" w:firstLineChars="0"/>
      <w:jc w:val="center"/>
    </w:pPr>
    <w:rPr>
      <w:sz w:val="21"/>
    </w:rPr>
  </w:style>
  <w:style w:type="character" w:customStyle="1" w:styleId="159">
    <w:name w:val="15"/>
    <w:basedOn w:val="42"/>
    <w:qFormat/>
    <w:uiPriority w:val="0"/>
    <w:rPr>
      <w:rFonts w:hint="eastAsia" w:ascii="宋体" w:hAnsi="宋体" w:eastAsia="宋体" w:cs="宋体"/>
      <w:color w:val="000000"/>
      <w:sz w:val="24"/>
      <w:szCs w:val="24"/>
    </w:rPr>
  </w:style>
  <w:style w:type="paragraph" w:customStyle="1" w:styleId="160">
    <w:name w:val="字元 字元"/>
    <w:basedOn w:val="1"/>
    <w:qFormat/>
    <w:uiPriority w:val="0"/>
  </w:style>
  <w:style w:type="paragraph" w:customStyle="1" w:styleId="161">
    <w:name w:val="中等深浅底纹 1 - 着色 11"/>
    <w:basedOn w:val="1"/>
    <w:qFormat/>
    <w:uiPriority w:val="1"/>
    <w:pPr>
      <w:tabs>
        <w:tab w:val="left" w:pos="0"/>
      </w:tabs>
      <w:spacing w:line="240" w:lineRule="atLeast"/>
      <w:jc w:val="center"/>
    </w:pPr>
    <w:rPr>
      <w:rFonts w:ascii="宋体" w:hAnsi="宋体"/>
      <w:bCs/>
      <w:kern w:val="0"/>
      <w:szCs w:val="21"/>
    </w:rPr>
  </w:style>
  <w:style w:type="paragraph" w:customStyle="1" w:styleId="162">
    <w:name w:val="表格"/>
    <w:next w:val="1"/>
    <w:qFormat/>
    <w:uiPriority w:val="0"/>
    <w:pPr>
      <w:widowControl w:val="0"/>
      <w:jc w:val="center"/>
    </w:pPr>
    <w:rPr>
      <w:rFonts w:ascii="宋体" w:hAnsi="Times New Roman" w:eastAsia="宋体" w:cs="Times New Roman"/>
      <w:kern w:val="2"/>
      <w:sz w:val="21"/>
      <w:szCs w:val="24"/>
      <w:lang w:val="en-US" w:eastAsia="zh-CN" w:bidi="ar-SA"/>
    </w:rPr>
  </w:style>
  <w:style w:type="character" w:customStyle="1" w:styleId="163">
    <w:name w:val="_Style 2"/>
    <w:qFormat/>
    <w:uiPriority w:val="19"/>
    <w:rPr>
      <w:b/>
      <w:color w:val="000000"/>
      <w:kern w:val="0"/>
      <w:sz w:val="21"/>
      <w:szCs w:val="24"/>
    </w:rPr>
  </w:style>
  <w:style w:type="paragraph" w:customStyle="1" w:styleId="164">
    <w:name w:val="0表格正文"/>
    <w:basedOn w:val="1"/>
    <w:next w:val="1"/>
    <w:qFormat/>
    <w:uiPriority w:val="0"/>
    <w:pPr>
      <w:pBdr>
        <w:top w:val="none" w:color="auto" w:sz="0" w:space="1"/>
        <w:left w:val="none" w:color="auto" w:sz="0" w:space="4"/>
        <w:bottom w:val="none" w:color="auto" w:sz="0" w:space="1"/>
        <w:right w:val="none" w:color="auto" w:sz="0" w:space="4"/>
      </w:pBdr>
      <w:spacing w:line="240" w:lineRule="auto"/>
      <w:ind w:firstLine="0" w:firstLineChars="0"/>
      <w:jc w:val="center"/>
    </w:pPr>
    <w:rPr>
      <w:sz w:val="21"/>
    </w:rPr>
  </w:style>
  <w:style w:type="table" w:customStyle="1" w:styleId="165">
    <w:name w:val="杨1"/>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166">
    <w:name w:val="样式 报告书正文 + 首行缩进:  2 字符"/>
    <w:qFormat/>
    <w:uiPriority w:val="0"/>
    <w:pPr>
      <w:widowControl w:val="0"/>
      <w:spacing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7">
    <w:name w:val="标题 31"/>
    <w:next w:val="1"/>
    <w:qFormat/>
    <w:uiPriority w:val="0"/>
    <w:pPr>
      <w:widowControl w:val="0"/>
      <w:adjustRightInd w:val="0"/>
      <w:snapToGrid w:val="0"/>
      <w:spacing w:line="360" w:lineRule="auto"/>
      <w:jc w:val="both"/>
    </w:pPr>
    <w:rPr>
      <w:rFonts w:hint="eastAsia" w:ascii="Times New Roman" w:hAnsi="Arial" w:eastAsia="宋体" w:cs="宋体"/>
      <w:color w:val="000000"/>
      <w:spacing w:val="-2"/>
      <w:sz w:val="24"/>
      <w:lang w:val="en-US" w:eastAsia="zh-CN" w:bidi="ar-SA"/>
    </w:rPr>
  </w:style>
  <w:style w:type="paragraph" w:customStyle="1" w:styleId="168">
    <w:name w:val="24磅正文"/>
    <w:qFormat/>
    <w:uiPriority w:val="0"/>
    <w:pPr>
      <w:widowControl w:val="0"/>
      <w:topLinePunct/>
      <w:autoSpaceDE w:val="0"/>
      <w:adjustRightInd w:val="0"/>
      <w:snapToGrid w:val="0"/>
      <w:spacing w:line="500" w:lineRule="exact"/>
      <w:ind w:firstLine="480" w:firstLineChars="200"/>
      <w:jc w:val="both"/>
    </w:pPr>
    <w:rPr>
      <w:rFonts w:ascii="Times New Roman" w:hAnsi="Times New Roman" w:eastAsia="宋体" w:cs="Times New Roman"/>
      <w:color w:val="000000"/>
      <w:kern w:val="2"/>
      <w:sz w:val="24"/>
      <w:szCs w:val="24"/>
      <w:lang w:val="en-US" w:eastAsia="zh-CN" w:bidi="ar-SA"/>
    </w:rPr>
  </w:style>
  <w:style w:type="paragraph" w:customStyle="1" w:styleId="169">
    <w:name w:val="海尔正文"/>
    <w:basedOn w:val="1"/>
    <w:qFormat/>
    <w:uiPriority w:val="0"/>
    <w:pPr>
      <w:ind w:firstLine="560"/>
    </w:pPr>
    <w:rPr>
      <w:sz w:val="28"/>
    </w:rPr>
  </w:style>
  <w:style w:type="paragraph" w:customStyle="1" w:styleId="170">
    <w:name w:val="表标题"/>
    <w:basedOn w:val="11"/>
    <w:next w:val="1"/>
    <w:qFormat/>
    <w:uiPriority w:val="0"/>
    <w:pPr>
      <w:spacing w:line="500" w:lineRule="exact"/>
      <w:ind w:firstLine="0" w:firstLineChars="0"/>
      <w:jc w:val="center"/>
    </w:pPr>
    <w:rPr>
      <w:rFonts w:eastAsia="黑体"/>
    </w:rPr>
  </w:style>
  <w:style w:type="paragraph" w:customStyle="1" w:styleId="171">
    <w:name w:val="cucd-0"/>
    <w:qFormat/>
    <w:uiPriority w:val="0"/>
    <w:pPr>
      <w:spacing w:line="360" w:lineRule="auto"/>
      <w:ind w:firstLine="480" w:firstLineChars="200"/>
    </w:pPr>
    <w:rPr>
      <w:rFonts w:asciiTheme="minorHAnsi" w:hAnsiTheme="minorHAnsi" w:eastAsiaTheme="minorEastAsia" w:cstheme="minorBidi"/>
      <w:kern w:val="2"/>
      <w:sz w:val="24"/>
      <w:szCs w:val="24"/>
      <w:lang w:val="en-US" w:eastAsia="zh-CN" w:bidi="ar-SA"/>
    </w:rPr>
  </w:style>
  <w:style w:type="table" w:customStyle="1" w:styleId="172">
    <w:name w:val="Table Normal6"/>
    <w:semiHidden/>
    <w:unhideWhenUsed/>
    <w:qFormat/>
    <w:uiPriority w:val="2"/>
    <w:pPr>
      <w:widowControl w:val="0"/>
    </w:pPr>
    <w:rPr>
      <w:kern w:val="0"/>
      <w:sz w:val="22"/>
      <w:lang w:eastAsia="en-US"/>
    </w:rPr>
    <w:tblPr>
      <w:tblCellMar>
        <w:top w:w="0" w:type="dxa"/>
        <w:left w:w="0" w:type="dxa"/>
        <w:bottom w:w="0" w:type="dxa"/>
        <w:right w:w="0" w:type="dxa"/>
      </w:tblCellMar>
    </w:tblPr>
  </w:style>
  <w:style w:type="paragraph" w:customStyle="1" w:styleId="173">
    <w:name w:val="+正文"/>
    <w:basedOn w:val="1"/>
    <w:qFormat/>
    <w:uiPriority w:val="0"/>
    <w:pPr>
      <w:spacing w:line="360" w:lineRule="auto"/>
      <w:ind w:firstLine="200" w:firstLineChars="200"/>
    </w:pPr>
    <w:rPr>
      <w:rFonts w:ascii="Calibri" w:hAnsi="Calibri"/>
      <w:sz w:val="28"/>
      <w:szCs w:val="28"/>
    </w:rPr>
  </w:style>
  <w:style w:type="paragraph" w:customStyle="1" w:styleId="174">
    <w:name w:val="表"/>
    <w:qFormat/>
    <w:uiPriority w:val="0"/>
    <w:pPr>
      <w:spacing w:line="440" w:lineRule="exact"/>
      <w:ind w:firstLine="200" w:firstLineChars="200"/>
      <w:jc w:val="both"/>
    </w:pPr>
    <w:rPr>
      <w:rFonts w:ascii="Times New Roman" w:hAnsi="Times New Roman" w:eastAsia="宋体" w:cs="Times New Roman"/>
      <w:sz w:val="24"/>
      <w:szCs w:val="22"/>
      <w:lang w:val="en-US" w:eastAsia="zh-CN" w:bidi="ar-SA"/>
    </w:rPr>
  </w:style>
  <w:style w:type="paragraph" w:customStyle="1" w:styleId="175">
    <w:name w:val="宋体 13 磅 行距: 固定值 24 磅"/>
    <w:basedOn w:val="1"/>
    <w:qFormat/>
    <w:uiPriority w:val="0"/>
    <w:pPr>
      <w:spacing w:line="480" w:lineRule="exact"/>
      <w:ind w:firstLine="520" w:firstLineChars="200"/>
    </w:pPr>
    <w:rPr>
      <w:rFonts w:ascii="宋体" w:hAnsi="宋体" w:cs="宋体"/>
      <w:sz w:val="26"/>
      <w:szCs w:val="20"/>
    </w:rPr>
  </w:style>
  <w:style w:type="paragraph" w:customStyle="1" w:styleId="176">
    <w:name w:val="正文001"/>
    <w:basedOn w:val="1"/>
    <w:qFormat/>
    <w:uiPriority w:val="0"/>
    <w:pPr>
      <w:adjustRightInd w:val="0"/>
      <w:snapToGrid/>
      <w:spacing w:before="120" w:after="120" w:line="540" w:lineRule="exact"/>
      <w:ind w:firstLine="567" w:firstLineChars="0"/>
      <w:textAlignment w:val="baseline"/>
    </w:pPr>
    <w:rPr>
      <w:rFonts w:ascii="宋体" w:hAnsi="宋体" w:cs="宋体"/>
      <w:kern w:val="21"/>
      <w:sz w:val="28"/>
      <w:szCs w:val="28"/>
    </w:rPr>
  </w:style>
  <w:style w:type="paragraph" w:customStyle="1" w:styleId="177">
    <w:name w:val="表内文字"/>
    <w:basedOn w:val="1"/>
    <w:next w:val="1"/>
    <w:qFormat/>
    <w:uiPriority w:val="0"/>
    <w:pPr>
      <w:spacing w:line="240" w:lineRule="auto"/>
      <w:jc w:val="center"/>
    </w:pPr>
    <w:rPr>
      <w:sz w:val="21"/>
    </w:rPr>
  </w:style>
  <w:style w:type="paragraph" w:customStyle="1" w:styleId="178">
    <w:name w:val="我的表格文字"/>
    <w:basedOn w:val="1"/>
    <w:qFormat/>
    <w:uiPriority w:val="0"/>
    <w:pPr>
      <w:widowControl/>
      <w:spacing w:line="240" w:lineRule="auto"/>
      <w:ind w:firstLine="0" w:firstLineChars="0"/>
      <w:jc w:val="center"/>
      <w:textAlignment w:val="center"/>
    </w:pPr>
    <w:rPr>
      <w:color w:val="FF0000"/>
      <w:kern w:val="0"/>
      <w:szCs w:val="21"/>
    </w:rPr>
  </w:style>
  <w:style w:type="table" w:customStyle="1" w:styleId="179">
    <w:name w:val="网格型2"/>
    <w:qFormat/>
    <w:uiPriority w:val="99"/>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0">
    <w:name w:val="Block Text1"/>
    <w:basedOn w:val="1"/>
    <w:qFormat/>
    <w:uiPriority w:val="0"/>
    <w:pPr>
      <w:spacing w:after="120" w:line="240" w:lineRule="auto"/>
      <w:ind w:left="1440" w:leftChars="700" w:right="1440" w:rightChars="700" w:firstLine="0" w:firstLineChars="0"/>
    </w:pPr>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4.png"/><Relationship Id="rId5" Type="http://schemas.openxmlformats.org/officeDocument/2006/relationships/header" Target="head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jpeg"/><Relationship Id="rId45" Type="http://schemas.openxmlformats.org/officeDocument/2006/relationships/image" Target="media/image19.jpeg"/><Relationship Id="rId44" Type="http://schemas.openxmlformats.org/officeDocument/2006/relationships/image" Target="media/image18.png"/><Relationship Id="rId43" Type="http://schemas.openxmlformats.org/officeDocument/2006/relationships/image" Target="media/image17.jpeg"/><Relationship Id="rId42" Type="http://schemas.openxmlformats.org/officeDocument/2006/relationships/image" Target="media/image16.jpeg"/><Relationship Id="rId41" Type="http://schemas.openxmlformats.org/officeDocument/2006/relationships/image" Target="media/image15.jpeg"/><Relationship Id="rId40" Type="http://schemas.openxmlformats.org/officeDocument/2006/relationships/image" Target="media/image14.png"/><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jpeg"/><Relationship Id="rId33" Type="http://schemas.openxmlformats.org/officeDocument/2006/relationships/image" Target="https://img.cnhnb.com/group1/M00/9C/58/5F41CEWE1AChRkRlrJycOAOW9pAAKs63OKCls202.jpg" TargetMode="External"/><Relationship Id="rId32" Type="http://schemas.openxmlformats.org/officeDocument/2006/relationships/image" Target="media/image7.jpeg"/><Relationship Id="rId31" Type="http://schemas.openxmlformats.org/officeDocument/2006/relationships/image" Target="https://p1.ssl.qhimg.com/dr/270_500_/t0126696d5a55d05187.jpg?size=510x680" TargetMode="External"/><Relationship Id="rId30" Type="http://schemas.openxmlformats.org/officeDocument/2006/relationships/image" Target="media/image6.jpeg"/><Relationship Id="rId3" Type="http://schemas.openxmlformats.org/officeDocument/2006/relationships/footnotes" Target="footnotes.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F1A82F-58DB-4F0E-98A9-4AB322997DF7}">
  <ds:schemaRefs/>
</ds:datastoreItem>
</file>

<file path=docProps/app.xml><?xml version="1.0" encoding="utf-8"?>
<Properties xmlns="http://schemas.openxmlformats.org/officeDocument/2006/extended-properties" xmlns:vt="http://schemas.openxmlformats.org/officeDocument/2006/docPropsVTypes">
  <Template>Normal</Template>
  <Company>0</Company>
  <Pages>139</Pages>
  <Words>83676</Words>
  <Characters>92268</Characters>
  <Lines>1</Lines>
  <Paragraphs>1</Paragraphs>
  <TotalTime>6</TotalTime>
  <ScaleCrop>false</ScaleCrop>
  <LinksUpToDate>false</LinksUpToDate>
  <CharactersWithSpaces>93445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2019-02-27T06:28:00Z</dcterms:created>
  <dc:creator>jhw</dc:creator>
  <cp:lastModifiedBy>长缨在手</cp:lastModifiedBy>
  <cp:lastPrinted>2021-08-10T03:49:00Z</cp:lastPrinted>
  <dcterms:modified xsi:type="dcterms:W3CDTF">2023-03-09T00:37:35Z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96E1B64304E840C69BDE29C2DBCF5679</vt:lpwstr>
  </property>
</Properties>
</file>