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kern w:val="21"/>
          <w:sz w:val="36"/>
          <w:szCs w:val="36"/>
        </w:rPr>
      </w:pPr>
    </w:p>
    <w:p>
      <w:pPr>
        <w:rPr>
          <w:rFonts w:ascii="仿宋_GB2312" w:hAnsi="仿宋_GB2312" w:eastAsia="仿宋_GB2312" w:cs="仿宋_GB2312"/>
          <w:color w:val="000000" w:themeColor="text1"/>
          <w:kern w:val="21"/>
          <w:sz w:val="36"/>
          <w:szCs w:val="36"/>
        </w:rPr>
      </w:pPr>
    </w:p>
    <w:p>
      <w:pPr>
        <w:ind w:firstLine="0" w:firstLineChars="0"/>
        <w:jc w:val="center"/>
        <w:outlineLvl w:val="0"/>
        <w:rPr>
          <w:rFonts w:ascii="方正小标宋_GBK" w:eastAsia="方正小标宋_GBK"/>
          <w:bCs/>
          <w:color w:val="000000" w:themeColor="text1"/>
          <w:kern w:val="21"/>
          <w:sz w:val="72"/>
          <w:szCs w:val="72"/>
        </w:rPr>
      </w:pPr>
      <w:r>
        <w:rPr>
          <w:rFonts w:hint="eastAsia" w:ascii="方正小标宋_GBK" w:eastAsia="方正小标宋_GBK"/>
          <w:bCs/>
          <w:color w:val="000000" w:themeColor="text1"/>
          <w:kern w:val="21"/>
          <w:sz w:val="72"/>
          <w:szCs w:val="72"/>
        </w:rPr>
        <w:t>建设项目环境影响报告表</w:t>
      </w:r>
    </w:p>
    <w:p>
      <w:pPr>
        <w:spacing w:before="192" w:beforeLines="80"/>
        <w:ind w:firstLine="0" w:firstLineChars="0"/>
        <w:jc w:val="center"/>
        <w:rPr>
          <w:rFonts w:ascii="楷体_GB2312" w:eastAsia="楷体_GB2312"/>
          <w:bCs/>
          <w:color w:val="000000" w:themeColor="text1"/>
          <w:kern w:val="21"/>
          <w:sz w:val="48"/>
          <w:szCs w:val="48"/>
        </w:rPr>
      </w:pPr>
      <w:r>
        <w:rPr>
          <w:rFonts w:hint="eastAsia" w:ascii="楷体_GB2312" w:eastAsia="楷体_GB2312"/>
          <w:bCs/>
          <w:color w:val="000000" w:themeColor="text1"/>
          <w:kern w:val="21"/>
          <w:sz w:val="48"/>
          <w:szCs w:val="48"/>
        </w:rPr>
        <w:t>（污染影响类）</w:t>
      </w:r>
    </w:p>
    <w:p>
      <w:pPr>
        <w:spacing w:line="288" w:lineRule="auto"/>
        <w:ind w:firstLine="880"/>
        <w:jc w:val="center"/>
        <w:rPr>
          <w:rFonts w:ascii="华文仿宋" w:hAnsi="华文仿宋" w:eastAsia="华文仿宋" w:cs="华文仿宋"/>
          <w:color w:val="000000" w:themeColor="text1"/>
          <w:kern w:val="21"/>
          <w:sz w:val="44"/>
          <w:szCs w:val="44"/>
        </w:rPr>
      </w:pPr>
    </w:p>
    <w:p>
      <w:pPr>
        <w:ind w:firstLine="880"/>
        <w:rPr>
          <w:rFonts w:eastAsia="仿宋"/>
          <w:color w:val="000000" w:themeColor="text1"/>
          <w:kern w:val="21"/>
          <w:sz w:val="44"/>
          <w:szCs w:val="44"/>
        </w:rPr>
      </w:pPr>
    </w:p>
    <w:p>
      <w:pPr>
        <w:ind w:firstLine="880"/>
        <w:rPr>
          <w:rFonts w:eastAsia="仿宋"/>
          <w:color w:val="000000" w:themeColor="text1"/>
          <w:kern w:val="21"/>
          <w:sz w:val="44"/>
          <w:szCs w:val="44"/>
        </w:rPr>
      </w:pPr>
    </w:p>
    <w:p>
      <w:pPr>
        <w:ind w:firstLine="880"/>
        <w:rPr>
          <w:rFonts w:eastAsia="仿宋"/>
          <w:color w:val="000000" w:themeColor="text1"/>
          <w:kern w:val="21"/>
          <w:sz w:val="44"/>
          <w:szCs w:val="44"/>
        </w:rPr>
      </w:pPr>
    </w:p>
    <w:p>
      <w:pPr>
        <w:ind w:firstLine="880"/>
        <w:rPr>
          <w:rFonts w:eastAsia="仿宋"/>
          <w:color w:val="000000" w:themeColor="text1"/>
          <w:kern w:val="21"/>
          <w:sz w:val="44"/>
          <w:szCs w:val="44"/>
        </w:rPr>
      </w:pPr>
    </w:p>
    <w:p>
      <w:pPr>
        <w:ind w:left="2520" w:leftChars="300" w:hanging="1800" w:hangingChars="500"/>
        <w:rPr>
          <w:rFonts w:ascii="仿宋_GB2312" w:eastAsia="仿宋_GB2312"/>
          <w:color w:val="000000" w:themeColor="text1"/>
          <w:kern w:val="21"/>
          <w:sz w:val="36"/>
          <w:szCs w:val="36"/>
        </w:rPr>
      </w:pPr>
      <w:r>
        <w:rPr>
          <w:rFonts w:hint="eastAsia" w:ascii="仿宋_GB2312" w:eastAsia="仿宋_GB2312"/>
          <w:color w:val="000000" w:themeColor="text1"/>
          <w:kern w:val="21"/>
          <w:sz w:val="36"/>
          <w:szCs w:val="36"/>
        </w:rPr>
        <w:t>项目名称：</w:t>
      </w:r>
      <w:r>
        <w:rPr>
          <w:rFonts w:hint="eastAsia" w:ascii="仿宋_GB2312" w:eastAsia="仿宋_GB2312"/>
          <w:color w:val="000000" w:themeColor="text1"/>
          <w:kern w:val="21"/>
          <w:sz w:val="36"/>
          <w:szCs w:val="36"/>
          <w:u w:val="single"/>
        </w:rPr>
        <w:t xml:space="preserve">潍坊市成达公路工程有限公司前苇塘村沥青拌合站项目                       </w:t>
      </w:r>
    </w:p>
    <w:p>
      <w:pPr>
        <w:ind w:left="3960" w:leftChars="300" w:hanging="3240" w:hangingChars="900"/>
        <w:rPr>
          <w:rFonts w:ascii="仿宋_GB2312" w:eastAsia="仿宋_GB2312"/>
          <w:color w:val="000000" w:themeColor="text1"/>
          <w:kern w:val="21"/>
          <w:sz w:val="36"/>
          <w:szCs w:val="36"/>
          <w:u w:val="single"/>
        </w:rPr>
      </w:pPr>
      <w:r>
        <w:rPr>
          <w:rFonts w:hint="eastAsia" w:ascii="仿宋_GB2312" w:eastAsia="仿宋_GB2312"/>
          <w:color w:val="000000" w:themeColor="text1"/>
          <w:kern w:val="21"/>
          <w:sz w:val="36"/>
          <w:szCs w:val="36"/>
        </w:rPr>
        <w:t>建设单位（盖章）：</w:t>
      </w:r>
      <w:r>
        <w:rPr>
          <w:rFonts w:hint="eastAsia" w:ascii="仿宋_GB2312" w:eastAsia="仿宋_GB2312"/>
          <w:color w:val="000000" w:themeColor="text1"/>
          <w:kern w:val="21"/>
          <w:sz w:val="36"/>
          <w:szCs w:val="36"/>
          <w:u w:val="single"/>
        </w:rPr>
        <w:t xml:space="preserve">潍坊市成达公路工程有限公司 </w:t>
      </w:r>
    </w:p>
    <w:p>
      <w:pPr>
        <w:rPr>
          <w:rFonts w:ascii="仿宋_GB2312" w:eastAsia="仿宋_GB2312"/>
          <w:color w:val="000000" w:themeColor="text1"/>
          <w:kern w:val="21"/>
          <w:sz w:val="36"/>
          <w:szCs w:val="36"/>
          <w:u w:val="single"/>
        </w:rPr>
      </w:pPr>
      <w:r>
        <w:rPr>
          <w:rFonts w:hint="eastAsia" w:ascii="仿宋_GB2312" w:eastAsia="仿宋_GB2312"/>
          <w:color w:val="000000" w:themeColor="text1"/>
          <w:kern w:val="21"/>
          <w:sz w:val="36"/>
          <w:szCs w:val="36"/>
        </w:rPr>
        <w:t>编制日期：</w:t>
      </w:r>
      <w:r>
        <w:rPr>
          <w:rFonts w:hint="eastAsia" w:ascii="宋体" w:hAnsi="宋体" w:eastAsia="宋体" w:cs="宋体"/>
          <w:color w:val="000000" w:themeColor="text1"/>
          <w:kern w:val="21"/>
          <w:sz w:val="36"/>
          <w:szCs w:val="36"/>
          <w:u w:val="single"/>
        </w:rPr>
        <w:t>202</w:t>
      </w:r>
      <w:r>
        <w:rPr>
          <w:rFonts w:hint="eastAsia" w:ascii="宋体" w:hAnsi="宋体" w:cs="宋体"/>
          <w:color w:val="000000" w:themeColor="text1"/>
          <w:kern w:val="21"/>
          <w:sz w:val="36"/>
          <w:szCs w:val="36"/>
          <w:u w:val="single"/>
          <w:lang w:val="en-US" w:eastAsia="zh-CN"/>
        </w:rPr>
        <w:t>4</w:t>
      </w:r>
      <w:r>
        <w:rPr>
          <w:rFonts w:hint="eastAsia" w:ascii="宋体" w:hAnsi="宋体" w:eastAsia="宋体" w:cs="宋体"/>
          <w:color w:val="000000" w:themeColor="text1"/>
          <w:kern w:val="21"/>
          <w:sz w:val="36"/>
          <w:szCs w:val="36"/>
          <w:u w:val="single"/>
        </w:rPr>
        <w:t>年</w:t>
      </w:r>
      <w:r>
        <w:rPr>
          <w:rFonts w:hint="eastAsia" w:ascii="宋体" w:hAnsi="宋体" w:cs="宋体"/>
          <w:color w:val="000000" w:themeColor="text1"/>
          <w:kern w:val="21"/>
          <w:sz w:val="36"/>
          <w:szCs w:val="36"/>
          <w:u w:val="single"/>
          <w:lang w:val="en-US" w:eastAsia="zh-CN"/>
        </w:rPr>
        <w:t>3</w:t>
      </w:r>
      <w:r>
        <w:rPr>
          <w:rFonts w:hint="eastAsia" w:ascii="宋体" w:hAnsi="宋体" w:eastAsia="宋体" w:cs="宋体"/>
          <w:color w:val="000000" w:themeColor="text1"/>
          <w:kern w:val="21"/>
          <w:sz w:val="36"/>
          <w:szCs w:val="36"/>
          <w:u w:val="single"/>
        </w:rPr>
        <w:t xml:space="preserve">月  </w:t>
      </w:r>
      <w:r>
        <w:rPr>
          <w:rFonts w:hint="eastAsia" w:ascii="仿宋_GB2312" w:eastAsia="仿宋_GB2312"/>
          <w:color w:val="000000" w:themeColor="text1"/>
          <w:kern w:val="21"/>
          <w:sz w:val="36"/>
          <w:szCs w:val="36"/>
          <w:u w:val="single"/>
        </w:rPr>
        <w:t xml:space="preserve">                       </w:t>
      </w:r>
    </w:p>
    <w:p>
      <w:pPr>
        <w:spacing w:line="288" w:lineRule="auto"/>
        <w:rPr>
          <w:rFonts w:ascii="仿宋_GB2312" w:eastAsia="仿宋_GB2312"/>
          <w:color w:val="000000" w:themeColor="text1"/>
          <w:kern w:val="21"/>
          <w:sz w:val="36"/>
          <w:szCs w:val="36"/>
          <w:u w:val="single"/>
        </w:rPr>
      </w:pPr>
      <w:bookmarkStart w:id="0" w:name="_Hlk57884087"/>
    </w:p>
    <w:p>
      <w:pPr>
        <w:spacing w:line="288" w:lineRule="auto"/>
        <w:rPr>
          <w:rFonts w:ascii="仿宋_GB2312" w:eastAsia="仿宋_GB2312"/>
          <w:color w:val="000000" w:themeColor="text1"/>
          <w:kern w:val="21"/>
          <w:sz w:val="36"/>
          <w:szCs w:val="36"/>
        </w:rPr>
      </w:pPr>
    </w:p>
    <w:bookmarkEnd w:id="0"/>
    <w:p>
      <w:pPr>
        <w:spacing w:line="288" w:lineRule="auto"/>
        <w:ind w:firstLine="0" w:firstLineChars="0"/>
        <w:jc w:val="center"/>
        <w:rPr>
          <w:rFonts w:ascii="仿宋_GB2312" w:eastAsia="仿宋_GB2312"/>
          <w:color w:val="000000" w:themeColor="text1"/>
          <w:kern w:val="21"/>
          <w:sz w:val="36"/>
          <w:szCs w:val="36"/>
        </w:rPr>
      </w:pPr>
      <w:r>
        <w:rPr>
          <w:rFonts w:hint="eastAsia" w:ascii="楷体_GB2312" w:eastAsia="楷体_GB2312"/>
          <w:color w:val="000000" w:themeColor="text1"/>
          <w:kern w:val="21"/>
          <w:sz w:val="36"/>
          <w:szCs w:val="36"/>
        </w:rPr>
        <w:t>中华人民共和国生态环境部制</w:t>
      </w:r>
    </w:p>
    <w:p>
      <w:pPr>
        <w:spacing w:line="288" w:lineRule="auto"/>
        <w:rPr>
          <w:rFonts w:ascii="仿宋_GB2312" w:eastAsia="仿宋_GB2312"/>
          <w:color w:val="000000" w:themeColor="text1"/>
          <w:kern w:val="21"/>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p>
    <w:p>
      <w:pPr>
        <w:pStyle w:val="18"/>
        <w:spacing w:before="120" w:beforeLines="50" w:beforeAutospacing="0" w:after="120" w:afterLines="50" w:afterAutospacing="0"/>
        <w:ind w:firstLine="0" w:firstLineChars="0"/>
        <w:jc w:val="center"/>
        <w:outlineLvl w:val="0"/>
        <w:rPr>
          <w:rFonts w:ascii="黑体" w:hAnsi="黑体" w:eastAsia="黑体"/>
          <w:snapToGrid w:val="0"/>
          <w:color w:val="000000" w:themeColor="text1"/>
          <w:kern w:val="21"/>
          <w:sz w:val="30"/>
          <w:szCs w:val="30"/>
        </w:rPr>
      </w:pPr>
      <w:r>
        <w:rPr>
          <w:rFonts w:hint="eastAsia" w:ascii="黑体" w:hAnsi="黑体" w:eastAsia="黑体"/>
          <w:snapToGrid w:val="0"/>
          <w:color w:val="000000" w:themeColor="text1"/>
          <w:kern w:val="21"/>
          <w:sz w:val="30"/>
          <w:szCs w:val="30"/>
        </w:rPr>
        <w:t>一、建设项目基本情况</w:t>
      </w:r>
    </w:p>
    <w:tbl>
      <w:tblPr>
        <w:tblStyle w:val="22"/>
        <w:tblW w:w="88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81"/>
        <w:gridCol w:w="2148"/>
        <w:gridCol w:w="2005"/>
        <w:gridCol w:w="2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建设项目名称</w:t>
            </w:r>
          </w:p>
        </w:tc>
        <w:tc>
          <w:tcPr>
            <w:tcW w:w="6681" w:type="dxa"/>
            <w:gridSpan w:val="3"/>
            <w:noWrap/>
            <w:vAlign w:val="center"/>
          </w:tcPr>
          <w:p>
            <w:pPr>
              <w:spacing w:line="240" w:lineRule="auto"/>
              <w:ind w:firstLine="0" w:firstLineChars="0"/>
              <w:jc w:val="center"/>
              <w:rPr>
                <w:color w:val="000000" w:themeColor="text1"/>
                <w:kern w:val="21"/>
              </w:rPr>
            </w:pPr>
            <w:r>
              <w:rPr>
                <w:rFonts w:hint="eastAsia"/>
                <w:color w:val="000000" w:themeColor="text1"/>
                <w:kern w:val="21"/>
              </w:rPr>
              <w:t>潍坊市成达公路工程有限公司前苇塘村沥青拌合站项目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项目代码</w:t>
            </w:r>
          </w:p>
        </w:tc>
        <w:tc>
          <w:tcPr>
            <w:tcW w:w="6681" w:type="dxa"/>
            <w:gridSpan w:val="3"/>
            <w:noWrap/>
            <w:vAlign w:val="center"/>
          </w:tcPr>
          <w:p>
            <w:pPr>
              <w:spacing w:line="240" w:lineRule="auto"/>
              <w:ind w:firstLine="0" w:firstLineChars="0"/>
              <w:jc w:val="center"/>
              <w:rPr>
                <w:color w:val="000000" w:themeColor="text1"/>
                <w:kern w:val="21"/>
              </w:rPr>
            </w:pPr>
            <w:r>
              <w:rPr>
                <w:color w:val="000000" w:themeColor="text1"/>
                <w:kern w:val="21"/>
              </w:rPr>
              <w:t>2</w:t>
            </w:r>
            <w:r>
              <w:rPr>
                <w:rFonts w:hint="eastAsia"/>
                <w:color w:val="000000" w:themeColor="text1"/>
                <w:kern w:val="21"/>
              </w:rPr>
              <w:t>304</w:t>
            </w:r>
            <w:r>
              <w:rPr>
                <w:color w:val="000000" w:themeColor="text1"/>
                <w:kern w:val="21"/>
              </w:rPr>
              <w:t>-130822-89-01-</w:t>
            </w:r>
            <w:r>
              <w:rPr>
                <w:rFonts w:hint="eastAsia"/>
                <w:color w:val="000000" w:themeColor="text1"/>
                <w:kern w:val="21"/>
              </w:rPr>
              <w:t>323647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建设单位联系人</w:t>
            </w:r>
          </w:p>
        </w:tc>
        <w:tc>
          <w:tcPr>
            <w:tcW w:w="2148" w:type="dxa"/>
            <w:noWrap/>
            <w:vAlign w:val="center"/>
          </w:tcPr>
          <w:p>
            <w:pPr>
              <w:spacing w:line="240" w:lineRule="auto"/>
              <w:ind w:firstLine="0" w:firstLineChars="0"/>
              <w:jc w:val="center"/>
              <w:rPr>
                <w:color w:val="000000" w:themeColor="text1"/>
                <w:kern w:val="21"/>
              </w:rPr>
            </w:pPr>
            <w:r>
              <w:rPr>
                <w:rFonts w:hint="eastAsia" w:ascii="宋体" w:hAnsi="宋体" w:cs="宋体"/>
                <w:color w:val="000000" w:themeColor="text1"/>
                <w:kern w:val="0"/>
                <w:lang w:bidi="ar"/>
              </w:rPr>
              <w:t>彭春</w:t>
            </w:r>
          </w:p>
        </w:tc>
        <w:tc>
          <w:tcPr>
            <w:tcW w:w="2005" w:type="dxa"/>
            <w:noWrap/>
            <w:vAlign w:val="center"/>
          </w:tcPr>
          <w:p>
            <w:pPr>
              <w:spacing w:line="240" w:lineRule="auto"/>
              <w:ind w:firstLine="0" w:firstLineChars="0"/>
              <w:jc w:val="center"/>
              <w:rPr>
                <w:color w:val="000000" w:themeColor="text1"/>
                <w:kern w:val="21"/>
              </w:rPr>
            </w:pPr>
            <w:r>
              <w:rPr>
                <w:color w:val="000000" w:themeColor="text1"/>
                <w:kern w:val="21"/>
              </w:rPr>
              <w:t>联系方式</w:t>
            </w:r>
          </w:p>
        </w:tc>
        <w:tc>
          <w:tcPr>
            <w:tcW w:w="2528" w:type="dxa"/>
            <w:noWrap/>
            <w:vAlign w:val="center"/>
          </w:tcPr>
          <w:p>
            <w:pPr>
              <w:spacing w:line="240" w:lineRule="auto"/>
              <w:ind w:firstLine="0" w:firstLineChars="0"/>
              <w:jc w:val="center"/>
              <w:rPr>
                <w:color w:val="000000" w:themeColor="text1"/>
                <w:kern w:val="21"/>
              </w:rPr>
            </w:pPr>
            <w:r>
              <w:rPr>
                <w:color w:val="000000" w:themeColor="text1"/>
                <w:kern w:val="0"/>
                <w:lang w:bidi="ar"/>
              </w:rPr>
              <w:t>15</w:t>
            </w:r>
            <w:r>
              <w:rPr>
                <w:rFonts w:hint="eastAsia"/>
                <w:color w:val="000000" w:themeColor="text1"/>
                <w:kern w:val="0"/>
                <w:lang w:bidi="ar"/>
              </w:rPr>
              <w:t>673623437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建设地点</w:t>
            </w:r>
          </w:p>
        </w:tc>
        <w:tc>
          <w:tcPr>
            <w:tcW w:w="6681" w:type="dxa"/>
            <w:gridSpan w:val="3"/>
            <w:noWrap/>
            <w:vAlign w:val="center"/>
          </w:tcPr>
          <w:p>
            <w:pPr>
              <w:spacing w:line="240" w:lineRule="auto"/>
              <w:ind w:firstLine="0" w:firstLineChars="0"/>
              <w:jc w:val="center"/>
              <w:rPr>
                <w:color w:val="000000" w:themeColor="text1"/>
                <w:kern w:val="21"/>
              </w:rPr>
            </w:pPr>
            <w:r>
              <w:rPr>
                <w:rFonts w:hint="eastAsia" w:ascii="宋体" w:hAnsi="宋体" w:cs="宋体"/>
                <w:color w:val="000000" w:themeColor="text1"/>
                <w:szCs w:val="21"/>
                <w:u w:val="single"/>
              </w:rPr>
              <w:t>河北</w:t>
            </w:r>
            <w:r>
              <w:rPr>
                <w:rFonts w:hint="eastAsia" w:ascii="宋体" w:hAnsi="宋体" w:cs="宋体"/>
                <w:color w:val="000000" w:themeColor="text1"/>
                <w:szCs w:val="21"/>
              </w:rPr>
              <w:t>省</w:t>
            </w:r>
            <w:r>
              <w:rPr>
                <w:rFonts w:hint="eastAsia" w:ascii="宋体" w:hAnsi="宋体" w:cs="宋体"/>
                <w:color w:val="000000" w:themeColor="text1"/>
                <w:szCs w:val="21"/>
                <w:u w:val="single"/>
              </w:rPr>
              <w:t>承德</w:t>
            </w:r>
            <w:r>
              <w:rPr>
                <w:rFonts w:hint="eastAsia" w:ascii="宋体" w:hAnsi="宋体" w:cs="宋体"/>
                <w:color w:val="000000" w:themeColor="text1"/>
                <w:szCs w:val="21"/>
              </w:rPr>
              <w:t>市</w:t>
            </w:r>
            <w:r>
              <w:rPr>
                <w:rFonts w:hint="eastAsia" w:ascii="宋体" w:hAnsi="宋体" w:cs="宋体"/>
                <w:color w:val="000000" w:themeColor="text1"/>
                <w:szCs w:val="21"/>
                <w:u w:val="single"/>
              </w:rPr>
              <w:t>兴隆</w:t>
            </w:r>
            <w:r>
              <w:rPr>
                <w:rFonts w:hint="eastAsia" w:ascii="宋体" w:hAnsi="宋体" w:cs="宋体"/>
                <w:color w:val="000000" w:themeColor="text1"/>
                <w:szCs w:val="21"/>
              </w:rPr>
              <w:t>县</w:t>
            </w:r>
            <w:r>
              <w:rPr>
                <w:rFonts w:hint="eastAsia" w:ascii="宋体" w:hAnsi="宋体" w:cs="宋体"/>
                <w:color w:val="000000" w:themeColor="text1"/>
                <w:szCs w:val="21"/>
                <w:u w:val="single"/>
              </w:rPr>
              <w:t>六道河镇</w:t>
            </w:r>
            <w:r>
              <w:rPr>
                <w:rFonts w:hint="eastAsia" w:ascii="宋体" w:hAnsi="宋体" w:cs="宋体"/>
                <w:color w:val="000000" w:themeColor="text1"/>
                <w:szCs w:val="21"/>
              </w:rPr>
              <w:t>乡</w:t>
            </w:r>
            <w:r>
              <w:rPr>
                <w:rFonts w:hint="eastAsia" w:ascii="宋体" w:hAnsi="宋体" w:cs="宋体"/>
                <w:color w:val="000000" w:themeColor="text1"/>
                <w:szCs w:val="21"/>
                <w:u w:val="single"/>
              </w:rPr>
              <w:t>前苇塘村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地理坐标</w:t>
            </w:r>
          </w:p>
        </w:tc>
        <w:tc>
          <w:tcPr>
            <w:tcW w:w="6681" w:type="dxa"/>
            <w:gridSpan w:val="3"/>
            <w:noWrap/>
            <w:vAlign w:val="center"/>
          </w:tcPr>
          <w:p>
            <w:pPr>
              <w:spacing w:line="240" w:lineRule="auto"/>
              <w:ind w:firstLine="0" w:firstLineChars="0"/>
              <w:jc w:val="center"/>
              <w:rPr>
                <w:color w:val="000000" w:themeColor="text1"/>
                <w:kern w:val="21"/>
              </w:rPr>
            </w:pPr>
            <w:r>
              <w:rPr>
                <w:color w:val="000000" w:themeColor="text1"/>
                <w:kern w:val="21"/>
              </w:rPr>
              <w:t>（</w:t>
            </w:r>
            <w:r>
              <w:rPr>
                <w:color w:val="000000" w:themeColor="text1"/>
                <w:kern w:val="21"/>
                <w:u w:val="single"/>
              </w:rPr>
              <w:t>117</w:t>
            </w:r>
            <w:r>
              <w:rPr>
                <w:color w:val="000000" w:themeColor="text1"/>
                <w:kern w:val="21"/>
              </w:rPr>
              <w:t>度</w:t>
            </w:r>
            <w:r>
              <w:rPr>
                <w:rFonts w:hint="eastAsia"/>
                <w:color w:val="000000" w:themeColor="text1"/>
                <w:kern w:val="21"/>
                <w:u w:val="single"/>
              </w:rPr>
              <w:t>25</w:t>
            </w:r>
            <w:r>
              <w:rPr>
                <w:color w:val="000000" w:themeColor="text1"/>
                <w:kern w:val="21"/>
              </w:rPr>
              <w:t>分</w:t>
            </w:r>
            <w:r>
              <w:rPr>
                <w:rFonts w:hint="eastAsia"/>
                <w:color w:val="000000" w:themeColor="text1"/>
                <w:kern w:val="21"/>
                <w:u w:val="single"/>
              </w:rPr>
              <w:t>0.163</w:t>
            </w:r>
            <w:r>
              <w:rPr>
                <w:color w:val="000000" w:themeColor="text1"/>
                <w:kern w:val="21"/>
              </w:rPr>
              <w:t>秒，</w:t>
            </w:r>
            <w:r>
              <w:rPr>
                <w:color w:val="000000" w:themeColor="text1"/>
                <w:kern w:val="21"/>
                <w:u w:val="single"/>
              </w:rPr>
              <w:t>40</w:t>
            </w:r>
            <w:r>
              <w:rPr>
                <w:color w:val="000000" w:themeColor="text1"/>
                <w:kern w:val="21"/>
              </w:rPr>
              <w:t>度</w:t>
            </w:r>
            <w:r>
              <w:rPr>
                <w:rFonts w:hint="eastAsia"/>
                <w:color w:val="000000" w:themeColor="text1"/>
                <w:kern w:val="21"/>
                <w:u w:val="single"/>
              </w:rPr>
              <w:t>23</w:t>
            </w:r>
            <w:r>
              <w:rPr>
                <w:color w:val="000000" w:themeColor="text1"/>
                <w:kern w:val="21"/>
              </w:rPr>
              <w:t>分</w:t>
            </w:r>
            <w:r>
              <w:rPr>
                <w:rFonts w:hint="eastAsia"/>
                <w:color w:val="000000" w:themeColor="text1"/>
                <w:kern w:val="21"/>
                <w:u w:val="single"/>
              </w:rPr>
              <w:t>53.190</w:t>
            </w:r>
            <w:r>
              <w:rPr>
                <w:color w:val="000000" w:themeColor="text1"/>
                <w:kern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国民经济</w:t>
            </w:r>
          </w:p>
          <w:p>
            <w:pPr>
              <w:spacing w:line="240" w:lineRule="auto"/>
              <w:ind w:firstLine="0" w:firstLineChars="0"/>
              <w:jc w:val="center"/>
              <w:rPr>
                <w:color w:val="000000" w:themeColor="text1"/>
                <w:kern w:val="21"/>
              </w:rPr>
            </w:pPr>
            <w:r>
              <w:rPr>
                <w:color w:val="000000" w:themeColor="text1"/>
                <w:kern w:val="21"/>
              </w:rPr>
              <w:t>行业类别</w:t>
            </w:r>
          </w:p>
        </w:tc>
        <w:tc>
          <w:tcPr>
            <w:tcW w:w="2148" w:type="dxa"/>
            <w:noWrap/>
            <w:vAlign w:val="center"/>
          </w:tcPr>
          <w:p>
            <w:pPr>
              <w:spacing w:line="240" w:lineRule="auto"/>
              <w:ind w:firstLine="0" w:firstLineChars="0"/>
              <w:jc w:val="center"/>
              <w:rPr>
                <w:color w:val="000000" w:themeColor="text1"/>
                <w:kern w:val="21"/>
              </w:rPr>
            </w:pPr>
            <w:r>
              <w:rPr>
                <w:color w:val="000000" w:themeColor="text1"/>
              </w:rPr>
              <w:t>C3099其他非金属矿物制品制造</w:t>
            </w:r>
          </w:p>
        </w:tc>
        <w:tc>
          <w:tcPr>
            <w:tcW w:w="2005" w:type="dxa"/>
            <w:noWrap/>
            <w:vAlign w:val="center"/>
          </w:tcPr>
          <w:p>
            <w:pPr>
              <w:spacing w:line="240" w:lineRule="auto"/>
              <w:ind w:firstLine="0" w:firstLineChars="0"/>
              <w:jc w:val="center"/>
              <w:rPr>
                <w:color w:val="000000" w:themeColor="text1"/>
                <w:kern w:val="21"/>
              </w:rPr>
            </w:pPr>
            <w:bookmarkStart w:id="1" w:name="_Hlk49843745"/>
            <w:r>
              <w:rPr>
                <w:color w:val="000000" w:themeColor="text1"/>
                <w:kern w:val="21"/>
              </w:rPr>
              <w:t>建设项目</w:t>
            </w:r>
          </w:p>
          <w:p>
            <w:pPr>
              <w:spacing w:line="240" w:lineRule="auto"/>
              <w:ind w:firstLine="0" w:firstLineChars="0"/>
              <w:jc w:val="center"/>
              <w:rPr>
                <w:color w:val="000000" w:themeColor="text1"/>
                <w:kern w:val="21"/>
              </w:rPr>
            </w:pPr>
            <w:r>
              <w:rPr>
                <w:color w:val="000000" w:themeColor="text1"/>
                <w:kern w:val="21"/>
              </w:rPr>
              <w:t>行业类别</w:t>
            </w:r>
            <w:bookmarkEnd w:id="1"/>
          </w:p>
        </w:tc>
        <w:tc>
          <w:tcPr>
            <w:tcW w:w="2528" w:type="dxa"/>
            <w:noWrap/>
            <w:vAlign w:val="center"/>
          </w:tcPr>
          <w:p>
            <w:pPr>
              <w:spacing w:line="240" w:lineRule="auto"/>
              <w:ind w:firstLine="0" w:firstLineChars="0"/>
              <w:jc w:val="center"/>
              <w:rPr>
                <w:color w:val="000000" w:themeColor="text1"/>
                <w:kern w:val="21"/>
              </w:rPr>
            </w:pPr>
            <w:r>
              <w:rPr>
                <w:color w:val="000000" w:themeColor="text1"/>
                <w:kern w:val="21"/>
              </w:rPr>
              <w:t>二十七、非金属矿物制品业-60石墨及其他非金属矿物制品制造309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rFonts w:eastAsia="Calibri"/>
                <w:color w:val="000000" w:themeColor="text1"/>
                <w:kern w:val="21"/>
              </w:rPr>
            </w:pPr>
            <w:r>
              <w:rPr>
                <w:color w:val="000000" w:themeColor="text1"/>
                <w:kern w:val="21"/>
              </w:rPr>
              <w:t>建设性质</w:t>
            </w:r>
          </w:p>
        </w:tc>
        <w:tc>
          <w:tcPr>
            <w:tcW w:w="2148" w:type="dxa"/>
            <w:noWrap/>
            <w:vAlign w:val="center"/>
          </w:tcPr>
          <w:p>
            <w:pPr>
              <w:spacing w:line="240" w:lineRule="auto"/>
              <w:ind w:firstLine="0" w:firstLineChars="0"/>
              <w:jc w:val="left"/>
              <w:rPr>
                <w:color w:val="000000" w:themeColor="text1"/>
                <w:kern w:val="21"/>
              </w:rPr>
            </w:pPr>
            <w:r>
              <w:rPr>
                <w:color w:val="000000" w:themeColor="text1"/>
                <w:kern w:val="21"/>
              </w:rPr>
              <w:sym w:font="Wingdings 2" w:char="0052"/>
            </w:r>
            <w:r>
              <w:rPr>
                <w:color w:val="000000" w:themeColor="text1"/>
                <w:kern w:val="21"/>
              </w:rPr>
              <w:t>新建（迁建）</w:t>
            </w:r>
          </w:p>
          <w:p>
            <w:pPr>
              <w:spacing w:line="240" w:lineRule="auto"/>
              <w:ind w:firstLine="0" w:firstLineChars="0"/>
              <w:jc w:val="left"/>
              <w:rPr>
                <w:color w:val="000000" w:themeColor="text1"/>
                <w:kern w:val="21"/>
              </w:rPr>
            </w:pPr>
            <w:r>
              <w:rPr>
                <w:color w:val="000000" w:themeColor="text1"/>
                <w:kern w:val="21"/>
              </w:rPr>
              <w:sym w:font="Wingdings 2" w:char="00A3"/>
            </w:r>
            <w:r>
              <w:rPr>
                <w:color w:val="000000" w:themeColor="text1"/>
                <w:kern w:val="21"/>
              </w:rPr>
              <w:t>改建</w:t>
            </w:r>
          </w:p>
          <w:p>
            <w:pPr>
              <w:spacing w:line="240" w:lineRule="auto"/>
              <w:ind w:firstLine="0" w:firstLineChars="0"/>
              <w:jc w:val="left"/>
              <w:rPr>
                <w:color w:val="000000" w:themeColor="text1"/>
                <w:kern w:val="21"/>
              </w:rPr>
            </w:pPr>
            <w:r>
              <w:rPr>
                <w:color w:val="000000" w:themeColor="text1"/>
                <w:kern w:val="21"/>
              </w:rPr>
              <w:sym w:font="Wingdings 2" w:char="00A3"/>
            </w:r>
            <w:r>
              <w:rPr>
                <w:color w:val="000000" w:themeColor="text1"/>
                <w:kern w:val="21"/>
              </w:rPr>
              <w:t>扩建</w:t>
            </w:r>
          </w:p>
          <w:p>
            <w:pPr>
              <w:spacing w:line="240" w:lineRule="auto"/>
              <w:ind w:firstLine="0" w:firstLineChars="0"/>
              <w:jc w:val="left"/>
              <w:rPr>
                <w:color w:val="000000" w:themeColor="text1"/>
                <w:kern w:val="21"/>
              </w:rPr>
            </w:pPr>
            <w:r>
              <w:rPr>
                <w:color w:val="000000" w:themeColor="text1"/>
                <w:kern w:val="21"/>
              </w:rPr>
              <w:sym w:font="Wingdings 2" w:char="00A3"/>
            </w:r>
            <w:r>
              <w:rPr>
                <w:color w:val="000000" w:themeColor="text1"/>
                <w:kern w:val="21"/>
              </w:rPr>
              <w:t>技术改造</w:t>
            </w:r>
          </w:p>
        </w:tc>
        <w:tc>
          <w:tcPr>
            <w:tcW w:w="2005" w:type="dxa"/>
            <w:noWrap/>
            <w:vAlign w:val="center"/>
          </w:tcPr>
          <w:p>
            <w:pPr>
              <w:spacing w:line="240" w:lineRule="auto"/>
              <w:ind w:firstLine="0" w:firstLineChars="0"/>
              <w:jc w:val="center"/>
              <w:rPr>
                <w:color w:val="000000" w:themeColor="text1"/>
                <w:kern w:val="21"/>
              </w:rPr>
            </w:pPr>
            <w:r>
              <w:rPr>
                <w:color w:val="000000" w:themeColor="text1"/>
                <w:kern w:val="21"/>
              </w:rPr>
              <w:t>建设项目申报情形</w:t>
            </w:r>
          </w:p>
        </w:tc>
        <w:tc>
          <w:tcPr>
            <w:tcW w:w="2528" w:type="dxa"/>
            <w:noWrap/>
            <w:vAlign w:val="center"/>
          </w:tcPr>
          <w:p>
            <w:pPr>
              <w:spacing w:line="240" w:lineRule="auto"/>
              <w:ind w:firstLine="0" w:firstLineChars="0"/>
              <w:jc w:val="left"/>
              <w:rPr>
                <w:color w:val="000000" w:themeColor="text1"/>
                <w:kern w:val="21"/>
              </w:rPr>
            </w:pPr>
            <w:r>
              <w:rPr>
                <w:color w:val="000000" w:themeColor="text1"/>
                <w:kern w:val="21"/>
              </w:rPr>
              <w:sym w:font="Wingdings 2" w:char="0052"/>
            </w:r>
            <w:r>
              <w:rPr>
                <w:color w:val="000000" w:themeColor="text1"/>
                <w:kern w:val="21"/>
              </w:rPr>
              <w:t>首次申报项目</w:t>
            </w:r>
          </w:p>
          <w:p>
            <w:pPr>
              <w:spacing w:line="240" w:lineRule="auto"/>
              <w:ind w:firstLine="0" w:firstLineChars="0"/>
              <w:jc w:val="left"/>
              <w:rPr>
                <w:color w:val="000000" w:themeColor="text1"/>
                <w:kern w:val="21"/>
              </w:rPr>
            </w:pPr>
            <w:r>
              <w:rPr>
                <w:color w:val="000000" w:themeColor="text1"/>
                <w:kern w:val="21"/>
              </w:rPr>
              <w:sym w:font="Wingdings 2" w:char="00A3"/>
            </w:r>
            <w:r>
              <w:rPr>
                <w:color w:val="000000" w:themeColor="text1"/>
                <w:kern w:val="21"/>
              </w:rPr>
              <w:t>不予批准后再次申报项目</w:t>
            </w:r>
          </w:p>
          <w:p>
            <w:pPr>
              <w:spacing w:line="240" w:lineRule="auto"/>
              <w:ind w:firstLine="0" w:firstLineChars="0"/>
              <w:jc w:val="left"/>
              <w:rPr>
                <w:color w:val="000000" w:themeColor="text1"/>
                <w:kern w:val="21"/>
              </w:rPr>
            </w:pPr>
            <w:r>
              <w:rPr>
                <w:color w:val="000000" w:themeColor="text1"/>
                <w:kern w:val="21"/>
              </w:rPr>
              <w:sym w:font="Wingdings 2" w:char="00A3"/>
            </w:r>
            <w:r>
              <w:rPr>
                <w:color w:val="000000" w:themeColor="text1"/>
                <w:kern w:val="21"/>
              </w:rPr>
              <w:t>超五年重新审核项目</w:t>
            </w:r>
          </w:p>
          <w:p>
            <w:pPr>
              <w:spacing w:line="240" w:lineRule="auto"/>
              <w:ind w:firstLine="0" w:firstLineChars="0"/>
              <w:jc w:val="left"/>
              <w:rPr>
                <w:color w:val="000000" w:themeColor="text1"/>
                <w:kern w:val="21"/>
              </w:rPr>
            </w:pPr>
            <w:r>
              <w:rPr>
                <w:color w:val="000000" w:themeColor="text1"/>
                <w:kern w:val="21"/>
              </w:rPr>
              <w:sym w:font="Wingdings 2" w:char="00A3"/>
            </w:r>
            <w:r>
              <w:rPr>
                <w:color w:val="000000" w:themeColor="text1"/>
                <w:kern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项目审批（核准/</w:t>
            </w:r>
          </w:p>
          <w:p>
            <w:pPr>
              <w:spacing w:line="240" w:lineRule="auto"/>
              <w:ind w:firstLine="0" w:firstLineChars="0"/>
              <w:jc w:val="center"/>
              <w:rPr>
                <w:color w:val="000000" w:themeColor="text1"/>
                <w:kern w:val="21"/>
              </w:rPr>
            </w:pPr>
            <w:r>
              <w:rPr>
                <w:color w:val="000000" w:themeColor="text1"/>
                <w:kern w:val="21"/>
              </w:rPr>
              <w:t>备案）部门（选填）</w:t>
            </w:r>
          </w:p>
        </w:tc>
        <w:tc>
          <w:tcPr>
            <w:tcW w:w="2148" w:type="dxa"/>
            <w:noWrap/>
            <w:vAlign w:val="center"/>
          </w:tcPr>
          <w:p>
            <w:pPr>
              <w:spacing w:line="240" w:lineRule="auto"/>
              <w:ind w:firstLine="0" w:firstLineChars="0"/>
              <w:jc w:val="center"/>
              <w:rPr>
                <w:color w:val="000000" w:themeColor="text1"/>
                <w:kern w:val="21"/>
              </w:rPr>
            </w:pPr>
            <w:r>
              <w:rPr>
                <w:color w:val="000000" w:themeColor="text1"/>
                <w:kern w:val="21"/>
              </w:rPr>
              <w:t>兴隆县行政审批局</w:t>
            </w:r>
          </w:p>
        </w:tc>
        <w:tc>
          <w:tcPr>
            <w:tcW w:w="2005" w:type="dxa"/>
            <w:noWrap/>
            <w:vAlign w:val="center"/>
          </w:tcPr>
          <w:p>
            <w:pPr>
              <w:spacing w:line="240" w:lineRule="auto"/>
              <w:ind w:firstLine="0" w:firstLineChars="0"/>
              <w:jc w:val="center"/>
              <w:rPr>
                <w:color w:val="000000" w:themeColor="text1"/>
                <w:kern w:val="21"/>
              </w:rPr>
            </w:pPr>
            <w:r>
              <w:rPr>
                <w:color w:val="000000" w:themeColor="text1"/>
                <w:kern w:val="21"/>
              </w:rPr>
              <w:t>项目审批（核准/</w:t>
            </w:r>
          </w:p>
          <w:p>
            <w:pPr>
              <w:spacing w:line="240" w:lineRule="auto"/>
              <w:ind w:firstLine="0" w:firstLineChars="0"/>
              <w:jc w:val="center"/>
              <w:rPr>
                <w:color w:val="000000" w:themeColor="text1"/>
                <w:kern w:val="21"/>
              </w:rPr>
            </w:pPr>
            <w:r>
              <w:rPr>
                <w:color w:val="000000" w:themeColor="text1"/>
                <w:kern w:val="21"/>
              </w:rPr>
              <w:t>备案）文号（选填）</w:t>
            </w:r>
          </w:p>
        </w:tc>
        <w:tc>
          <w:tcPr>
            <w:tcW w:w="2528" w:type="dxa"/>
            <w:noWrap/>
            <w:vAlign w:val="center"/>
          </w:tcPr>
          <w:p>
            <w:pPr>
              <w:spacing w:line="240" w:lineRule="auto"/>
              <w:ind w:firstLine="0" w:firstLineChars="0"/>
              <w:jc w:val="center"/>
              <w:rPr>
                <w:color w:val="000000" w:themeColor="text1"/>
                <w:kern w:val="21"/>
              </w:rPr>
            </w:pPr>
            <w:r>
              <w:rPr>
                <w:color w:val="000000" w:themeColor="text1"/>
                <w:kern w:val="21"/>
              </w:rPr>
              <w:t>兴审批投字[202</w:t>
            </w:r>
            <w:r>
              <w:rPr>
                <w:rFonts w:hint="eastAsia"/>
                <w:color w:val="000000" w:themeColor="text1"/>
                <w:kern w:val="21"/>
              </w:rPr>
              <w:t>3</w:t>
            </w:r>
            <w:r>
              <w:rPr>
                <w:color w:val="000000" w:themeColor="text1"/>
                <w:kern w:val="21"/>
              </w:rPr>
              <w:t>]</w:t>
            </w:r>
            <w:r>
              <w:rPr>
                <w:rFonts w:hint="eastAsia"/>
                <w:color w:val="000000" w:themeColor="text1"/>
                <w:kern w:val="21"/>
              </w:rPr>
              <w:t>72</w:t>
            </w:r>
            <w:r>
              <w:rPr>
                <w:color w:val="000000" w:themeColor="text1"/>
                <w:kern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总投资（万元）</w:t>
            </w:r>
          </w:p>
        </w:tc>
        <w:tc>
          <w:tcPr>
            <w:tcW w:w="2148" w:type="dxa"/>
            <w:noWrap/>
            <w:vAlign w:val="center"/>
          </w:tcPr>
          <w:p>
            <w:pPr>
              <w:spacing w:line="240" w:lineRule="auto"/>
              <w:ind w:firstLine="0" w:firstLineChars="0"/>
              <w:jc w:val="center"/>
              <w:rPr>
                <w:color w:val="000000" w:themeColor="text1"/>
                <w:kern w:val="21"/>
              </w:rPr>
            </w:pPr>
            <w:r>
              <w:rPr>
                <w:rFonts w:hint="eastAsia"/>
                <w:color w:val="000000" w:themeColor="text1"/>
                <w:kern w:val="21"/>
              </w:rPr>
              <w:t>500</w:t>
            </w:r>
          </w:p>
        </w:tc>
        <w:tc>
          <w:tcPr>
            <w:tcW w:w="2005"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环保投资（万元）</w:t>
            </w:r>
          </w:p>
        </w:tc>
        <w:tc>
          <w:tcPr>
            <w:tcW w:w="2528" w:type="dxa"/>
            <w:noWrap/>
            <w:vAlign w:val="center"/>
          </w:tcPr>
          <w:p>
            <w:pPr>
              <w:spacing w:line="240" w:lineRule="auto"/>
              <w:ind w:firstLine="0" w:firstLineChars="0"/>
              <w:jc w:val="center"/>
              <w:rPr>
                <w:color w:val="000000" w:themeColor="text1"/>
                <w:kern w:val="21"/>
              </w:rPr>
            </w:pPr>
            <w:r>
              <w:rPr>
                <w:rFonts w:hint="eastAsia"/>
                <w:color w:val="000000" w:themeColor="text1"/>
                <w:kern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环保投资占比（%）</w:t>
            </w:r>
          </w:p>
        </w:tc>
        <w:tc>
          <w:tcPr>
            <w:tcW w:w="2148" w:type="dxa"/>
            <w:noWrap/>
            <w:vAlign w:val="center"/>
          </w:tcPr>
          <w:p>
            <w:pPr>
              <w:spacing w:line="240" w:lineRule="auto"/>
              <w:ind w:firstLine="0" w:firstLineChars="0"/>
              <w:jc w:val="center"/>
              <w:rPr>
                <w:color w:val="000000" w:themeColor="text1"/>
                <w:kern w:val="21"/>
              </w:rPr>
            </w:pPr>
            <w:r>
              <w:rPr>
                <w:rFonts w:hint="eastAsia"/>
                <w:color w:val="000000" w:themeColor="text1"/>
                <w:kern w:val="21"/>
              </w:rPr>
              <w:t>8</w:t>
            </w:r>
          </w:p>
        </w:tc>
        <w:tc>
          <w:tcPr>
            <w:tcW w:w="2005"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施工工期</w:t>
            </w:r>
          </w:p>
        </w:tc>
        <w:tc>
          <w:tcPr>
            <w:tcW w:w="2528" w:type="dxa"/>
            <w:noWrap/>
            <w:vAlign w:val="center"/>
          </w:tcPr>
          <w:p>
            <w:pPr>
              <w:spacing w:line="240" w:lineRule="auto"/>
              <w:ind w:firstLine="0" w:firstLineChars="0"/>
              <w:jc w:val="center"/>
              <w:rPr>
                <w:color w:val="000000" w:themeColor="text1"/>
                <w:highlight w:val="none"/>
              </w:rPr>
            </w:pPr>
            <w:r>
              <w:rPr>
                <w:rFonts w:hint="eastAsia"/>
                <w:color w:val="000000" w:themeColor="text1"/>
                <w:highlight w:val="none"/>
              </w:rPr>
              <w:t>3个月</w:t>
            </w:r>
          </w:p>
          <w:p>
            <w:pPr>
              <w:pStyle w:val="2"/>
              <w:spacing w:line="240" w:lineRule="auto"/>
              <w:ind w:firstLine="0" w:firstLineChars="0"/>
              <w:rPr>
                <w:rFonts w:hint="eastAsia" w:eastAsia="宋体"/>
                <w:color w:val="000000" w:themeColor="text1"/>
                <w:highlight w:val="none"/>
                <w:lang w:val="en-US" w:eastAsia="zh-CN"/>
              </w:rPr>
            </w:pPr>
            <w:r>
              <w:rPr>
                <w:rFonts w:hint="eastAsia"/>
                <w:color w:val="000000" w:themeColor="text1"/>
                <w:kern w:val="21"/>
                <w:highlight w:val="none"/>
              </w:rPr>
              <w:t>202</w:t>
            </w:r>
            <w:r>
              <w:rPr>
                <w:rFonts w:hint="eastAsia"/>
                <w:color w:val="000000" w:themeColor="text1"/>
                <w:kern w:val="21"/>
                <w:highlight w:val="none"/>
                <w:lang w:val="en-US" w:eastAsia="zh-CN"/>
              </w:rPr>
              <w:t>4</w:t>
            </w:r>
            <w:r>
              <w:rPr>
                <w:rFonts w:hint="eastAsia"/>
                <w:color w:val="000000" w:themeColor="text1"/>
                <w:kern w:val="21"/>
                <w:highlight w:val="none"/>
              </w:rPr>
              <w:t>.</w:t>
            </w:r>
            <w:r>
              <w:rPr>
                <w:rFonts w:hint="eastAsia"/>
                <w:color w:val="000000" w:themeColor="text1"/>
                <w:kern w:val="21"/>
                <w:highlight w:val="none"/>
                <w:lang w:val="en-US" w:eastAsia="zh-CN"/>
              </w:rPr>
              <w:t>4</w:t>
            </w:r>
            <w:r>
              <w:rPr>
                <w:rFonts w:hint="eastAsia"/>
                <w:color w:val="000000" w:themeColor="text1"/>
                <w:kern w:val="21"/>
                <w:highlight w:val="none"/>
              </w:rPr>
              <w:t>至202</w:t>
            </w:r>
            <w:r>
              <w:rPr>
                <w:rFonts w:hint="eastAsia"/>
                <w:color w:val="000000" w:themeColor="text1"/>
                <w:kern w:val="21"/>
                <w:highlight w:val="none"/>
                <w:lang w:val="en-US" w:eastAsia="zh-CN"/>
              </w:rPr>
              <w:t>4</w:t>
            </w:r>
            <w:r>
              <w:rPr>
                <w:rFonts w:hint="eastAsia"/>
                <w:color w:val="000000" w:themeColor="text1"/>
                <w:kern w:val="21"/>
                <w:highlight w:val="none"/>
              </w:rPr>
              <w:t>.</w:t>
            </w:r>
            <w:r>
              <w:rPr>
                <w:rFonts w:hint="eastAsia"/>
                <w:color w:val="000000" w:themeColor="text1"/>
                <w:kern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181"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是否开工建设</w:t>
            </w:r>
          </w:p>
        </w:tc>
        <w:tc>
          <w:tcPr>
            <w:tcW w:w="2148" w:type="dxa"/>
            <w:noWrap/>
            <w:vAlign w:val="center"/>
          </w:tcPr>
          <w:p>
            <w:pPr>
              <w:spacing w:line="240" w:lineRule="auto"/>
              <w:ind w:firstLine="0" w:firstLineChars="0"/>
              <w:rPr>
                <w:color w:val="000000" w:themeColor="text1"/>
                <w:kern w:val="21"/>
              </w:rPr>
            </w:pPr>
            <w:r>
              <w:rPr>
                <w:color w:val="000000" w:themeColor="text1"/>
                <w:kern w:val="21"/>
              </w:rPr>
              <w:sym w:font="Wingdings 2" w:char="0052"/>
            </w:r>
            <w:r>
              <w:rPr>
                <w:color w:val="000000" w:themeColor="text1"/>
                <w:kern w:val="21"/>
              </w:rPr>
              <w:t>否</w:t>
            </w:r>
          </w:p>
          <w:p>
            <w:pPr>
              <w:spacing w:line="240" w:lineRule="auto"/>
              <w:ind w:firstLine="0" w:firstLineChars="0"/>
              <w:rPr>
                <w:color w:val="000000" w:themeColor="text1"/>
                <w:kern w:val="21"/>
              </w:rPr>
            </w:pPr>
            <w:r>
              <w:rPr>
                <w:color w:val="000000" w:themeColor="text1"/>
                <w:kern w:val="21"/>
              </w:rPr>
              <w:sym w:font="Wingdings 2" w:char="00A3"/>
            </w:r>
            <w:r>
              <w:rPr>
                <w:color w:val="000000" w:themeColor="text1"/>
                <w:kern w:val="21"/>
              </w:rPr>
              <w:t>是：</w:t>
            </w:r>
            <w:r>
              <w:rPr>
                <w:color w:val="000000" w:themeColor="text1"/>
                <w:kern w:val="21"/>
                <w:u w:val="single"/>
              </w:rPr>
              <w:t xml:space="preserve">          </w:t>
            </w:r>
          </w:p>
        </w:tc>
        <w:tc>
          <w:tcPr>
            <w:tcW w:w="2005" w:type="dxa"/>
            <w:noWrap/>
            <w:tcMar>
              <w:top w:w="16" w:type="dxa"/>
              <w:left w:w="16" w:type="dxa"/>
              <w:right w:w="16" w:type="dxa"/>
            </w:tcMar>
            <w:vAlign w:val="center"/>
          </w:tcPr>
          <w:p>
            <w:pPr>
              <w:spacing w:line="240" w:lineRule="auto"/>
              <w:ind w:firstLine="0" w:firstLineChars="0"/>
              <w:jc w:val="center"/>
              <w:rPr>
                <w:color w:val="000000" w:themeColor="text1"/>
                <w:kern w:val="21"/>
              </w:rPr>
            </w:pPr>
            <w:r>
              <w:rPr>
                <w:color w:val="000000" w:themeColor="text1"/>
                <w:kern w:val="21"/>
              </w:rPr>
              <w:t>用地（用海）</w:t>
            </w:r>
          </w:p>
          <w:p>
            <w:pPr>
              <w:spacing w:line="240" w:lineRule="auto"/>
              <w:ind w:firstLine="0" w:firstLineChars="0"/>
              <w:jc w:val="center"/>
              <w:rPr>
                <w:color w:val="000000" w:themeColor="text1"/>
                <w:kern w:val="21"/>
              </w:rPr>
            </w:pPr>
            <w:r>
              <w:rPr>
                <w:color w:val="000000" w:themeColor="text1"/>
                <w:kern w:val="21"/>
              </w:rPr>
              <w:t>面积（m</w:t>
            </w:r>
            <w:r>
              <w:rPr>
                <w:color w:val="000000" w:themeColor="text1"/>
                <w:kern w:val="21"/>
                <w:vertAlign w:val="superscript"/>
              </w:rPr>
              <w:t>2</w:t>
            </w:r>
            <w:r>
              <w:rPr>
                <w:color w:val="000000" w:themeColor="text1"/>
                <w:kern w:val="21"/>
              </w:rPr>
              <w:t>）</w:t>
            </w:r>
          </w:p>
        </w:tc>
        <w:tc>
          <w:tcPr>
            <w:tcW w:w="2528" w:type="dxa"/>
            <w:noWrap/>
            <w:vAlign w:val="center"/>
          </w:tcPr>
          <w:p>
            <w:pPr>
              <w:spacing w:line="240" w:lineRule="auto"/>
              <w:ind w:firstLine="0" w:firstLineChars="0"/>
              <w:jc w:val="center"/>
              <w:rPr>
                <w:color w:val="000000" w:themeColor="text1"/>
                <w:kern w:val="21"/>
              </w:rPr>
            </w:pPr>
            <w:r>
              <w:rPr>
                <w:rFonts w:hint="eastAsia"/>
                <w:color w:val="000000" w:themeColor="text1"/>
                <w:kern w:val="21"/>
              </w:rPr>
              <w:t>9200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181" w:type="dxa"/>
            <w:noWrap/>
            <w:vAlign w:val="center"/>
          </w:tcPr>
          <w:p>
            <w:pPr>
              <w:spacing w:line="240" w:lineRule="auto"/>
              <w:ind w:firstLine="0" w:firstLineChars="0"/>
              <w:jc w:val="center"/>
              <w:rPr>
                <w:color w:val="000000" w:themeColor="text1"/>
                <w:kern w:val="21"/>
              </w:rPr>
            </w:pPr>
            <w:r>
              <w:rPr>
                <w:color w:val="000000" w:themeColor="text1"/>
                <w:kern w:val="21"/>
              </w:rPr>
              <w:t>专项评价设置情况</w:t>
            </w:r>
          </w:p>
        </w:tc>
        <w:tc>
          <w:tcPr>
            <w:tcW w:w="6681" w:type="dxa"/>
            <w:gridSpan w:val="3"/>
            <w:noWrap/>
            <w:vAlign w:val="center"/>
          </w:tcPr>
          <w:p>
            <w:pPr>
              <w:spacing w:line="240" w:lineRule="auto"/>
              <w:ind w:firstLine="0" w:firstLineChars="0"/>
              <w:jc w:val="center"/>
              <w:rPr>
                <w:color w:val="000000" w:themeColor="text1"/>
              </w:rPr>
            </w:pPr>
            <w:r>
              <w:rPr>
                <w:color w:val="000000" w:themeColor="text1"/>
              </w:rPr>
              <w:t>大气专项评价：项目运营期排放废气含有苯并[α]芘，且厂界外500米范围内有环境空气保护目标。</w:t>
            </w:r>
          </w:p>
          <w:p>
            <w:pPr>
              <w:pStyle w:val="10"/>
              <w:spacing w:line="240" w:lineRule="auto"/>
              <w:ind w:left="0" w:leftChars="0" w:firstLine="0" w:firstLineChars="0"/>
              <w:jc w:val="center"/>
              <w:rPr>
                <w:color w:val="000000" w:themeColor="text1"/>
                <w:szCs w:val="24"/>
              </w:rPr>
            </w:pPr>
            <w:r>
              <w:rPr>
                <w:color w:val="000000" w:themeColor="text1"/>
                <w:kern w:val="21"/>
                <w:szCs w:val="24"/>
              </w:rPr>
              <w:t>环境风险专项评价：有毒有害和易燃易爆危险物质（天然气）存储量超过临界量（10t）</w:t>
            </w:r>
            <w:r>
              <w:rPr>
                <w:rFonts w:hint="eastAsia"/>
                <w:color w:val="000000" w:themeColor="text1"/>
                <w:kern w:val="21"/>
                <w:szCs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181" w:type="dxa"/>
            <w:noWrap/>
            <w:vAlign w:val="center"/>
          </w:tcPr>
          <w:p>
            <w:pPr>
              <w:autoSpaceDE w:val="0"/>
              <w:autoSpaceDN w:val="0"/>
              <w:spacing w:line="240" w:lineRule="auto"/>
              <w:ind w:firstLine="0" w:firstLineChars="0"/>
              <w:jc w:val="center"/>
              <w:rPr>
                <w:color w:val="000000" w:themeColor="text1"/>
                <w:kern w:val="21"/>
              </w:rPr>
            </w:pPr>
            <w:r>
              <w:rPr>
                <w:color w:val="000000" w:themeColor="text1"/>
                <w:kern w:val="21"/>
              </w:rPr>
              <w:t>规划情况</w:t>
            </w:r>
          </w:p>
        </w:tc>
        <w:tc>
          <w:tcPr>
            <w:tcW w:w="6681" w:type="dxa"/>
            <w:gridSpan w:val="3"/>
            <w:noWrap/>
            <w:vAlign w:val="center"/>
          </w:tcPr>
          <w:p>
            <w:pPr>
              <w:autoSpaceDE w:val="0"/>
              <w:autoSpaceDN w:val="0"/>
              <w:spacing w:line="240" w:lineRule="auto"/>
              <w:ind w:firstLine="0" w:firstLineChars="0"/>
              <w:jc w:val="center"/>
              <w:rPr>
                <w:color w:val="000000" w:themeColor="text1"/>
                <w:kern w:val="21"/>
              </w:rPr>
            </w:pPr>
            <w:r>
              <w:rPr>
                <w:color w:val="000000" w:themeColor="text1"/>
                <w:kern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181" w:type="dxa"/>
            <w:noWrap/>
            <w:vAlign w:val="center"/>
          </w:tcPr>
          <w:p>
            <w:pPr>
              <w:autoSpaceDE w:val="0"/>
              <w:autoSpaceDN w:val="0"/>
              <w:spacing w:line="240" w:lineRule="auto"/>
              <w:ind w:firstLine="0" w:firstLineChars="0"/>
              <w:jc w:val="center"/>
              <w:rPr>
                <w:color w:val="000000" w:themeColor="text1"/>
                <w:kern w:val="21"/>
              </w:rPr>
            </w:pPr>
            <w:r>
              <w:rPr>
                <w:color w:val="000000" w:themeColor="text1"/>
                <w:kern w:val="21"/>
              </w:rPr>
              <w:t>规划环境影响</w:t>
            </w:r>
          </w:p>
          <w:p>
            <w:pPr>
              <w:autoSpaceDE w:val="0"/>
              <w:autoSpaceDN w:val="0"/>
              <w:spacing w:line="240" w:lineRule="auto"/>
              <w:ind w:firstLine="0" w:firstLineChars="0"/>
              <w:jc w:val="center"/>
              <w:rPr>
                <w:color w:val="000000" w:themeColor="text1"/>
                <w:kern w:val="21"/>
              </w:rPr>
            </w:pPr>
            <w:r>
              <w:rPr>
                <w:color w:val="000000" w:themeColor="text1"/>
                <w:kern w:val="21"/>
              </w:rPr>
              <w:t>评价情况</w:t>
            </w:r>
          </w:p>
        </w:tc>
        <w:tc>
          <w:tcPr>
            <w:tcW w:w="6681" w:type="dxa"/>
            <w:gridSpan w:val="3"/>
            <w:noWrap/>
            <w:vAlign w:val="center"/>
          </w:tcPr>
          <w:p>
            <w:pPr>
              <w:autoSpaceDE w:val="0"/>
              <w:autoSpaceDN w:val="0"/>
              <w:spacing w:line="240" w:lineRule="auto"/>
              <w:ind w:firstLine="0" w:firstLineChars="0"/>
              <w:jc w:val="center"/>
              <w:rPr>
                <w:color w:val="000000" w:themeColor="text1"/>
                <w:kern w:val="21"/>
              </w:rPr>
            </w:pPr>
            <w:r>
              <w:rPr>
                <w:color w:val="000000" w:themeColor="text1"/>
                <w:kern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1" w:type="dxa"/>
            <w:noWrap/>
            <w:vAlign w:val="center"/>
          </w:tcPr>
          <w:p>
            <w:pPr>
              <w:autoSpaceDE w:val="0"/>
              <w:autoSpaceDN w:val="0"/>
              <w:spacing w:line="240" w:lineRule="auto"/>
              <w:ind w:firstLine="0" w:firstLineChars="0"/>
              <w:jc w:val="center"/>
              <w:rPr>
                <w:color w:val="000000" w:themeColor="text1"/>
                <w:kern w:val="21"/>
              </w:rPr>
            </w:pPr>
            <w:r>
              <w:rPr>
                <w:color w:val="000000" w:themeColor="text1"/>
                <w:kern w:val="21"/>
              </w:rPr>
              <w:t>规划及规划环境</w:t>
            </w:r>
          </w:p>
          <w:p>
            <w:pPr>
              <w:autoSpaceDE w:val="0"/>
              <w:autoSpaceDN w:val="0"/>
              <w:spacing w:line="240" w:lineRule="auto"/>
              <w:ind w:firstLine="0" w:firstLineChars="0"/>
              <w:jc w:val="center"/>
              <w:rPr>
                <w:color w:val="000000" w:themeColor="text1"/>
                <w:kern w:val="21"/>
              </w:rPr>
            </w:pPr>
            <w:r>
              <w:rPr>
                <w:color w:val="000000" w:themeColor="text1"/>
                <w:kern w:val="21"/>
              </w:rPr>
              <w:t>影响评价符合性分析</w:t>
            </w:r>
          </w:p>
        </w:tc>
        <w:tc>
          <w:tcPr>
            <w:tcW w:w="6681" w:type="dxa"/>
            <w:gridSpan w:val="3"/>
            <w:noWrap/>
            <w:vAlign w:val="center"/>
          </w:tcPr>
          <w:p>
            <w:pPr>
              <w:adjustRightInd/>
              <w:ind w:firstLine="0" w:firstLineChars="0"/>
              <w:jc w:val="center"/>
              <w:rPr>
                <w:color w:val="000000" w:themeColor="text1"/>
                <w:kern w:val="21"/>
              </w:rPr>
            </w:pPr>
            <w:r>
              <w:rPr>
                <w:color w:val="000000" w:themeColor="text1"/>
                <w:kern w:val="21"/>
              </w:rPr>
              <w:t>无</w:t>
            </w:r>
          </w:p>
        </w:tc>
      </w:tr>
    </w:tbl>
    <w:p>
      <w:pPr>
        <w:autoSpaceDE w:val="0"/>
        <w:autoSpaceDN w:val="0"/>
        <w:spacing w:line="240" w:lineRule="auto"/>
        <w:ind w:firstLine="0" w:firstLineChars="0"/>
        <w:jc w:val="center"/>
        <w:rPr>
          <w:rFonts w:ascii="宋体" w:hAnsi="宋体" w:cs="宋体"/>
          <w:color w:val="000000" w:themeColor="text1"/>
          <w:kern w:val="21"/>
          <w:szCs w:val="21"/>
        </w:rPr>
        <w:sectPr>
          <w:footerReference r:id="rId11" w:type="default"/>
          <w:pgSz w:w="11906" w:h="16838"/>
          <w:pgMar w:top="1417" w:right="1531" w:bottom="1701" w:left="1531" w:header="851" w:footer="1077" w:gutter="0"/>
          <w:pgNumType w:start="1"/>
          <w:cols w:space="720" w:num="1"/>
          <w:docGrid w:linePitch="312" w:charSpace="0"/>
        </w:sectPr>
      </w:pPr>
    </w:p>
    <w:tbl>
      <w:tblPr>
        <w:tblStyle w:val="22"/>
        <w:tblW w:w="88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8"/>
        <w:gridCol w:w="80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644" w:hRule="atLeast"/>
          <w:jc w:val="center"/>
        </w:trPr>
        <w:tc>
          <w:tcPr>
            <w:tcW w:w="798" w:type="dxa"/>
            <w:noWrap/>
            <w:vAlign w:val="center"/>
          </w:tcPr>
          <w:p>
            <w:pPr>
              <w:autoSpaceDE w:val="0"/>
              <w:autoSpaceDN w:val="0"/>
              <w:spacing w:line="240" w:lineRule="auto"/>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其他符合性分析</w:t>
            </w:r>
          </w:p>
        </w:tc>
        <w:tc>
          <w:tcPr>
            <w:tcW w:w="8064" w:type="dxa"/>
            <w:noWrap/>
            <w:vAlign w:val="center"/>
          </w:tcPr>
          <w:p>
            <w:pPr>
              <w:autoSpaceDE w:val="0"/>
              <w:autoSpaceDN w:val="0"/>
              <w:spacing w:before="120" w:beforeLines="50"/>
              <w:ind w:firstLine="482"/>
              <w:jc w:val="left"/>
              <w:rPr>
                <w:b/>
                <w:bCs/>
                <w:color w:val="000000" w:themeColor="text1"/>
                <w:kern w:val="0"/>
                <w:highlight w:val="none"/>
              </w:rPr>
            </w:pPr>
            <w:r>
              <w:rPr>
                <w:b/>
                <w:bCs/>
                <w:color w:val="000000" w:themeColor="text1"/>
                <w:kern w:val="0"/>
                <w:highlight w:val="none"/>
              </w:rPr>
              <w:t>一、三线一单符合性</w:t>
            </w:r>
          </w:p>
          <w:p>
            <w:pPr>
              <w:pStyle w:val="51"/>
              <w:adjustRightInd/>
              <w:ind w:firstLine="480"/>
              <w:rPr>
                <w:color w:val="000000" w:themeColor="text1"/>
                <w:sz w:val="24"/>
                <w:szCs w:val="24"/>
                <w:highlight w:val="none"/>
              </w:rPr>
            </w:pPr>
            <w:r>
              <w:rPr>
                <w:color w:val="000000" w:themeColor="text1"/>
                <w:sz w:val="24"/>
                <w:szCs w:val="24"/>
                <w:highlight w:val="none"/>
              </w:rPr>
              <w:t>根据《关于以改善环境质量为核心加强环境影响评价管理的通知》（环境保护部文件：环环评[2016]150号）对</w:t>
            </w:r>
            <w:r>
              <w:rPr>
                <w:rFonts w:hint="eastAsia" w:ascii="宋体" w:hAnsi="宋体" w:cs="宋体"/>
                <w:color w:val="000000" w:themeColor="text1"/>
                <w:sz w:val="24"/>
                <w:szCs w:val="24"/>
                <w:highlight w:val="none"/>
              </w:rPr>
              <w:t>“三线一单”的要求，进行项目“三线一单”符</w:t>
            </w:r>
            <w:r>
              <w:rPr>
                <w:color w:val="000000" w:themeColor="text1"/>
                <w:sz w:val="24"/>
                <w:szCs w:val="24"/>
                <w:highlight w:val="none"/>
              </w:rPr>
              <w:t>合性分析，判定内容如下表所示：</w:t>
            </w:r>
          </w:p>
          <w:p>
            <w:pPr>
              <w:ind w:firstLine="422"/>
              <w:jc w:val="center"/>
              <w:rPr>
                <w:b/>
                <w:bCs/>
                <w:color w:val="000000" w:themeColor="text1"/>
                <w:sz w:val="21"/>
                <w:szCs w:val="21"/>
                <w:highlight w:val="none"/>
              </w:rPr>
            </w:pPr>
            <w:r>
              <w:rPr>
                <w:b/>
                <w:bCs/>
                <w:color w:val="000000" w:themeColor="text1"/>
                <w:sz w:val="21"/>
                <w:szCs w:val="21"/>
                <w:highlight w:val="none"/>
              </w:rPr>
              <w:t>表1-</w:t>
            </w:r>
            <w:r>
              <w:rPr>
                <w:rFonts w:hint="eastAsia"/>
                <w:b/>
                <w:bCs/>
                <w:color w:val="000000" w:themeColor="text1"/>
                <w:sz w:val="21"/>
                <w:szCs w:val="21"/>
                <w:highlight w:val="none"/>
              </w:rPr>
              <w:t>1</w:t>
            </w:r>
            <w:r>
              <w:rPr>
                <w:b/>
                <w:bCs/>
                <w:color w:val="000000" w:themeColor="text1"/>
                <w:sz w:val="21"/>
                <w:szCs w:val="21"/>
                <w:highlight w:val="none"/>
              </w:rPr>
              <w:t xml:space="preserve">  项目与“三线一单”符合性分析表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596"/>
              <w:gridCol w:w="3856"/>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6" w:type="pct"/>
                  <w:shd w:val="clear" w:color="auto" w:fill="auto"/>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序号</w:t>
                  </w:r>
                </w:p>
              </w:tc>
              <w:tc>
                <w:tcPr>
                  <w:tcW w:w="1655" w:type="pct"/>
                  <w:shd w:val="clear" w:color="auto" w:fill="auto"/>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分析内容</w:t>
                  </w:r>
                </w:p>
              </w:tc>
              <w:tc>
                <w:tcPr>
                  <w:tcW w:w="2459" w:type="pct"/>
                  <w:shd w:val="clear" w:color="auto" w:fill="auto"/>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企业情况</w:t>
                  </w:r>
                </w:p>
              </w:tc>
              <w:tc>
                <w:tcPr>
                  <w:tcW w:w="418" w:type="pct"/>
                  <w:shd w:val="clear" w:color="auto" w:fill="auto"/>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6"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生态保护红线</w:t>
                  </w:r>
                </w:p>
              </w:tc>
              <w:tc>
                <w:tcPr>
                  <w:tcW w:w="1655"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生态保护红线是生态空间范围内具有特殊重要生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2459"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项目位于</w:t>
                  </w:r>
                  <w:r>
                    <w:rPr>
                      <w:rFonts w:hint="eastAsia"/>
                      <w:color w:val="000000" w:themeColor="text1"/>
                      <w:sz w:val="21"/>
                      <w:szCs w:val="21"/>
                      <w:highlight w:val="none"/>
                    </w:rPr>
                    <w:t>兴隆县六道河镇前苇塘村</w:t>
                  </w:r>
                  <w:r>
                    <w:rPr>
                      <w:color w:val="000000" w:themeColor="text1"/>
                      <w:sz w:val="21"/>
                      <w:szCs w:val="21"/>
                      <w:highlight w:val="none"/>
                    </w:rPr>
                    <w:t>，周围无自然保护区、风景名胜区、生活饮用水源地和其它特别需要保护的环境敏感目标，根据承德市生态保护红线成果，本项目不在生态保护红线范围内，距离项目最近生态保护红线位于</w:t>
                  </w:r>
                  <w:r>
                    <w:rPr>
                      <w:rFonts w:hint="eastAsia"/>
                      <w:color w:val="000000" w:themeColor="text1"/>
                      <w:sz w:val="21"/>
                      <w:szCs w:val="21"/>
                      <w:highlight w:val="none"/>
                    </w:rPr>
                    <w:t>项目所在厂区南</w:t>
                  </w:r>
                  <w:r>
                    <w:rPr>
                      <w:color w:val="000000" w:themeColor="text1"/>
                      <w:sz w:val="21"/>
                      <w:szCs w:val="21"/>
                      <w:highlight w:val="none"/>
                    </w:rPr>
                    <w:t>侧</w:t>
                  </w:r>
                  <w:r>
                    <w:rPr>
                      <w:rFonts w:hint="eastAsia"/>
                      <w:color w:val="000000" w:themeColor="text1"/>
                      <w:sz w:val="21"/>
                      <w:szCs w:val="21"/>
                      <w:highlight w:val="none"/>
                    </w:rPr>
                    <w:t>2969</w:t>
                  </w:r>
                  <w:r>
                    <w:rPr>
                      <w:color w:val="000000" w:themeColor="text1"/>
                      <w:sz w:val="21"/>
                      <w:szCs w:val="21"/>
                      <w:highlight w:val="none"/>
                    </w:rPr>
                    <w:t>m，</w:t>
                  </w:r>
                  <w:r>
                    <w:rPr>
                      <w:rFonts w:hint="eastAsia"/>
                      <w:color w:val="000000" w:themeColor="text1"/>
                      <w:sz w:val="21"/>
                      <w:szCs w:val="21"/>
                      <w:highlight w:val="none"/>
                    </w:rPr>
                    <w:t>位置</w:t>
                  </w:r>
                  <w:r>
                    <w:rPr>
                      <w:color w:val="000000" w:themeColor="text1"/>
                      <w:sz w:val="21"/>
                      <w:szCs w:val="21"/>
                      <w:highlight w:val="none"/>
                    </w:rPr>
                    <w:t>关系详见附图</w:t>
                  </w:r>
                  <w:r>
                    <w:rPr>
                      <w:rFonts w:hint="eastAsia"/>
                      <w:color w:val="000000" w:themeColor="text1"/>
                      <w:sz w:val="21"/>
                      <w:szCs w:val="21"/>
                      <w:highlight w:val="none"/>
                    </w:rPr>
                    <w:t>4</w:t>
                  </w:r>
                  <w:r>
                    <w:rPr>
                      <w:color w:val="000000" w:themeColor="text1"/>
                      <w:sz w:val="21"/>
                      <w:szCs w:val="21"/>
                      <w:highlight w:val="none"/>
                    </w:rPr>
                    <w:t>。</w:t>
                  </w:r>
                </w:p>
              </w:tc>
              <w:tc>
                <w:tcPr>
                  <w:tcW w:w="418"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6"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环境质量底线</w:t>
                  </w:r>
                </w:p>
              </w:tc>
              <w:tc>
                <w:tcPr>
                  <w:tcW w:w="1655"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459"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根据《</w:t>
                  </w:r>
                  <w:r>
                    <w:rPr>
                      <w:rFonts w:hint="eastAsia"/>
                      <w:color w:val="000000" w:themeColor="text1"/>
                      <w:sz w:val="21"/>
                      <w:szCs w:val="21"/>
                      <w:highlight w:val="none"/>
                    </w:rPr>
                    <w:t>2022年承德市生态环境状况公报</w:t>
                  </w:r>
                  <w:r>
                    <w:rPr>
                      <w:color w:val="000000" w:themeColor="text1"/>
                      <w:sz w:val="21"/>
                      <w:szCs w:val="21"/>
                      <w:highlight w:val="none"/>
                    </w:rPr>
                    <w:t>》中</w:t>
                  </w:r>
                  <w:r>
                    <w:rPr>
                      <w:rFonts w:hint="eastAsia"/>
                      <w:color w:val="000000" w:themeColor="text1"/>
                      <w:sz w:val="21"/>
                      <w:szCs w:val="21"/>
                      <w:highlight w:val="none"/>
                    </w:rPr>
                    <w:t>兴隆县</w:t>
                  </w:r>
                  <w:r>
                    <w:rPr>
                      <w:color w:val="000000" w:themeColor="text1"/>
                      <w:sz w:val="21"/>
                      <w:szCs w:val="21"/>
                      <w:highlight w:val="none"/>
                    </w:rPr>
                    <w:t>大气常规污染物数据，</w:t>
                  </w:r>
                  <w:r>
                    <w:rPr>
                      <w:rFonts w:hint="eastAsia"/>
                      <w:color w:val="000000" w:themeColor="text1"/>
                      <w:sz w:val="21"/>
                      <w:szCs w:val="21"/>
                      <w:highlight w:val="none"/>
                    </w:rPr>
                    <w:t>除O</w:t>
                  </w:r>
                  <w:r>
                    <w:rPr>
                      <w:rFonts w:hint="eastAsia"/>
                      <w:color w:val="000000" w:themeColor="text1"/>
                      <w:sz w:val="21"/>
                      <w:szCs w:val="21"/>
                      <w:highlight w:val="none"/>
                      <w:vertAlign w:val="subscript"/>
                    </w:rPr>
                    <w:t>3</w:t>
                  </w:r>
                  <w:r>
                    <w:rPr>
                      <w:rFonts w:hint="eastAsia"/>
                      <w:color w:val="000000" w:themeColor="text1"/>
                      <w:sz w:val="21"/>
                      <w:szCs w:val="21"/>
                      <w:highlight w:val="none"/>
                    </w:rPr>
                    <w:t>外，兴隆县</w:t>
                  </w:r>
                  <w:r>
                    <w:rPr>
                      <w:color w:val="000000" w:themeColor="text1"/>
                      <w:sz w:val="21"/>
                      <w:szCs w:val="21"/>
                      <w:highlight w:val="none"/>
                    </w:rPr>
                    <w:t>环境空气质量各常规污染物均满足《环境空气质量标准》（GB3095-2012）及其修改单的二级标准要求，</w:t>
                  </w:r>
                  <w:r>
                    <w:rPr>
                      <w:rFonts w:hint="eastAsia"/>
                      <w:color w:val="000000" w:themeColor="text1"/>
                      <w:sz w:val="21"/>
                      <w:szCs w:val="21"/>
                      <w:highlight w:val="none"/>
                    </w:rPr>
                    <w:t>O</w:t>
                  </w:r>
                  <w:r>
                    <w:rPr>
                      <w:rFonts w:hint="eastAsia"/>
                      <w:color w:val="000000" w:themeColor="text1"/>
                      <w:sz w:val="21"/>
                      <w:szCs w:val="21"/>
                      <w:highlight w:val="none"/>
                      <w:vertAlign w:val="subscript"/>
                    </w:rPr>
                    <w:t>3</w:t>
                  </w:r>
                  <w:r>
                    <w:rPr>
                      <w:rFonts w:hint="eastAsia"/>
                      <w:color w:val="000000" w:themeColor="text1"/>
                      <w:sz w:val="21"/>
                      <w:szCs w:val="21"/>
                      <w:highlight w:val="none"/>
                    </w:rPr>
                    <w:t>超标率为5.63%，</w:t>
                  </w:r>
                  <w:r>
                    <w:rPr>
                      <w:color w:val="000000" w:themeColor="text1"/>
                      <w:sz w:val="21"/>
                      <w:szCs w:val="21"/>
                      <w:highlight w:val="none"/>
                    </w:rPr>
                    <w:t>项目所在区域</w:t>
                  </w:r>
                  <w:r>
                    <w:rPr>
                      <w:rFonts w:hint="eastAsia"/>
                      <w:color w:val="000000" w:themeColor="text1"/>
                      <w:sz w:val="21"/>
                      <w:szCs w:val="21"/>
                      <w:highlight w:val="none"/>
                    </w:rPr>
                    <w:t>不</w:t>
                  </w:r>
                  <w:r>
                    <w:rPr>
                      <w:color w:val="000000" w:themeColor="text1"/>
                      <w:sz w:val="21"/>
                      <w:szCs w:val="21"/>
                      <w:highlight w:val="none"/>
                    </w:rPr>
                    <w:t>达标区。</w:t>
                  </w:r>
                  <w:r>
                    <w:rPr>
                      <w:rFonts w:hint="eastAsia"/>
                      <w:color w:val="000000" w:themeColor="text1"/>
                      <w:sz w:val="21"/>
                      <w:szCs w:val="21"/>
                      <w:highlight w:val="none"/>
                    </w:rPr>
                    <w:t>本项目无O</w:t>
                  </w:r>
                  <w:r>
                    <w:rPr>
                      <w:rFonts w:hint="eastAsia"/>
                      <w:color w:val="000000" w:themeColor="text1"/>
                      <w:sz w:val="21"/>
                      <w:szCs w:val="21"/>
                      <w:highlight w:val="none"/>
                      <w:vertAlign w:val="subscript"/>
                    </w:rPr>
                    <w:t>3</w:t>
                  </w:r>
                  <w:r>
                    <w:rPr>
                      <w:rFonts w:hint="eastAsia"/>
                      <w:color w:val="000000" w:themeColor="text1"/>
                      <w:sz w:val="21"/>
                      <w:szCs w:val="21"/>
                      <w:highlight w:val="none"/>
                    </w:rPr>
                    <w:t>产生，</w:t>
                  </w:r>
                  <w:r>
                    <w:rPr>
                      <w:color w:val="000000" w:themeColor="text1"/>
                      <w:sz w:val="21"/>
                      <w:szCs w:val="21"/>
                      <w:highlight w:val="none"/>
                    </w:rPr>
                    <w:t>项目产生的</w:t>
                  </w:r>
                  <w:r>
                    <w:rPr>
                      <w:rFonts w:hint="eastAsia"/>
                      <w:color w:val="000000" w:themeColor="text1"/>
                      <w:sz w:val="21"/>
                      <w:szCs w:val="21"/>
                      <w:highlight w:val="none"/>
                    </w:rPr>
                    <w:t>废气</w:t>
                  </w:r>
                  <w:r>
                    <w:rPr>
                      <w:color w:val="000000" w:themeColor="text1"/>
                      <w:sz w:val="21"/>
                      <w:szCs w:val="21"/>
                      <w:highlight w:val="none"/>
                    </w:rPr>
                    <w:t>污染物采取相应措施后</w:t>
                  </w:r>
                  <w:r>
                    <w:rPr>
                      <w:rFonts w:hint="eastAsia"/>
                      <w:color w:val="000000" w:themeColor="text1"/>
                      <w:sz w:val="21"/>
                      <w:szCs w:val="21"/>
                      <w:highlight w:val="none"/>
                    </w:rPr>
                    <w:t>可达标排放</w:t>
                  </w:r>
                  <w:r>
                    <w:rPr>
                      <w:color w:val="000000" w:themeColor="text1"/>
                      <w:sz w:val="21"/>
                      <w:szCs w:val="21"/>
                      <w:highlight w:val="none"/>
                    </w:rPr>
                    <w:t>，</w:t>
                  </w:r>
                  <w:r>
                    <w:rPr>
                      <w:rFonts w:hint="eastAsia"/>
                      <w:color w:val="000000" w:themeColor="text1"/>
                      <w:sz w:val="21"/>
                      <w:szCs w:val="21"/>
                      <w:highlight w:val="none"/>
                    </w:rPr>
                    <w:t>对大气环境影响较小，不会突破项目所在地</w:t>
                  </w:r>
                  <w:r>
                    <w:rPr>
                      <w:color w:val="000000" w:themeColor="text1"/>
                      <w:sz w:val="21"/>
                      <w:szCs w:val="21"/>
                      <w:highlight w:val="none"/>
                    </w:rPr>
                    <w:t>环境</w:t>
                  </w:r>
                  <w:r>
                    <w:rPr>
                      <w:rFonts w:hint="eastAsia"/>
                      <w:color w:val="000000" w:themeColor="text1"/>
                      <w:sz w:val="21"/>
                      <w:szCs w:val="21"/>
                      <w:highlight w:val="none"/>
                    </w:rPr>
                    <w:t>空气</w:t>
                  </w:r>
                  <w:r>
                    <w:rPr>
                      <w:color w:val="000000" w:themeColor="text1"/>
                      <w:sz w:val="21"/>
                      <w:szCs w:val="21"/>
                      <w:highlight w:val="none"/>
                    </w:rPr>
                    <w:t>质量底线的要求</w:t>
                  </w:r>
                  <w:r>
                    <w:rPr>
                      <w:rFonts w:hint="eastAsia"/>
                      <w:color w:val="000000" w:themeColor="text1"/>
                      <w:sz w:val="21"/>
                      <w:szCs w:val="21"/>
                      <w:highlight w:val="none"/>
                    </w:rPr>
                    <w:t>；流经项目区域内的河流为清水河，2022年清水河流域水质状况与2021年比较继续保持优的水质，本项目无生产废水产生，</w:t>
                  </w:r>
                  <w:r>
                    <w:rPr>
                      <w:rFonts w:hint="eastAsia"/>
                      <w:color w:val="000000" w:themeColor="text1"/>
                      <w:sz w:val="21"/>
                      <w:szCs w:val="21"/>
                      <w:highlight w:val="none"/>
                      <w:lang w:val="en-US" w:eastAsia="zh-CN"/>
                    </w:rPr>
                    <w:t>本项目不新增劳动定员，员工由承平高速LM1标项目经理部内部调剂，无生活污水产生，</w:t>
                  </w:r>
                  <w:r>
                    <w:rPr>
                      <w:color w:val="000000" w:themeColor="text1"/>
                      <w:sz w:val="21"/>
                      <w:szCs w:val="21"/>
                      <w:highlight w:val="none"/>
                    </w:rPr>
                    <w:t>不会突破项目所在地</w:t>
                  </w:r>
                  <w:r>
                    <w:rPr>
                      <w:rFonts w:hint="eastAsia"/>
                      <w:color w:val="000000" w:themeColor="text1"/>
                      <w:sz w:val="21"/>
                      <w:szCs w:val="21"/>
                      <w:highlight w:val="none"/>
                    </w:rPr>
                    <w:t>地表水</w:t>
                  </w:r>
                  <w:r>
                    <w:rPr>
                      <w:color w:val="000000" w:themeColor="text1"/>
                      <w:sz w:val="21"/>
                      <w:szCs w:val="21"/>
                      <w:highlight w:val="none"/>
                    </w:rPr>
                    <w:t>环境质量底线的要求</w:t>
                  </w:r>
                  <w:r>
                    <w:rPr>
                      <w:rFonts w:hint="eastAsia"/>
                      <w:color w:val="000000" w:themeColor="text1"/>
                      <w:sz w:val="21"/>
                      <w:szCs w:val="21"/>
                      <w:highlight w:val="none"/>
                    </w:rPr>
                    <w:t>；本项目对下风向农用地及建设用地土壤环境质量进行监测，农用地各监测因子均满足《土壤环境质量 农用地土壤污染风险管控标准（试行）》（GB15618—2018）相关浓度限值要求，建设用地各监测因子均满足《土壤环境质量 建设用地土壤污染风险管控标准（试行）》（GB36600-2018）表1中第一类用地土壤污染风险筛选值相关浓度限值要求，项目区域土壤环境质量较好，企业按要求落实危废间的分区防渗措施后，对土壤及地下水没有明显污染途径，不会突破土壤及地下水环境质量底线的要求</w:t>
                  </w:r>
                </w:p>
              </w:tc>
              <w:tc>
                <w:tcPr>
                  <w:tcW w:w="418"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6"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资源利用上线</w:t>
                  </w:r>
                </w:p>
              </w:tc>
              <w:tc>
                <w:tcPr>
                  <w:tcW w:w="1655"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459" w:type="pct"/>
                  <w:shd w:val="clear" w:color="auto" w:fill="auto"/>
                  <w:vAlign w:val="center"/>
                </w:tcPr>
                <w:p>
                  <w:pPr>
                    <w:spacing w:line="240" w:lineRule="auto"/>
                    <w:ind w:firstLine="0" w:firstLineChars="0"/>
                    <w:rPr>
                      <w:color w:val="000000" w:themeColor="text1"/>
                      <w:sz w:val="21"/>
                      <w:szCs w:val="21"/>
                      <w:highlight w:val="none"/>
                    </w:rPr>
                  </w:pPr>
                  <w:r>
                    <w:rPr>
                      <w:color w:val="000000" w:themeColor="text1"/>
                      <w:sz w:val="21"/>
                      <w:szCs w:val="21"/>
                      <w:highlight w:val="none"/>
                    </w:rPr>
                    <w:t>项目</w:t>
                  </w:r>
                  <w:r>
                    <w:rPr>
                      <w:rFonts w:hint="eastAsia"/>
                      <w:color w:val="000000" w:themeColor="text1"/>
                      <w:sz w:val="21"/>
                      <w:szCs w:val="21"/>
                      <w:highlight w:val="none"/>
                    </w:rPr>
                    <w:t>年</w:t>
                  </w:r>
                  <w:r>
                    <w:rPr>
                      <w:color w:val="000000" w:themeColor="text1"/>
                      <w:sz w:val="21"/>
                      <w:szCs w:val="21"/>
                      <w:highlight w:val="none"/>
                    </w:rPr>
                    <w:t>用电量</w:t>
                  </w:r>
                  <w:r>
                    <w:rPr>
                      <w:rFonts w:hint="eastAsia"/>
                      <w:color w:val="000000" w:themeColor="text1"/>
                      <w:sz w:val="21"/>
                      <w:szCs w:val="21"/>
                      <w:highlight w:val="none"/>
                    </w:rPr>
                    <w:t>30万</w:t>
                  </w:r>
                  <w:r>
                    <w:rPr>
                      <w:color w:val="000000" w:themeColor="text1"/>
                      <w:sz w:val="21"/>
                      <w:szCs w:val="21"/>
                      <w:highlight w:val="none"/>
                    </w:rPr>
                    <w:t>kW·h，新鲜水用量为</w:t>
                  </w:r>
                  <w:r>
                    <w:rPr>
                      <w:rFonts w:hint="eastAsia"/>
                      <w:color w:val="000000" w:themeColor="text1"/>
                      <w:sz w:val="21"/>
                      <w:szCs w:val="21"/>
                      <w:highlight w:val="none"/>
                      <w:lang w:eastAsia="zh-CN"/>
                    </w:rPr>
                    <w:t>615.6</w:t>
                  </w:r>
                  <w:r>
                    <w:rPr>
                      <w:color w:val="000000" w:themeColor="text1"/>
                      <w:sz w:val="21"/>
                      <w:szCs w:val="21"/>
                      <w:highlight w:val="none"/>
                    </w:rPr>
                    <w:t>m</w:t>
                  </w:r>
                  <w:r>
                    <w:rPr>
                      <w:color w:val="000000" w:themeColor="text1"/>
                      <w:sz w:val="21"/>
                      <w:szCs w:val="21"/>
                      <w:highlight w:val="none"/>
                      <w:vertAlign w:val="superscript"/>
                    </w:rPr>
                    <w:t>3</w:t>
                  </w:r>
                  <w:r>
                    <w:rPr>
                      <w:color w:val="000000" w:themeColor="text1"/>
                      <w:sz w:val="21"/>
                      <w:szCs w:val="21"/>
                      <w:highlight w:val="none"/>
                    </w:rPr>
                    <w:t>/a，项目</w:t>
                  </w:r>
                  <w:r>
                    <w:rPr>
                      <w:rFonts w:hint="eastAsia"/>
                      <w:color w:val="000000" w:themeColor="text1"/>
                      <w:sz w:val="21"/>
                      <w:szCs w:val="21"/>
                      <w:highlight w:val="none"/>
                    </w:rPr>
                    <w:t>占用首都地区环线高速（G95）承德（李家营）至平谷（冀京界）段项目建设用地（承平高速项目已取得河北省人民政府建设用地批复文件，批复文号：冀政转征函[2022]56号）。项目占地面积9200m</w:t>
                  </w:r>
                  <w:r>
                    <w:rPr>
                      <w:rFonts w:hint="eastAsia"/>
                      <w:color w:val="000000" w:themeColor="text1"/>
                      <w:sz w:val="21"/>
                      <w:szCs w:val="21"/>
                      <w:highlight w:val="none"/>
                      <w:vertAlign w:val="superscript"/>
                    </w:rPr>
                    <w:t>2</w:t>
                  </w:r>
                  <w:r>
                    <w:rPr>
                      <w:rFonts w:hint="eastAsia"/>
                      <w:color w:val="000000" w:themeColor="text1"/>
                      <w:sz w:val="21"/>
                      <w:szCs w:val="21"/>
                      <w:highlight w:val="none"/>
                    </w:rPr>
                    <w:t>，为高速项目配套工程，产品不对外销售，待承平高速项目建设完成后进行拆除，拆除后该地块用于建设承平高速养护工区。本</w:t>
                  </w:r>
                  <w:r>
                    <w:rPr>
                      <w:color w:val="000000" w:themeColor="text1"/>
                      <w:sz w:val="21"/>
                      <w:szCs w:val="21"/>
                      <w:highlight w:val="none"/>
                    </w:rPr>
                    <w:t>项目不属于高能耗类项目，不属于资源开发类项目</w:t>
                  </w:r>
                  <w:r>
                    <w:rPr>
                      <w:rFonts w:hint="eastAsia"/>
                      <w:color w:val="000000" w:themeColor="text1"/>
                      <w:sz w:val="21"/>
                      <w:szCs w:val="21"/>
                      <w:highlight w:val="none"/>
                    </w:rPr>
                    <w:t>，</w:t>
                  </w:r>
                  <w:r>
                    <w:rPr>
                      <w:color w:val="000000" w:themeColor="text1"/>
                      <w:sz w:val="21"/>
                      <w:szCs w:val="21"/>
                      <w:highlight w:val="none"/>
                    </w:rPr>
                    <w:t>不会达到资源利用上线。</w:t>
                  </w:r>
                </w:p>
              </w:tc>
              <w:tc>
                <w:tcPr>
                  <w:tcW w:w="418"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6"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负面</w:t>
                  </w:r>
                </w:p>
                <w:p>
                  <w:pPr>
                    <w:spacing w:line="240" w:lineRule="auto"/>
                    <w:ind w:firstLine="0" w:firstLineChars="0"/>
                    <w:jc w:val="center"/>
                    <w:rPr>
                      <w:color w:val="000000" w:themeColor="text1"/>
                      <w:sz w:val="21"/>
                      <w:szCs w:val="21"/>
                      <w:highlight w:val="none"/>
                    </w:rPr>
                  </w:pPr>
                  <w:r>
                    <w:rPr>
                      <w:color w:val="000000" w:themeColor="text1"/>
                      <w:sz w:val="21"/>
                      <w:szCs w:val="21"/>
                      <w:highlight w:val="none"/>
                    </w:rPr>
                    <w:t>清单</w:t>
                  </w:r>
                </w:p>
              </w:tc>
              <w:tc>
                <w:tcPr>
                  <w:tcW w:w="1655"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环境准入负面清单是基于生态保护红线、环境质量底线和资源利用上线，以清单方式列出的禁止、限制等差别化环境准入条件和要求。</w:t>
                  </w:r>
                </w:p>
              </w:tc>
              <w:tc>
                <w:tcPr>
                  <w:tcW w:w="2459" w:type="pc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本项目属于</w:t>
                  </w:r>
                  <w:r>
                    <w:rPr>
                      <w:color w:val="000000" w:themeColor="text1"/>
                      <w:sz w:val="21"/>
                      <w:szCs w:val="21"/>
                      <w:highlight w:val="none"/>
                    </w:rPr>
                    <w:t>其他非金属矿物制品制造</w:t>
                  </w:r>
                  <w:r>
                    <w:rPr>
                      <w:rFonts w:hint="eastAsia"/>
                      <w:color w:val="000000" w:themeColor="text1"/>
                      <w:sz w:val="21"/>
                      <w:szCs w:val="21"/>
                      <w:highlight w:val="none"/>
                    </w:rPr>
                    <w:t>，未列入</w:t>
                  </w:r>
                  <w:r>
                    <w:rPr>
                      <w:color w:val="000000" w:themeColor="text1"/>
                      <w:sz w:val="21"/>
                      <w:szCs w:val="21"/>
                      <w:highlight w:val="none"/>
                    </w:rPr>
                    <w:t>《市场准入负面清单（202</w:t>
                  </w:r>
                  <w:r>
                    <w:rPr>
                      <w:rFonts w:hint="eastAsia"/>
                      <w:color w:val="000000" w:themeColor="text1"/>
                      <w:sz w:val="21"/>
                      <w:szCs w:val="21"/>
                      <w:highlight w:val="none"/>
                    </w:rPr>
                    <w:t>2</w:t>
                  </w:r>
                  <w:r>
                    <w:rPr>
                      <w:color w:val="000000" w:themeColor="text1"/>
                      <w:sz w:val="21"/>
                      <w:szCs w:val="21"/>
                      <w:highlight w:val="none"/>
                    </w:rPr>
                    <w:t>年版）》</w:t>
                  </w:r>
                  <w:r>
                    <w:rPr>
                      <w:rFonts w:hint="eastAsia"/>
                      <w:color w:val="000000" w:themeColor="text1"/>
                      <w:sz w:val="21"/>
                      <w:szCs w:val="21"/>
                      <w:highlight w:val="none"/>
                    </w:rPr>
                    <w:t>中</w:t>
                  </w:r>
                  <w:r>
                    <w:rPr>
                      <w:color w:val="000000" w:themeColor="text1"/>
                      <w:sz w:val="21"/>
                      <w:szCs w:val="21"/>
                      <w:highlight w:val="none"/>
                    </w:rPr>
                    <w:t>禁止</w:t>
                  </w:r>
                  <w:r>
                    <w:rPr>
                      <w:rFonts w:hint="eastAsia"/>
                      <w:color w:val="000000" w:themeColor="text1"/>
                      <w:sz w:val="21"/>
                      <w:szCs w:val="21"/>
                      <w:highlight w:val="none"/>
                    </w:rPr>
                    <w:t>准入类</w:t>
                  </w:r>
                  <w:r>
                    <w:rPr>
                      <w:color w:val="000000" w:themeColor="text1"/>
                      <w:sz w:val="21"/>
                      <w:szCs w:val="21"/>
                      <w:highlight w:val="none"/>
                    </w:rPr>
                    <w:t>。</w:t>
                  </w:r>
                  <w:r>
                    <w:rPr>
                      <w:rFonts w:hint="eastAsia"/>
                      <w:color w:val="000000" w:themeColor="text1"/>
                      <w:sz w:val="21"/>
                      <w:szCs w:val="21"/>
                      <w:highlight w:val="none"/>
                    </w:rPr>
                    <w:t>根据“河北省发展</w:t>
                  </w:r>
                  <w:r>
                    <w:rPr>
                      <w:rFonts w:hint="eastAsia"/>
                      <w:color w:val="000000" w:themeColor="text1"/>
                      <w:sz w:val="21"/>
                      <w:szCs w:val="21"/>
                      <w:highlight w:val="none"/>
                      <w:lang w:eastAsia="zh-CN"/>
                    </w:rPr>
                    <w:t>和</w:t>
                  </w:r>
                  <w:r>
                    <w:rPr>
                      <w:rFonts w:hint="eastAsia"/>
                      <w:color w:val="000000" w:themeColor="text1"/>
                      <w:sz w:val="21"/>
                      <w:szCs w:val="21"/>
                      <w:highlight w:val="none"/>
                    </w:rPr>
                    <w:t>改革委员会关于印发《灵寿县等22县（区）国家重点生产功能区产业准入负面清单（试行）的通知”（冀发改规划（2018）920号），本项目不属于“河北省兴隆县国家重点生态功能区产业准入负面清单”中的“限制类”和“禁止类”。</w:t>
                  </w:r>
                </w:p>
              </w:tc>
              <w:tc>
                <w:tcPr>
                  <w:tcW w:w="418" w:type="pct"/>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符合</w:t>
                  </w:r>
                </w:p>
              </w:tc>
            </w:tr>
          </w:tbl>
          <w:p>
            <w:pPr>
              <w:autoSpaceDE w:val="0"/>
              <w:autoSpaceDN w:val="0"/>
              <w:spacing w:before="120" w:beforeLines="50"/>
              <w:ind w:firstLine="480"/>
              <w:jc w:val="left"/>
              <w:rPr>
                <w:color w:val="000000" w:themeColor="text1"/>
                <w:highlight w:val="none"/>
              </w:rPr>
            </w:pPr>
            <w:r>
              <w:rPr>
                <w:color w:val="000000" w:themeColor="text1"/>
                <w:highlight w:val="none"/>
              </w:rPr>
              <w:t>由上表可知，项目符合《关于以改善环境质量为核心加强环境影响评价管理的通知》（环</w:t>
            </w:r>
            <w:r>
              <w:rPr>
                <w:rFonts w:hint="eastAsia"/>
                <w:color w:val="000000" w:themeColor="text1"/>
                <w:highlight w:val="none"/>
              </w:rPr>
              <w:t>环</w:t>
            </w:r>
            <w:r>
              <w:rPr>
                <w:color w:val="000000" w:themeColor="text1"/>
                <w:highlight w:val="none"/>
              </w:rPr>
              <w:t>评[2016]150号）的环境管理要求。</w:t>
            </w:r>
          </w:p>
          <w:p>
            <w:pPr>
              <w:pStyle w:val="64"/>
              <w:ind w:left="0" w:firstLine="482"/>
              <w:rPr>
                <w:rFonts w:ascii="Times New Roman" w:hAnsi="Times New Roman" w:cs="Times New Roman"/>
                <w:b/>
                <w:bCs/>
                <w:color w:val="000000" w:themeColor="text1"/>
                <w:highlight w:val="none"/>
              </w:rPr>
            </w:pPr>
            <w:r>
              <w:rPr>
                <w:rFonts w:hint="eastAsia" w:ascii="Times New Roman" w:hAnsi="Times New Roman" w:cs="Times New Roman"/>
                <w:b/>
                <w:bCs/>
                <w:color w:val="000000" w:themeColor="text1"/>
                <w:highlight w:val="none"/>
              </w:rPr>
              <w:t>二、承德市“三线一单”生态环境准入清单符合性分析</w:t>
            </w:r>
          </w:p>
          <w:p>
            <w:pPr>
              <w:ind w:firstLine="480"/>
              <w:rPr>
                <w:color w:val="000000" w:themeColor="text1"/>
                <w:highlight w:val="none"/>
              </w:rPr>
            </w:pPr>
            <w:r>
              <w:rPr>
                <w:color w:val="000000" w:themeColor="text1"/>
                <w:highlight w:val="none"/>
              </w:rPr>
              <w:t>项目位于</w:t>
            </w:r>
            <w:r>
              <w:rPr>
                <w:rFonts w:hint="eastAsia"/>
                <w:color w:val="000000" w:themeColor="text1"/>
                <w:highlight w:val="none"/>
              </w:rPr>
              <w:t>河北省承德市兴隆县六道河镇前苇塘村</w:t>
            </w:r>
            <w:r>
              <w:rPr>
                <w:color w:val="000000" w:themeColor="text1"/>
                <w:highlight w:val="none"/>
              </w:rPr>
              <w:t>，地理坐标为：E 117°</w:t>
            </w:r>
            <w:r>
              <w:rPr>
                <w:rFonts w:hint="eastAsia"/>
                <w:color w:val="000000" w:themeColor="text1"/>
                <w:highlight w:val="none"/>
              </w:rPr>
              <w:t>25</w:t>
            </w:r>
            <w:r>
              <w:rPr>
                <w:color w:val="000000" w:themeColor="text1"/>
                <w:highlight w:val="none"/>
              </w:rPr>
              <w:t>′</w:t>
            </w:r>
            <w:r>
              <w:rPr>
                <w:rFonts w:hint="eastAsia"/>
                <w:color w:val="000000" w:themeColor="text1"/>
                <w:highlight w:val="none"/>
              </w:rPr>
              <w:t>0.163</w:t>
            </w:r>
            <w:r>
              <w:rPr>
                <w:color w:val="000000" w:themeColor="text1"/>
                <w:highlight w:val="none"/>
              </w:rPr>
              <w:t>″，N4</w:t>
            </w:r>
            <w:r>
              <w:rPr>
                <w:rFonts w:hint="eastAsia"/>
                <w:color w:val="000000" w:themeColor="text1"/>
                <w:highlight w:val="none"/>
              </w:rPr>
              <w:t>0</w:t>
            </w:r>
            <w:r>
              <w:rPr>
                <w:color w:val="000000" w:themeColor="text1"/>
                <w:highlight w:val="none"/>
              </w:rPr>
              <w:t>°</w:t>
            </w:r>
            <w:r>
              <w:rPr>
                <w:rFonts w:hint="eastAsia"/>
                <w:color w:val="000000" w:themeColor="text1"/>
                <w:highlight w:val="none"/>
              </w:rPr>
              <w:t>23</w:t>
            </w:r>
            <w:r>
              <w:rPr>
                <w:color w:val="000000" w:themeColor="text1"/>
                <w:highlight w:val="none"/>
              </w:rPr>
              <w:t>′</w:t>
            </w:r>
            <w:r>
              <w:rPr>
                <w:rFonts w:hint="eastAsia"/>
                <w:color w:val="000000" w:themeColor="text1"/>
                <w:highlight w:val="none"/>
              </w:rPr>
              <w:t>53.190</w:t>
            </w:r>
            <w:r>
              <w:rPr>
                <w:color w:val="000000" w:themeColor="text1"/>
                <w:highlight w:val="none"/>
              </w:rPr>
              <w:t>″，根据2021年6月</w:t>
            </w:r>
            <w:r>
              <w:rPr>
                <w:rFonts w:hint="eastAsia"/>
                <w:color w:val="000000" w:themeColor="text1"/>
                <w:highlight w:val="none"/>
              </w:rPr>
              <w:t>18</w:t>
            </w:r>
            <w:r>
              <w:rPr>
                <w:color w:val="000000" w:themeColor="text1"/>
                <w:highlight w:val="none"/>
              </w:rPr>
              <w:t>日，承德市</w:t>
            </w:r>
            <w:r>
              <w:rPr>
                <w:rFonts w:hint="eastAsia"/>
                <w:color w:val="000000" w:themeColor="text1"/>
                <w:highlight w:val="none"/>
              </w:rPr>
              <w:t>人民政府</w:t>
            </w:r>
            <w:r>
              <w:rPr>
                <w:color w:val="000000" w:themeColor="text1"/>
                <w:highlight w:val="none"/>
              </w:rPr>
              <w:t>发布</w:t>
            </w:r>
            <w:r>
              <w:rPr>
                <w:rFonts w:hint="eastAsia"/>
                <w:color w:val="000000" w:themeColor="text1"/>
                <w:highlight w:val="none"/>
              </w:rPr>
              <w:t>的</w:t>
            </w:r>
            <w:r>
              <w:rPr>
                <w:color w:val="000000" w:themeColor="text1"/>
                <w:highlight w:val="none"/>
              </w:rPr>
              <w:t>《承德市人民政府关于加快实施</w:t>
            </w:r>
            <w:r>
              <w:rPr>
                <w:rFonts w:hint="eastAsia" w:ascii="宋体" w:hAnsi="宋体" w:cs="宋体"/>
                <w:color w:val="000000" w:themeColor="text1"/>
                <w:highlight w:val="none"/>
              </w:rPr>
              <w:t>“三线一单”</w:t>
            </w:r>
            <w:r>
              <w:rPr>
                <w:color w:val="000000" w:themeColor="text1"/>
                <w:highlight w:val="none"/>
              </w:rPr>
              <w:t>生态环境分区管控的意见》附件《承德</w:t>
            </w:r>
            <w:r>
              <w:rPr>
                <w:rFonts w:hint="eastAsia" w:ascii="宋体" w:hAnsi="宋体" w:cs="宋体"/>
                <w:color w:val="000000" w:themeColor="text1"/>
                <w:highlight w:val="none"/>
              </w:rPr>
              <w:t>市“三线一单”</w:t>
            </w:r>
            <w:r>
              <w:rPr>
                <w:color w:val="000000" w:themeColor="text1"/>
                <w:highlight w:val="none"/>
              </w:rPr>
              <w:t>生态环境准入清单》可知，</w:t>
            </w:r>
            <w:r>
              <w:rPr>
                <w:rFonts w:hint="eastAsia"/>
                <w:color w:val="000000" w:themeColor="text1"/>
                <w:highlight w:val="none"/>
              </w:rPr>
              <w:t>项目所在地</w:t>
            </w:r>
            <w:r>
              <w:rPr>
                <w:color w:val="000000" w:themeColor="text1"/>
                <w:highlight w:val="none"/>
              </w:rPr>
              <w:t>编号：ZH13082</w:t>
            </w:r>
            <w:r>
              <w:rPr>
                <w:rFonts w:hint="eastAsia"/>
                <w:color w:val="000000" w:themeColor="text1"/>
                <w:highlight w:val="none"/>
              </w:rPr>
              <w:t>23</w:t>
            </w:r>
            <w:r>
              <w:rPr>
                <w:color w:val="000000" w:themeColor="text1"/>
                <w:highlight w:val="none"/>
              </w:rPr>
              <w:t>000</w:t>
            </w:r>
            <w:r>
              <w:rPr>
                <w:rFonts w:hint="eastAsia"/>
                <w:color w:val="000000" w:themeColor="text1"/>
                <w:highlight w:val="none"/>
              </w:rPr>
              <w:t>1</w:t>
            </w:r>
            <w:r>
              <w:rPr>
                <w:color w:val="000000" w:themeColor="text1"/>
                <w:highlight w:val="none"/>
              </w:rPr>
              <w:t>，项目环境管控单元准入清单符合性分析，判定内容如下表所示：</w:t>
            </w:r>
          </w:p>
          <w:p>
            <w:pPr>
              <w:ind w:firstLine="0" w:firstLineChars="0"/>
              <w:rPr>
                <w:color w:val="000000" w:themeColor="text1"/>
                <w:highlight w:val="none"/>
              </w:rPr>
            </w:pPr>
          </w:p>
          <w:p>
            <w:pPr>
              <w:spacing w:before="240" w:beforeLines="100"/>
              <w:ind w:firstLine="422"/>
              <w:jc w:val="center"/>
              <w:rPr>
                <w:b/>
                <w:bCs/>
                <w:color w:val="000000" w:themeColor="text1"/>
                <w:sz w:val="21"/>
                <w:szCs w:val="21"/>
                <w:highlight w:val="none"/>
              </w:rPr>
            </w:pPr>
            <w:r>
              <w:rPr>
                <w:rFonts w:hint="eastAsia"/>
                <w:b/>
                <w:bCs/>
                <w:color w:val="000000" w:themeColor="text1"/>
                <w:sz w:val="21"/>
                <w:szCs w:val="21"/>
                <w:highlight w:val="none"/>
              </w:rPr>
              <w:t xml:space="preserve">表1-2  </w:t>
            </w:r>
            <w:r>
              <w:rPr>
                <w:b/>
                <w:bCs/>
                <w:color w:val="000000" w:themeColor="text1"/>
                <w:sz w:val="21"/>
                <w:szCs w:val="21"/>
                <w:highlight w:val="none"/>
              </w:rPr>
              <w:t>项目环境管控单元准入清单符合性分析表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20"/>
              <w:gridCol w:w="883"/>
              <w:gridCol w:w="2245"/>
              <w:gridCol w:w="3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4" w:type="pct"/>
                  <w:shd w:val="clear" w:color="auto" w:fill="auto"/>
                  <w:vAlign w:val="center"/>
                </w:tcPr>
                <w:p>
                  <w:pPr>
                    <w:pStyle w:val="53"/>
                    <w:rPr>
                      <w:color w:val="000000" w:themeColor="text1"/>
                      <w:highlight w:val="none"/>
                    </w:rPr>
                  </w:pPr>
                  <w:r>
                    <w:rPr>
                      <w:color w:val="000000" w:themeColor="text1"/>
                      <w:highlight w:val="none"/>
                    </w:rPr>
                    <w:t>编号</w:t>
                  </w:r>
                </w:p>
              </w:tc>
              <w:tc>
                <w:tcPr>
                  <w:tcW w:w="459" w:type="pct"/>
                  <w:shd w:val="clear" w:color="auto" w:fill="auto"/>
                  <w:vAlign w:val="center"/>
                </w:tcPr>
                <w:p>
                  <w:pPr>
                    <w:pStyle w:val="53"/>
                    <w:rPr>
                      <w:color w:val="000000" w:themeColor="text1"/>
                      <w:highlight w:val="none"/>
                    </w:rPr>
                  </w:pPr>
                  <w:r>
                    <w:rPr>
                      <w:color w:val="000000" w:themeColor="text1"/>
                      <w:highlight w:val="none"/>
                    </w:rPr>
                    <w:t>管控类型</w:t>
                  </w:r>
                </w:p>
              </w:tc>
              <w:tc>
                <w:tcPr>
                  <w:tcW w:w="563" w:type="pct"/>
                  <w:shd w:val="clear" w:color="auto" w:fill="auto"/>
                  <w:vAlign w:val="center"/>
                </w:tcPr>
                <w:p>
                  <w:pPr>
                    <w:pStyle w:val="53"/>
                    <w:rPr>
                      <w:color w:val="000000" w:themeColor="text1"/>
                      <w:highlight w:val="none"/>
                    </w:rPr>
                  </w:pPr>
                  <w:r>
                    <w:rPr>
                      <w:color w:val="000000" w:themeColor="text1"/>
                      <w:highlight w:val="none"/>
                    </w:rPr>
                    <w:t>环境要素类别</w:t>
                  </w:r>
                </w:p>
              </w:tc>
              <w:tc>
                <w:tcPr>
                  <w:tcW w:w="1431" w:type="pct"/>
                  <w:shd w:val="clear" w:color="auto" w:fill="auto"/>
                  <w:vAlign w:val="center"/>
                </w:tcPr>
                <w:p>
                  <w:pPr>
                    <w:pStyle w:val="53"/>
                    <w:rPr>
                      <w:color w:val="000000" w:themeColor="text1"/>
                      <w:highlight w:val="none"/>
                    </w:rPr>
                  </w:pPr>
                  <w:r>
                    <w:rPr>
                      <w:color w:val="000000" w:themeColor="text1"/>
                      <w:highlight w:val="none"/>
                    </w:rPr>
                    <w:t>管控措施</w:t>
                  </w:r>
                </w:p>
              </w:tc>
              <w:tc>
                <w:tcPr>
                  <w:tcW w:w="2060" w:type="pct"/>
                  <w:shd w:val="clear" w:color="auto" w:fill="auto"/>
                  <w:vAlign w:val="center"/>
                </w:tcPr>
                <w:p>
                  <w:pPr>
                    <w:pStyle w:val="53"/>
                    <w:rPr>
                      <w:color w:val="000000" w:themeColor="text1"/>
                      <w:highlight w:val="none"/>
                    </w:rPr>
                  </w:pPr>
                  <w:r>
                    <w:rPr>
                      <w:color w:val="000000" w:themeColor="text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4" w:type="pct"/>
                  <w:vMerge w:val="restart"/>
                  <w:shd w:val="clear" w:color="auto" w:fill="auto"/>
                  <w:vAlign w:val="center"/>
                </w:tcPr>
                <w:p>
                  <w:pPr>
                    <w:pStyle w:val="53"/>
                    <w:rPr>
                      <w:color w:val="000000" w:themeColor="text1"/>
                      <w:highlight w:val="none"/>
                    </w:rPr>
                  </w:pPr>
                  <w:r>
                    <w:rPr>
                      <w:color w:val="000000" w:themeColor="text1"/>
                      <w:highlight w:val="none"/>
                    </w:rPr>
                    <w:t>ZH13082</w:t>
                  </w:r>
                  <w:r>
                    <w:rPr>
                      <w:rFonts w:hint="eastAsia"/>
                      <w:color w:val="000000" w:themeColor="text1"/>
                      <w:highlight w:val="none"/>
                    </w:rPr>
                    <w:t>23</w:t>
                  </w:r>
                  <w:r>
                    <w:rPr>
                      <w:color w:val="000000" w:themeColor="text1"/>
                      <w:highlight w:val="none"/>
                    </w:rPr>
                    <w:t>000</w:t>
                  </w:r>
                  <w:r>
                    <w:rPr>
                      <w:rFonts w:hint="eastAsia"/>
                      <w:color w:val="000000" w:themeColor="text1"/>
                      <w:highlight w:val="none"/>
                    </w:rPr>
                    <w:t>1</w:t>
                  </w:r>
                </w:p>
              </w:tc>
              <w:tc>
                <w:tcPr>
                  <w:tcW w:w="459" w:type="pct"/>
                  <w:vMerge w:val="restart"/>
                  <w:shd w:val="clear" w:color="auto" w:fill="auto"/>
                  <w:vAlign w:val="center"/>
                </w:tcPr>
                <w:p>
                  <w:pPr>
                    <w:pStyle w:val="53"/>
                    <w:rPr>
                      <w:color w:val="000000" w:themeColor="text1"/>
                      <w:highlight w:val="none"/>
                    </w:rPr>
                  </w:pPr>
                  <w:r>
                    <w:rPr>
                      <w:rFonts w:hint="eastAsia"/>
                      <w:color w:val="000000" w:themeColor="text1"/>
                      <w:highlight w:val="none"/>
                    </w:rPr>
                    <w:t>一般</w:t>
                  </w:r>
                  <w:r>
                    <w:rPr>
                      <w:color w:val="000000" w:themeColor="text1"/>
                      <w:highlight w:val="none"/>
                    </w:rPr>
                    <w:t>管控单元</w:t>
                  </w:r>
                </w:p>
              </w:tc>
              <w:tc>
                <w:tcPr>
                  <w:tcW w:w="563" w:type="pct"/>
                  <w:vMerge w:val="restart"/>
                  <w:shd w:val="clear" w:color="auto" w:fill="auto"/>
                  <w:vAlign w:val="center"/>
                </w:tcPr>
                <w:p>
                  <w:pPr>
                    <w:pStyle w:val="53"/>
                    <w:rPr>
                      <w:color w:val="000000" w:themeColor="text1"/>
                      <w:highlight w:val="none"/>
                    </w:rPr>
                  </w:pPr>
                  <w:r>
                    <w:rPr>
                      <w:rFonts w:hint="eastAsia"/>
                      <w:color w:val="000000" w:themeColor="text1"/>
                      <w:highlight w:val="none"/>
                    </w:rPr>
                    <w:t>一般管控区涉及零星农用地优先保护区、部分水环境优先保护区</w:t>
                  </w:r>
                </w:p>
              </w:tc>
              <w:tc>
                <w:tcPr>
                  <w:tcW w:w="1431" w:type="pct"/>
                  <w:shd w:val="clear" w:color="auto" w:fill="auto"/>
                  <w:vAlign w:val="center"/>
                </w:tcPr>
                <w:p>
                  <w:pPr>
                    <w:pStyle w:val="53"/>
                    <w:jc w:val="center"/>
                    <w:rPr>
                      <w:color w:val="000000" w:themeColor="text1"/>
                      <w:highlight w:val="none"/>
                    </w:rPr>
                  </w:pPr>
                  <w:r>
                    <w:rPr>
                      <w:color w:val="000000" w:themeColor="text1"/>
                      <w:highlight w:val="none"/>
                    </w:rPr>
                    <w:t>1</w:t>
                  </w:r>
                  <w:r>
                    <w:rPr>
                      <w:rFonts w:hint="eastAsia"/>
                      <w:color w:val="000000" w:themeColor="text1"/>
                      <w:highlight w:val="none"/>
                    </w:rPr>
                    <w:t>.</w:t>
                  </w:r>
                  <w:r>
                    <w:rPr>
                      <w:color w:val="000000" w:themeColor="text1"/>
                      <w:highlight w:val="none"/>
                    </w:rPr>
                    <w:t>严格执行国家和省关于产业准入、总量控制和污染物排放标准等管控要求。</w:t>
                  </w:r>
                </w:p>
              </w:tc>
              <w:tc>
                <w:tcPr>
                  <w:tcW w:w="2060" w:type="pct"/>
                  <w:shd w:val="clear" w:color="auto" w:fill="auto"/>
                  <w:vAlign w:val="center"/>
                </w:tcPr>
                <w:p>
                  <w:pPr>
                    <w:pStyle w:val="53"/>
                    <w:rPr>
                      <w:color w:val="000000" w:themeColor="text1"/>
                      <w:highlight w:val="none"/>
                    </w:rPr>
                  </w:pPr>
                  <w:r>
                    <w:rPr>
                      <w:rFonts w:hint="eastAsia"/>
                      <w:color w:val="000000" w:themeColor="text1"/>
                      <w:highlight w:val="none"/>
                    </w:rPr>
                    <w:t>本项目属于</w:t>
                  </w:r>
                  <w:r>
                    <w:rPr>
                      <w:color w:val="000000" w:themeColor="text1"/>
                      <w:highlight w:val="none"/>
                    </w:rPr>
                    <w:t>其他非金属矿物制品制造</w:t>
                  </w:r>
                  <w:r>
                    <w:rPr>
                      <w:rFonts w:hint="eastAsia"/>
                      <w:color w:val="000000" w:themeColor="text1"/>
                      <w:highlight w:val="none"/>
                    </w:rPr>
                    <w:t>，未列入</w:t>
                  </w:r>
                  <w:r>
                    <w:rPr>
                      <w:color w:val="000000" w:themeColor="text1"/>
                      <w:highlight w:val="none"/>
                    </w:rPr>
                    <w:t>《市场准入负面清单（202</w:t>
                  </w:r>
                  <w:r>
                    <w:rPr>
                      <w:rFonts w:hint="eastAsia"/>
                      <w:color w:val="000000" w:themeColor="text1"/>
                      <w:highlight w:val="none"/>
                    </w:rPr>
                    <w:t>2</w:t>
                  </w:r>
                  <w:r>
                    <w:rPr>
                      <w:color w:val="000000" w:themeColor="text1"/>
                      <w:highlight w:val="none"/>
                    </w:rPr>
                    <w:t>年版）》</w:t>
                  </w:r>
                  <w:r>
                    <w:rPr>
                      <w:rFonts w:hint="eastAsia"/>
                      <w:color w:val="000000" w:themeColor="text1"/>
                      <w:highlight w:val="none"/>
                    </w:rPr>
                    <w:t>中</w:t>
                  </w:r>
                  <w:r>
                    <w:rPr>
                      <w:color w:val="000000" w:themeColor="text1"/>
                      <w:highlight w:val="none"/>
                    </w:rPr>
                    <w:t>禁止类</w:t>
                  </w:r>
                  <w:r>
                    <w:rPr>
                      <w:rFonts w:hint="eastAsia"/>
                      <w:color w:val="000000" w:themeColor="text1"/>
                      <w:highlight w:val="none"/>
                    </w:rPr>
                    <w:t>产业类型</w:t>
                  </w:r>
                  <w:r>
                    <w:rPr>
                      <w:color w:val="000000" w:themeColor="text1"/>
                      <w:highlight w:val="none"/>
                    </w:rPr>
                    <w:t>。</w:t>
                  </w:r>
                  <w:r>
                    <w:rPr>
                      <w:rFonts w:hint="eastAsia"/>
                      <w:color w:val="000000" w:themeColor="text1"/>
                      <w:highlight w:val="none"/>
                    </w:rPr>
                    <w:t>未列入“河北省发展</w:t>
                  </w:r>
                  <w:r>
                    <w:rPr>
                      <w:rFonts w:hint="eastAsia"/>
                      <w:color w:val="000000" w:themeColor="text1"/>
                      <w:highlight w:val="none"/>
                      <w:lang w:eastAsia="zh-CN"/>
                    </w:rPr>
                    <w:t>和</w:t>
                  </w:r>
                  <w:bookmarkStart w:id="4" w:name="_GoBack"/>
                  <w:bookmarkEnd w:id="4"/>
                  <w:r>
                    <w:rPr>
                      <w:rFonts w:hint="eastAsia"/>
                      <w:color w:val="000000" w:themeColor="text1"/>
                      <w:highlight w:val="none"/>
                    </w:rPr>
                    <w:t>改革委员会关于印发《灵寿县等22县（区）国家重点生产功能区产业准入负面清单（试行）的通知”（冀发改规划（2018）920号）中禁止类和限制类。项目采取相应环境保护措施后，污染物可达标排放。项目建设符合</w:t>
                  </w:r>
                  <w:r>
                    <w:rPr>
                      <w:color w:val="000000" w:themeColor="text1"/>
                      <w:highlight w:val="none"/>
                    </w:rPr>
                    <w:t>国家和省关于产业准入、总量控制和污染物排放标准等管控要求</w:t>
                  </w:r>
                  <w:r>
                    <w:rPr>
                      <w:rFonts w:hint="eastAsia"/>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4" w:type="pct"/>
                  <w:vMerge w:val="continue"/>
                  <w:shd w:val="clear" w:color="auto" w:fill="auto"/>
                  <w:vAlign w:val="center"/>
                </w:tcPr>
                <w:p>
                  <w:pPr>
                    <w:pStyle w:val="53"/>
                    <w:rPr>
                      <w:color w:val="000000" w:themeColor="text1"/>
                      <w:highlight w:val="none"/>
                    </w:rPr>
                  </w:pPr>
                </w:p>
              </w:tc>
              <w:tc>
                <w:tcPr>
                  <w:tcW w:w="459" w:type="pct"/>
                  <w:vMerge w:val="continue"/>
                  <w:shd w:val="clear" w:color="auto" w:fill="auto"/>
                  <w:vAlign w:val="center"/>
                </w:tcPr>
                <w:p>
                  <w:pPr>
                    <w:pStyle w:val="53"/>
                    <w:rPr>
                      <w:color w:val="000000" w:themeColor="text1"/>
                      <w:highlight w:val="none"/>
                    </w:rPr>
                  </w:pPr>
                </w:p>
              </w:tc>
              <w:tc>
                <w:tcPr>
                  <w:tcW w:w="563" w:type="pct"/>
                  <w:vMerge w:val="continue"/>
                  <w:shd w:val="clear" w:color="auto" w:fill="auto"/>
                  <w:vAlign w:val="center"/>
                </w:tcPr>
                <w:p>
                  <w:pPr>
                    <w:pStyle w:val="53"/>
                    <w:rPr>
                      <w:color w:val="000000" w:themeColor="text1"/>
                      <w:highlight w:val="none"/>
                    </w:rPr>
                  </w:pPr>
                </w:p>
              </w:tc>
              <w:tc>
                <w:tcPr>
                  <w:tcW w:w="1431" w:type="pct"/>
                  <w:shd w:val="clear" w:color="auto" w:fill="auto"/>
                  <w:vAlign w:val="center"/>
                </w:tcPr>
                <w:p>
                  <w:pPr>
                    <w:pStyle w:val="53"/>
                    <w:jc w:val="center"/>
                    <w:rPr>
                      <w:color w:val="000000" w:themeColor="text1"/>
                      <w:highlight w:val="none"/>
                    </w:rPr>
                  </w:pPr>
                  <w:r>
                    <w:rPr>
                      <w:color w:val="000000" w:themeColor="text1"/>
                      <w:highlight w:val="none"/>
                    </w:rPr>
                    <w:t>2</w:t>
                  </w:r>
                  <w:r>
                    <w:rPr>
                      <w:rFonts w:hint="eastAsia"/>
                      <w:color w:val="000000" w:themeColor="text1"/>
                      <w:highlight w:val="none"/>
                    </w:rPr>
                    <w:t>.</w:t>
                  </w:r>
                  <w:r>
                    <w:rPr>
                      <w:color w:val="000000" w:themeColor="text1"/>
                      <w:highlight w:val="none"/>
                    </w:rPr>
                    <w:t>水环境优先保护区应优化区域种植结构，完善水污染设施体系，严格执行流域水排放控制标准，加强湖滨岸带建设，保障水环境安全，现有涉水污染排放及风险项目</w:t>
                  </w:r>
                  <w:r>
                    <w:rPr>
                      <w:rFonts w:hint="eastAsia"/>
                      <w:color w:val="000000" w:themeColor="text1"/>
                      <w:highlight w:val="none"/>
                    </w:rPr>
                    <w:t>，</w:t>
                  </w:r>
                  <w:r>
                    <w:rPr>
                      <w:color w:val="000000" w:themeColor="text1"/>
                      <w:highlight w:val="none"/>
                    </w:rPr>
                    <w:t>限期搬迁。</w:t>
                  </w:r>
                </w:p>
              </w:tc>
              <w:tc>
                <w:tcPr>
                  <w:tcW w:w="2060" w:type="pct"/>
                  <w:shd w:val="clear" w:color="auto" w:fill="auto"/>
                  <w:vAlign w:val="center"/>
                </w:tcPr>
                <w:p>
                  <w:pPr>
                    <w:pStyle w:val="53"/>
                    <w:rPr>
                      <w:color w:val="000000" w:themeColor="text1"/>
                      <w:highlight w:val="none"/>
                    </w:rPr>
                  </w:pPr>
                  <w:r>
                    <w:rPr>
                      <w:rFonts w:hint="eastAsia"/>
                      <w:color w:val="000000" w:themeColor="text1"/>
                      <w:highlight w:val="none"/>
                      <w:lang w:eastAsia="zh-CN"/>
                    </w:rPr>
                    <w:t>项目无生产废水产生，厂区员工由承平高速LM1标项目经理部内部调剂，不新增劳动定员，无生活污水产生</w:t>
                  </w:r>
                  <w:r>
                    <w:rPr>
                      <w:rFonts w:hint="eastAsia"/>
                      <w:color w:val="000000" w:themeColor="text1"/>
                      <w:highlight w:val="none"/>
                    </w:rPr>
                    <w:t>。项目占地范围不涉及水环境优先保护区。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4" w:type="pct"/>
                  <w:vMerge w:val="continue"/>
                  <w:shd w:val="clear" w:color="auto" w:fill="auto"/>
                  <w:vAlign w:val="center"/>
                </w:tcPr>
                <w:p>
                  <w:pPr>
                    <w:pStyle w:val="53"/>
                    <w:rPr>
                      <w:color w:val="000000" w:themeColor="text1"/>
                      <w:highlight w:val="none"/>
                    </w:rPr>
                  </w:pPr>
                </w:p>
              </w:tc>
              <w:tc>
                <w:tcPr>
                  <w:tcW w:w="459" w:type="pct"/>
                  <w:vMerge w:val="continue"/>
                  <w:shd w:val="clear" w:color="auto" w:fill="auto"/>
                  <w:vAlign w:val="center"/>
                </w:tcPr>
                <w:p>
                  <w:pPr>
                    <w:pStyle w:val="53"/>
                    <w:rPr>
                      <w:color w:val="000000" w:themeColor="text1"/>
                      <w:highlight w:val="none"/>
                    </w:rPr>
                  </w:pPr>
                </w:p>
              </w:tc>
              <w:tc>
                <w:tcPr>
                  <w:tcW w:w="563" w:type="pct"/>
                  <w:vMerge w:val="continue"/>
                  <w:shd w:val="clear" w:color="auto" w:fill="auto"/>
                  <w:vAlign w:val="center"/>
                </w:tcPr>
                <w:p>
                  <w:pPr>
                    <w:pStyle w:val="53"/>
                    <w:rPr>
                      <w:color w:val="000000" w:themeColor="text1"/>
                      <w:highlight w:val="none"/>
                    </w:rPr>
                  </w:pPr>
                </w:p>
              </w:tc>
              <w:tc>
                <w:tcPr>
                  <w:tcW w:w="1431" w:type="pct"/>
                  <w:shd w:val="clear" w:color="auto" w:fill="auto"/>
                  <w:vAlign w:val="center"/>
                </w:tcPr>
                <w:p>
                  <w:pPr>
                    <w:pStyle w:val="53"/>
                    <w:rPr>
                      <w:color w:val="000000" w:themeColor="text1"/>
                      <w:highlight w:val="none"/>
                    </w:rPr>
                  </w:pPr>
                  <w:r>
                    <w:rPr>
                      <w:color w:val="000000" w:themeColor="text1"/>
                      <w:highlight w:val="none"/>
                    </w:rPr>
                    <w:t>3.农用地优先保护区执行承德市总体准入清单要求。</w:t>
                  </w:r>
                </w:p>
              </w:tc>
              <w:tc>
                <w:tcPr>
                  <w:tcW w:w="2060" w:type="pct"/>
                  <w:shd w:val="clear" w:color="auto" w:fill="auto"/>
                  <w:vAlign w:val="center"/>
                </w:tcPr>
                <w:p>
                  <w:pPr>
                    <w:pStyle w:val="53"/>
                    <w:rPr>
                      <w:color w:val="000000" w:themeColor="text1"/>
                      <w:highlight w:val="none"/>
                    </w:rPr>
                  </w:pPr>
                  <w:r>
                    <w:rPr>
                      <w:rFonts w:hint="eastAsia"/>
                      <w:color w:val="000000" w:themeColor="text1"/>
                      <w:highlight w:val="none"/>
                    </w:rPr>
                    <w:t>项目占地范围不涉及农用地优先保护区。</w:t>
                  </w:r>
                </w:p>
              </w:tc>
            </w:tr>
          </w:tbl>
          <w:p>
            <w:pPr>
              <w:spacing w:before="120" w:beforeLines="50"/>
              <w:ind w:firstLine="0" w:firstLineChars="0"/>
              <w:jc w:val="center"/>
              <w:rPr>
                <w:b/>
                <w:bCs/>
                <w:color w:val="000000" w:themeColor="text1"/>
                <w:kern w:val="0"/>
                <w:highlight w:val="none"/>
              </w:rPr>
            </w:pPr>
            <w:r>
              <w:rPr>
                <w:b/>
                <w:color w:val="000000" w:themeColor="text1"/>
                <w:sz w:val="21"/>
                <w:szCs w:val="21"/>
                <w:highlight w:val="none"/>
              </w:rPr>
              <w:pict>
                <v:shape id="_x0000_i1025" o:spt="75" alt="三线一单图" type="#_x0000_t75" style="height:246.7pt;width:391.95pt;" filled="f" o:preferrelative="t" stroked="f" coordsize="21600,21600">
                  <v:path/>
                  <v:fill on="f" focussize="0,0"/>
                  <v:stroke on="f" joinstyle="miter"/>
                  <v:imagedata r:id="rId16" o:title="三线一单图"/>
                  <o:lock v:ext="edit" aspectratio="t"/>
                  <w10:wrap type="none"/>
                  <w10:anchorlock/>
                </v:shape>
              </w:pict>
            </w:r>
            <w:r>
              <w:rPr>
                <w:rFonts w:hint="eastAsia"/>
                <w:b/>
                <w:color w:val="000000" w:themeColor="text1"/>
                <w:sz w:val="21"/>
                <w:szCs w:val="21"/>
                <w:highlight w:val="none"/>
              </w:rPr>
              <w:t xml:space="preserve">图1-1  </w:t>
            </w:r>
            <w:r>
              <w:rPr>
                <w:b/>
                <w:bCs/>
                <w:color w:val="000000" w:themeColor="text1"/>
                <w:sz w:val="21"/>
                <w:szCs w:val="21"/>
                <w:highlight w:val="none"/>
              </w:rPr>
              <w:t>项目选址与承德市环境管控单元位置关系示意图</w:t>
            </w:r>
          </w:p>
          <w:p>
            <w:pPr>
              <w:ind w:firstLine="480"/>
              <w:rPr>
                <w:color w:val="000000" w:themeColor="text1"/>
                <w:highlight w:val="none"/>
              </w:rPr>
            </w:pPr>
            <w:r>
              <w:rPr>
                <w:rFonts w:hint="eastAsia"/>
                <w:color w:val="000000" w:themeColor="text1"/>
                <w:highlight w:val="none"/>
              </w:rPr>
              <w:t>综上</w:t>
            </w:r>
            <w:r>
              <w:rPr>
                <w:color w:val="000000" w:themeColor="text1"/>
                <w:highlight w:val="none"/>
              </w:rPr>
              <w:t>，项目符合《关于以改善环境质量为核心加强环境影响评价管理的通知》（环</w:t>
            </w:r>
            <w:r>
              <w:rPr>
                <w:rFonts w:hint="eastAsia"/>
                <w:color w:val="000000" w:themeColor="text1"/>
                <w:highlight w:val="none"/>
              </w:rPr>
              <w:t>环</w:t>
            </w:r>
            <w:r>
              <w:rPr>
                <w:color w:val="000000" w:themeColor="text1"/>
                <w:highlight w:val="none"/>
              </w:rPr>
              <w:t>评[2016]150号）</w:t>
            </w:r>
            <w:r>
              <w:rPr>
                <w:rFonts w:hint="eastAsia"/>
                <w:color w:val="000000" w:themeColor="text1"/>
                <w:highlight w:val="none"/>
              </w:rPr>
              <w:t>、《承德市人民政府关于加快实施“三线一单”生态环境分区管控的意见》（承德市人民政府2021年6月18发布）</w:t>
            </w:r>
            <w:r>
              <w:rPr>
                <w:color w:val="000000" w:themeColor="text1"/>
                <w:highlight w:val="none"/>
              </w:rPr>
              <w:t>的环境管理要求</w:t>
            </w:r>
            <w:r>
              <w:rPr>
                <w:rFonts w:hint="eastAsia"/>
                <w:color w:val="000000" w:themeColor="text1"/>
                <w:highlight w:val="none"/>
              </w:rPr>
              <w:t>。</w:t>
            </w:r>
          </w:p>
          <w:p>
            <w:pPr>
              <w:widowControl/>
              <w:ind w:firstLine="480"/>
              <w:jc w:val="left"/>
              <w:rPr>
                <w:color w:val="000000" w:themeColor="text1"/>
                <w:highlight w:val="none"/>
              </w:rPr>
            </w:pPr>
            <w:r>
              <w:rPr>
                <w:rFonts w:hint="eastAsia" w:ascii="宋体" w:hAnsi="宋体" w:cs="宋体"/>
                <w:color w:val="000000" w:themeColor="text1"/>
                <w:kern w:val="0"/>
                <w:highlight w:val="none"/>
                <w:lang w:bidi="ar"/>
              </w:rPr>
              <w:t>《承德市“三线一单”生态环境准入清单》</w:t>
            </w:r>
            <w:r>
              <w:rPr>
                <w:rFonts w:hint="eastAsia" w:ascii="宋体" w:hAnsi="宋体" w:cs="宋体"/>
                <w:b/>
                <w:bCs/>
                <w:color w:val="000000" w:themeColor="text1"/>
                <w:kern w:val="0"/>
                <w:highlight w:val="none"/>
                <w:lang w:bidi="ar"/>
              </w:rPr>
              <w:t>大气环境准入清单要求</w:t>
            </w:r>
            <w:r>
              <w:rPr>
                <w:rFonts w:hint="eastAsia" w:ascii="宋体" w:hAnsi="宋体" w:cs="宋体"/>
                <w:color w:val="000000" w:themeColor="text1"/>
                <w:kern w:val="0"/>
                <w:highlight w:val="none"/>
                <w:lang w:bidi="ar"/>
              </w:rPr>
              <w:t>：各产业集聚区应限制建设不符合产业聚集区定位的项目。严格执行河北省生态环境准入要求，禁止建设不符合国家产业政策和行业准入条件的工业项目。现有及新建企业污染排放应满足排污可证要求。未发放排污许可证工业企业满足行业排放标准与总量控制要求。规定期限内未获得排污许可证的企业应关停退出。本项目不在产业聚集区内，</w:t>
            </w:r>
            <w:r>
              <w:rPr>
                <w:rFonts w:hint="eastAsia"/>
                <w:color w:val="000000" w:themeColor="text1"/>
                <w:highlight w:val="none"/>
              </w:rPr>
              <w:t>未列入</w:t>
            </w:r>
            <w:r>
              <w:rPr>
                <w:color w:val="000000" w:themeColor="text1"/>
                <w:highlight w:val="none"/>
              </w:rPr>
              <w:t>《市场准入负面清单（202</w:t>
            </w:r>
            <w:r>
              <w:rPr>
                <w:rFonts w:hint="eastAsia"/>
                <w:color w:val="000000" w:themeColor="text1"/>
                <w:highlight w:val="none"/>
              </w:rPr>
              <w:t>2</w:t>
            </w:r>
            <w:r>
              <w:rPr>
                <w:color w:val="000000" w:themeColor="text1"/>
                <w:highlight w:val="none"/>
              </w:rPr>
              <w:t>年版）》</w:t>
            </w:r>
            <w:r>
              <w:rPr>
                <w:rFonts w:hint="eastAsia"/>
                <w:color w:val="000000" w:themeColor="text1"/>
                <w:highlight w:val="none"/>
              </w:rPr>
              <w:t>中</w:t>
            </w:r>
            <w:r>
              <w:rPr>
                <w:color w:val="000000" w:themeColor="text1"/>
                <w:highlight w:val="none"/>
              </w:rPr>
              <w:t>禁止类</w:t>
            </w:r>
            <w:r>
              <w:rPr>
                <w:rFonts w:hint="eastAsia"/>
                <w:color w:val="000000" w:themeColor="text1"/>
                <w:highlight w:val="none"/>
              </w:rPr>
              <w:t>产业类型，未列入“河北省发展</w:t>
            </w:r>
            <w:r>
              <w:rPr>
                <w:rFonts w:hint="eastAsia"/>
                <w:color w:val="000000" w:themeColor="text1"/>
                <w:highlight w:val="none"/>
                <w:lang w:eastAsia="zh-CN"/>
              </w:rPr>
              <w:t>和</w:t>
            </w:r>
            <w:r>
              <w:rPr>
                <w:rFonts w:hint="eastAsia"/>
                <w:color w:val="000000" w:themeColor="text1"/>
                <w:highlight w:val="none"/>
              </w:rPr>
              <w:t>改革委员会关于印发《灵寿县等22县（区）国家重点生产功能区产业准入负面清单（试行）的通知”（冀发改规划（2018）920号）中禁止类和限制类。项目采取相应环境保护措施后，污染物可达标排放。项目建设符合</w:t>
            </w:r>
            <w:r>
              <w:rPr>
                <w:rFonts w:hint="eastAsia" w:ascii="宋体" w:hAnsi="宋体" w:cs="宋体"/>
                <w:color w:val="000000" w:themeColor="text1"/>
                <w:kern w:val="0"/>
                <w:highlight w:val="none"/>
                <w:lang w:bidi="ar"/>
              </w:rPr>
              <w:t>符合国家产业政策和行业准入条件，符合大气环境准入清单要求。</w:t>
            </w:r>
            <w:r>
              <w:rPr>
                <w:rFonts w:hint="eastAsia" w:ascii="宋体" w:hAnsi="宋体" w:cs="宋体"/>
                <w:b/>
                <w:bCs/>
                <w:color w:val="000000" w:themeColor="text1"/>
                <w:kern w:val="0"/>
                <w:highlight w:val="none"/>
                <w:lang w:bidi="ar"/>
              </w:rPr>
              <w:t>水环境准入清单要求</w:t>
            </w:r>
            <w:r>
              <w:rPr>
                <w:rFonts w:hint="eastAsia" w:ascii="宋体" w:hAnsi="宋体" w:cs="宋体"/>
                <w:color w:val="000000" w:themeColor="text1"/>
                <w:kern w:val="0"/>
                <w:highlight w:val="none"/>
                <w:lang w:bidi="ar"/>
              </w:rPr>
              <w:t xml:space="preserve">：饮用水源地保护区应遵循《河北省水资源管理条例》、《河北省水污染防治条例》等相关法律法规规定要求。新建企业原则上均应建在工业集聚区。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 各产业集聚区内应限制建设不符合产业定位的项目。禁止向水域倾倒工业废渣、城市垃圾、粪便及其它废弃物。禁止建设不符合国家产业政策和行业准入条件的工业项目。现有及新建企业污染排放应满足排污可证要求。未发放排污许可证企业满足行业排放标准与总量控制要求。国家规定期限范围内前未获得排污许可证的企业应关停退出。新建污水处理设施及其配套管网应同步设计、同步建设、同步投运。纳管企业应当防止、减少环境污染和生态破坏，按照国家有关规定申领排污许可证，持证排污、按证排污， </w:t>
            </w:r>
          </w:p>
          <w:p>
            <w:pPr>
              <w:ind w:firstLine="480"/>
              <w:rPr>
                <w:color w:val="000000" w:themeColor="text1"/>
                <w:highlight w:val="none"/>
              </w:rPr>
            </w:pPr>
            <w:r>
              <w:rPr>
                <w:rFonts w:hint="eastAsia" w:ascii="宋体" w:hAnsi="宋体" w:cs="宋体"/>
                <w:color w:val="000000" w:themeColor="text1"/>
                <w:kern w:val="0"/>
                <w:highlight w:val="none"/>
                <w:lang w:bidi="ar"/>
              </w:rPr>
              <w:t>对所造成的损害依法承担责任。本项目选址位于承平高速建设用地范围内，不在饮用水水源保护区及产业聚集区内建设，项目采取措施后产生的固体废物均得到妥善处置，不会向水体排放。本项目属于排污许可简化管理，环评要求在竣工验收前应取得排污许可证，做到持证排污、按证排污。符合水环境准入清单要求。</w:t>
            </w:r>
            <w:r>
              <w:rPr>
                <w:rFonts w:hint="eastAsia" w:ascii="宋体" w:hAnsi="宋体" w:cs="宋体"/>
                <w:b/>
                <w:bCs/>
                <w:color w:val="000000" w:themeColor="text1"/>
                <w:kern w:val="0"/>
                <w:highlight w:val="none"/>
                <w:lang w:bidi="ar"/>
              </w:rPr>
              <w:t>土壤环境准入清单：</w:t>
            </w:r>
            <w:r>
              <w:rPr>
                <w:rFonts w:hint="eastAsia" w:ascii="宋体" w:hAnsi="宋体" w:cs="宋体"/>
                <w:color w:val="000000" w:themeColor="text1"/>
                <w:kern w:val="0"/>
                <w:highlight w:val="none"/>
                <w:lang w:bidi="ar"/>
              </w:rPr>
              <w:t>禁止企业向滩涂、沼泽、荒地等未利用地非法排污、倾倒有毒有害物质。 新、改、扩建项目选址用地应当达到工业用地土壤环境质量要求。超过国家土壤污染风险管控有关工业类建设用地筛选值标准的工业地块，未经治理修复或者治理修复不符合相关标准的，不得新、改、扩建项目。 经分析本项目采取措施后产生的各项污染物均得到妥善处置。项目选址位于承平高速建设用地范围内，本项目对下风向农用地及建设用地土壤环境质量进行监测，农用地各监测因子均满足《土壤环境质量 农用地土壤污染风险管控标准（试行）》（GB15618—2018）相关浓度限值要求，建设用地各监测因子均满足《土壤环境质量 建设用地土壤污染风险管控标准（试行）》（GB36600-2018）表1中第一类用地土壤污染风险筛选值相关浓度限值要求，项目区域土壤环境质量较好，企业按要求落实危废间的分区防渗措施后，对土壤及地下水没有明显污染途径，</w:t>
            </w:r>
            <w:r>
              <w:rPr>
                <w:rFonts w:hint="eastAsia"/>
                <w:color w:val="000000" w:themeColor="text1"/>
                <w:highlight w:val="none"/>
              </w:rPr>
              <w:t>，不属于“</w:t>
            </w:r>
            <w:r>
              <w:rPr>
                <w:rFonts w:hint="eastAsia" w:ascii="宋体" w:hAnsi="宋体" w:cs="宋体"/>
                <w:color w:val="000000" w:themeColor="text1"/>
                <w:kern w:val="0"/>
                <w:highlight w:val="none"/>
                <w:lang w:bidi="ar"/>
              </w:rPr>
              <w:t>超过国家土壤污染风险管控有关工业类建设用地筛选值标准的工业地块，未经治理修复或者治理修复不符合相关标准</w:t>
            </w:r>
            <w:r>
              <w:rPr>
                <w:rFonts w:hint="eastAsia"/>
                <w:color w:val="000000" w:themeColor="text1"/>
                <w:highlight w:val="none"/>
              </w:rPr>
              <w:t>”</w:t>
            </w:r>
            <w:r>
              <w:rPr>
                <w:rFonts w:hint="eastAsia" w:ascii="宋体" w:hAnsi="宋体" w:cs="宋体"/>
                <w:color w:val="000000" w:themeColor="text1"/>
                <w:kern w:val="0"/>
                <w:highlight w:val="none"/>
                <w:lang w:bidi="ar"/>
              </w:rPr>
              <w:t>的项目，项目建设符合土壤环境准入清单要求。</w:t>
            </w:r>
          </w:p>
          <w:p>
            <w:pPr>
              <w:ind w:firstLine="482"/>
              <w:rPr>
                <w:b/>
                <w:bCs/>
                <w:color w:val="000000" w:themeColor="text1"/>
                <w:highlight w:val="none"/>
              </w:rPr>
            </w:pPr>
            <w:r>
              <w:rPr>
                <w:rFonts w:hint="eastAsia"/>
                <w:b/>
                <w:bCs/>
                <w:color w:val="000000" w:themeColor="text1"/>
                <w:kern w:val="0"/>
                <w:highlight w:val="none"/>
              </w:rPr>
              <w:t>三</w:t>
            </w:r>
            <w:r>
              <w:rPr>
                <w:b/>
                <w:bCs/>
                <w:color w:val="000000" w:themeColor="text1"/>
                <w:kern w:val="0"/>
                <w:highlight w:val="none"/>
              </w:rPr>
              <w:t>、</w:t>
            </w:r>
            <w:r>
              <w:rPr>
                <w:rFonts w:hint="eastAsia"/>
                <w:b/>
                <w:bCs/>
                <w:color w:val="000000" w:themeColor="text1"/>
                <w:highlight w:val="none"/>
              </w:rPr>
              <w:t>《承德市城市总体规划》（2016-2030年）</w:t>
            </w:r>
          </w:p>
          <w:p>
            <w:pPr>
              <w:ind w:firstLine="480"/>
              <w:rPr>
                <w:color w:val="000000" w:themeColor="text1"/>
                <w:highlight w:val="none"/>
              </w:rPr>
            </w:pPr>
            <w:r>
              <w:rPr>
                <w:color w:val="000000" w:themeColor="text1"/>
                <w:highlight w:val="none"/>
              </w:rPr>
              <w:t>承德市</w:t>
            </w:r>
            <w:r>
              <w:rPr>
                <w:rFonts w:hint="eastAsia"/>
                <w:color w:val="000000" w:themeColor="text1"/>
                <w:highlight w:val="none"/>
              </w:rPr>
              <w:t>城市总体规划中</w:t>
            </w:r>
            <w:r>
              <w:rPr>
                <w:color w:val="000000" w:themeColor="text1"/>
                <w:highlight w:val="none"/>
              </w:rPr>
              <w:t>生态功能区如下图所示：</w:t>
            </w:r>
          </w:p>
          <w:p>
            <w:pPr>
              <w:ind w:firstLine="480"/>
              <w:rPr>
                <w:color w:val="000000" w:themeColor="text1"/>
                <w:highlight w:val="none"/>
              </w:rPr>
            </w:pPr>
          </w:p>
          <w:p>
            <w:pPr>
              <w:ind w:firstLine="480"/>
              <w:rPr>
                <w:color w:val="000000" w:themeColor="text1"/>
                <w:highlight w:val="none"/>
              </w:rPr>
            </w:pPr>
          </w:p>
          <w:p>
            <w:pPr>
              <w:ind w:firstLine="480"/>
              <w:rPr>
                <w:color w:val="000000" w:themeColor="text1"/>
                <w:highlight w:val="none"/>
              </w:rPr>
            </w:pPr>
          </w:p>
          <w:p>
            <w:pPr>
              <w:ind w:firstLine="480"/>
              <w:rPr>
                <w:color w:val="000000" w:themeColor="text1"/>
                <w:highlight w:val="none"/>
              </w:rPr>
            </w:pPr>
          </w:p>
          <w:p>
            <w:pPr>
              <w:ind w:firstLine="480"/>
              <w:rPr>
                <w:color w:val="000000" w:themeColor="text1"/>
                <w:highlight w:val="none"/>
              </w:rPr>
            </w:pPr>
          </w:p>
          <w:p>
            <w:pPr>
              <w:ind w:firstLine="480"/>
              <w:rPr>
                <w:color w:val="000000" w:themeColor="text1"/>
                <w:highlight w:val="none"/>
              </w:rPr>
            </w:pPr>
          </w:p>
          <w:p>
            <w:pPr>
              <w:ind w:firstLine="480"/>
              <w:rPr>
                <w:color w:val="000000" w:themeColor="text1"/>
                <w:highlight w:val="none"/>
              </w:rPr>
            </w:pPr>
          </w:p>
          <w:p>
            <w:pPr>
              <w:ind w:firstLine="480"/>
              <w:rPr>
                <w:color w:val="000000" w:themeColor="text1"/>
                <w:highlight w:val="none"/>
              </w:rPr>
            </w:pPr>
          </w:p>
          <w:p>
            <w:pPr>
              <w:ind w:firstLine="480"/>
              <w:rPr>
                <w:color w:val="000000" w:themeColor="text1"/>
                <w:highlight w:val="none"/>
              </w:rPr>
            </w:pPr>
          </w:p>
          <w:p>
            <w:pPr>
              <w:ind w:firstLine="480"/>
              <w:rPr>
                <w:color w:val="000000" w:themeColor="text1"/>
                <w:highlight w:val="none"/>
              </w:rPr>
            </w:pPr>
          </w:p>
          <w:p>
            <w:pPr>
              <w:spacing w:line="240" w:lineRule="auto"/>
              <w:ind w:firstLine="0" w:firstLineChars="0"/>
              <w:jc w:val="center"/>
              <w:rPr>
                <w:color w:val="000000" w:themeColor="text1"/>
                <w:highlight w:val="none"/>
              </w:rPr>
            </w:pPr>
            <w:r>
              <w:rPr>
                <w:color w:val="000000" w:themeColor="text1"/>
                <w:highlight w:val="none"/>
              </w:rPr>
              <w:pict>
                <v:shape id="_x0000_s1370" o:spid="_x0000_s1370" o:spt="12" type="#_x0000_t12" style="position:absolute;left:0pt;margin-left:172.5pt;margin-top:322.9pt;height:8.25pt;width:11.25pt;z-index:251660288;mso-width-relative:page;mso-height-relative:page;" fillcolor="#FFFF00" filled="t" stroked="t" coordsize="21600,21600">
                  <v:path/>
                  <v:fill on="t" focussize="0,0"/>
                  <v:stroke color="#FFFF00" joinstyle="miter"/>
                  <v:imagedata o:title=""/>
                  <o:lock v:ext="edit"/>
                </v:shape>
              </w:pict>
            </w:r>
            <w:r>
              <w:rPr>
                <w:color w:val="000000" w:themeColor="text1"/>
                <w:highlight w:val="none"/>
              </w:rPr>
              <w:pict>
                <v:shape id="_x0000_s1371" o:spid="_x0000_s1371" o:spt="61" type="#_x0000_t61" style="position:absolute;left:0pt;margin-left:73.5pt;margin-top:268.9pt;height:21.75pt;width:61.6pt;z-index:251660288;mso-width-relative:page;mso-height-relative:page;" coordsize="21600,21600" adj="35538,57948">
                  <v:path/>
                  <v:fill focussize="0,0"/>
                  <v:stroke joinstyle="miter"/>
                  <v:imagedata o:title=""/>
                  <o:lock v:ext="edit"/>
                  <v:textbox>
                    <w:txbxContent>
                      <w:p>
                        <w:pPr>
                          <w:ind w:firstLine="0" w:firstLineChars="0"/>
                          <w:rPr>
                            <w:sz w:val="21"/>
                            <w:szCs w:val="21"/>
                          </w:rPr>
                        </w:pPr>
                        <w:r>
                          <w:rPr>
                            <w:rFonts w:hint="eastAsia"/>
                            <w:sz w:val="21"/>
                            <w:szCs w:val="21"/>
                          </w:rPr>
                          <w:t>项目位置</w:t>
                        </w:r>
                      </w:p>
                    </w:txbxContent>
                  </v:textbox>
                </v:shape>
              </w:pict>
            </w:r>
            <w:r>
              <w:rPr>
                <w:color w:val="000000" w:themeColor="text1"/>
                <w:highlight w:val="none"/>
              </w:rPr>
              <w:pict>
                <v:shape id="_x0000_i1026" o:spt="75" type="#_x0000_t75" style="height:361.9pt;width:394.45pt;" filled="f" o:preferrelative="t" stroked="f" coordsize="21600,21600">
                  <v:path/>
                  <v:fill on="f" focussize="0,0"/>
                  <v:stroke on="f" joinstyle="miter"/>
                  <v:imagedata r:id="rId17" o:title=""/>
                  <o:lock v:ext="edit" aspectratio="t"/>
                  <w10:wrap type="none"/>
                  <w10:anchorlock/>
                </v:shape>
              </w:pict>
            </w:r>
          </w:p>
          <w:p>
            <w:pPr>
              <w:adjustRightInd/>
              <w:ind w:firstLine="0" w:firstLineChars="0"/>
              <w:jc w:val="center"/>
              <w:rPr>
                <w:color w:val="000000" w:themeColor="text1"/>
                <w:szCs w:val="22"/>
                <w:highlight w:val="none"/>
              </w:rPr>
            </w:pPr>
            <w:r>
              <w:rPr>
                <w:rFonts w:hint="eastAsia"/>
                <w:b/>
                <w:color w:val="000000" w:themeColor="text1"/>
                <w:sz w:val="21"/>
                <w:szCs w:val="21"/>
                <w:highlight w:val="none"/>
              </w:rPr>
              <w:t xml:space="preserve">图1-2  </w:t>
            </w:r>
            <w:r>
              <w:rPr>
                <w:b/>
                <w:color w:val="000000" w:themeColor="text1"/>
                <w:sz w:val="21"/>
                <w:szCs w:val="21"/>
                <w:highlight w:val="none"/>
              </w:rPr>
              <w:t>承德市生态功能区图</w:t>
            </w:r>
          </w:p>
          <w:p>
            <w:pPr>
              <w:ind w:firstLine="480"/>
              <w:rPr>
                <w:color w:val="000000" w:themeColor="text1"/>
                <w:highlight w:val="none"/>
              </w:rPr>
            </w:pPr>
            <w:r>
              <w:rPr>
                <w:color w:val="000000" w:themeColor="text1"/>
                <w:highlight w:val="none"/>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所属区域为</w:t>
            </w:r>
            <w:r>
              <w:rPr>
                <w:rFonts w:hint="eastAsia"/>
                <w:color w:val="000000" w:themeColor="text1"/>
                <w:highlight w:val="none"/>
              </w:rPr>
              <w:t>兴隆县六道河镇前苇塘村</w:t>
            </w:r>
            <w:r>
              <w:rPr>
                <w:color w:val="000000" w:themeColor="text1"/>
                <w:highlight w:val="none"/>
              </w:rPr>
              <w:t>，根据承德市总体规划，兴隆县</w:t>
            </w:r>
            <w:r>
              <w:rPr>
                <w:rFonts w:hint="eastAsia"/>
                <w:color w:val="000000" w:themeColor="text1"/>
                <w:highlight w:val="none"/>
              </w:rPr>
              <w:t>六道河镇前苇塘村</w:t>
            </w:r>
            <w:r>
              <w:rPr>
                <w:color w:val="000000" w:themeColor="text1"/>
                <w:highlight w:val="none"/>
              </w:rPr>
              <w:t>属于</w:t>
            </w:r>
            <w:r>
              <w:rPr>
                <w:rFonts w:hint="eastAsia" w:ascii="宋体" w:hAnsi="宋体" w:cs="宋体"/>
                <w:color w:val="000000" w:themeColor="text1"/>
                <w:highlight w:val="none"/>
              </w:rPr>
              <w:t>“冀</w:t>
            </w:r>
            <w:r>
              <w:rPr>
                <w:color w:val="000000" w:themeColor="text1"/>
                <w:highlight w:val="none"/>
              </w:rPr>
              <w:t>北及燕山山地生态区（Ⅱ）——</w:t>
            </w:r>
            <w:r>
              <w:rPr>
                <w:rFonts w:hint="eastAsia"/>
                <w:color w:val="000000" w:themeColor="text1"/>
                <w:highlight w:val="none"/>
              </w:rPr>
              <w:t>燕山山地南部林果生态亚区</w:t>
            </w:r>
            <w:r>
              <w:rPr>
                <w:color w:val="000000" w:themeColor="text1"/>
                <w:highlight w:val="none"/>
              </w:rPr>
              <w:t>（Ⅱ-</w:t>
            </w:r>
            <w:r>
              <w:rPr>
                <w:rFonts w:hint="eastAsia"/>
                <w:color w:val="000000" w:themeColor="text1"/>
                <w:highlight w:val="none"/>
              </w:rPr>
              <w:t>4</w:t>
            </w:r>
            <w:r>
              <w:rPr>
                <w:color w:val="000000" w:themeColor="text1"/>
                <w:highlight w:val="none"/>
              </w:rPr>
              <w:t>）——</w:t>
            </w:r>
            <w:r>
              <w:rPr>
                <w:rFonts w:hint="eastAsia"/>
                <w:color w:val="000000" w:themeColor="text1"/>
                <w:highlight w:val="none"/>
              </w:rPr>
              <w:t>兴隆县西南部长城保护与地质灾害防治功能区</w:t>
            </w:r>
            <w:r>
              <w:rPr>
                <w:color w:val="000000" w:themeColor="text1"/>
                <w:highlight w:val="none"/>
              </w:rPr>
              <w:t>（Ⅱ-</w:t>
            </w:r>
            <w:r>
              <w:rPr>
                <w:rFonts w:hint="eastAsia"/>
                <w:color w:val="000000" w:themeColor="text1"/>
                <w:highlight w:val="none"/>
              </w:rPr>
              <w:t>4</w:t>
            </w:r>
            <w:r>
              <w:rPr>
                <w:color w:val="000000" w:themeColor="text1"/>
                <w:highlight w:val="none"/>
              </w:rPr>
              <w:t>-4）</w:t>
            </w:r>
            <w:r>
              <w:rPr>
                <w:rFonts w:hint="eastAsia" w:ascii="宋体" w:hAnsi="宋体" w:cs="宋体"/>
                <w:color w:val="000000" w:themeColor="text1"/>
                <w:highlight w:val="none"/>
              </w:rPr>
              <w:t>”</w:t>
            </w:r>
            <w:r>
              <w:rPr>
                <w:color w:val="000000" w:themeColor="text1"/>
                <w:highlight w:val="none"/>
              </w:rPr>
              <w:t>，该区域主要生态环境问题、生态服务功能、建设方向及措施如下表所示。</w:t>
            </w: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ind w:firstLine="0" w:firstLineChars="0"/>
              <w:jc w:val="center"/>
              <w:rPr>
                <w:rFonts w:cs="宋体"/>
                <w:b/>
                <w:bCs/>
                <w:color w:val="000000" w:themeColor="text1"/>
                <w:sz w:val="21"/>
                <w:szCs w:val="21"/>
                <w:highlight w:val="none"/>
              </w:rPr>
            </w:pPr>
            <w:r>
              <w:rPr>
                <w:b/>
                <w:bCs/>
                <w:color w:val="000000" w:themeColor="text1"/>
                <w:sz w:val="21"/>
                <w:szCs w:val="21"/>
                <w:highlight w:val="none"/>
              </w:rPr>
              <w:t>表</w:t>
            </w:r>
            <w:r>
              <w:rPr>
                <w:rFonts w:hint="eastAsia"/>
                <w:b/>
                <w:bCs/>
                <w:color w:val="000000" w:themeColor="text1"/>
                <w:sz w:val="21"/>
                <w:szCs w:val="21"/>
                <w:highlight w:val="none"/>
              </w:rPr>
              <w:t>1-3</w:t>
            </w:r>
            <w:r>
              <w:rPr>
                <w:b/>
                <w:bCs/>
                <w:color w:val="000000" w:themeColor="text1"/>
                <w:sz w:val="21"/>
                <w:szCs w:val="21"/>
                <w:highlight w:val="none"/>
              </w:rPr>
              <w:t xml:space="preserve">  承德</w:t>
            </w:r>
            <w:r>
              <w:rPr>
                <w:rFonts w:hint="eastAsia" w:cs="宋体"/>
                <w:b/>
                <w:bCs/>
                <w:color w:val="000000" w:themeColor="text1"/>
                <w:sz w:val="21"/>
                <w:szCs w:val="21"/>
                <w:highlight w:val="none"/>
              </w:rPr>
              <w:t>市总体规划中生态功能区划相关功能分区</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04"/>
              <w:gridCol w:w="912"/>
              <w:gridCol w:w="1675"/>
              <w:gridCol w:w="975"/>
              <w:gridCol w:w="2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生态区</w:t>
                  </w:r>
                </w:p>
              </w:tc>
              <w:tc>
                <w:tcPr>
                  <w:tcW w:w="449"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生态亚区</w:t>
                  </w:r>
                </w:p>
              </w:tc>
              <w:tc>
                <w:tcPr>
                  <w:tcW w:w="582"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生态功能区</w:t>
                  </w:r>
                </w:p>
              </w:tc>
              <w:tc>
                <w:tcPr>
                  <w:tcW w:w="1068"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主要生态环境问题</w:t>
                  </w:r>
                </w:p>
              </w:tc>
              <w:tc>
                <w:tcPr>
                  <w:tcW w:w="622"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生态服务功能</w:t>
                  </w:r>
                </w:p>
              </w:tc>
              <w:tc>
                <w:tcPr>
                  <w:tcW w:w="1863"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冀北及燕山山地生态区Ⅱ</w:t>
                  </w:r>
                </w:p>
              </w:tc>
              <w:tc>
                <w:tcPr>
                  <w:tcW w:w="449"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燕山山地南部林果生态亚区</w:t>
                  </w:r>
                  <w:r>
                    <w:rPr>
                      <w:color w:val="000000" w:themeColor="text1"/>
                      <w:sz w:val="21"/>
                      <w:szCs w:val="21"/>
                      <w:highlight w:val="none"/>
                    </w:rPr>
                    <w:t>Ⅱ-</w:t>
                  </w:r>
                  <w:r>
                    <w:rPr>
                      <w:rFonts w:hint="eastAsia"/>
                      <w:color w:val="000000" w:themeColor="text1"/>
                      <w:sz w:val="21"/>
                      <w:szCs w:val="21"/>
                      <w:highlight w:val="none"/>
                    </w:rPr>
                    <w:t>4</w:t>
                  </w:r>
                </w:p>
              </w:tc>
              <w:tc>
                <w:tcPr>
                  <w:tcW w:w="582"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营子矿区矿山环境综合治理区</w:t>
                  </w:r>
                  <w:r>
                    <w:rPr>
                      <w:color w:val="000000" w:themeColor="text1"/>
                      <w:sz w:val="21"/>
                      <w:szCs w:val="21"/>
                      <w:highlight w:val="none"/>
                    </w:rPr>
                    <w:t>Ⅱ-</w:t>
                  </w:r>
                  <w:r>
                    <w:rPr>
                      <w:rFonts w:hint="eastAsia"/>
                      <w:color w:val="000000" w:themeColor="text1"/>
                      <w:sz w:val="21"/>
                      <w:szCs w:val="21"/>
                      <w:highlight w:val="none"/>
                    </w:rPr>
                    <w:t>4-4</w:t>
                  </w:r>
                </w:p>
              </w:tc>
              <w:tc>
                <w:tcPr>
                  <w:tcW w:w="1068"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本区矿产资源丰富，由于矿产开采量较人，引起植被破</w:t>
                  </w:r>
                  <w:r>
                    <w:rPr>
                      <w:rFonts w:hint="eastAsia"/>
                      <w:color w:val="000000" w:themeColor="text1"/>
                      <w:sz w:val="21"/>
                      <w:szCs w:val="21"/>
                      <w:highlight w:val="none"/>
                      <w:lang w:eastAsia="zh-CN"/>
                    </w:rPr>
                    <w:t>坏</w:t>
                  </w:r>
                  <w:r>
                    <w:rPr>
                      <w:rFonts w:hint="eastAsia"/>
                      <w:color w:val="000000" w:themeColor="text1"/>
                      <w:sz w:val="21"/>
                      <w:szCs w:val="21"/>
                      <w:highlight w:val="none"/>
                    </w:rPr>
                    <w:t>、环境污染、土地占用和水土流失，在西南部是铜矿远景开发区；东南部是铁矿远景开发区，加之本区地处地质灾害频发地区，矿产开发如果处理不当，会导致更严重的地质灾害</w:t>
                  </w:r>
                </w:p>
              </w:tc>
              <w:tc>
                <w:tcPr>
                  <w:tcW w:w="622"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长城遗址保护、地质灾害防治</w:t>
                  </w:r>
                </w:p>
                <w:p>
                  <w:pPr>
                    <w:spacing w:line="240" w:lineRule="auto"/>
                    <w:ind w:firstLine="0" w:firstLineChars="0"/>
                    <w:jc w:val="center"/>
                    <w:rPr>
                      <w:color w:val="000000" w:themeColor="text1"/>
                      <w:sz w:val="21"/>
                      <w:szCs w:val="21"/>
                      <w:highlight w:val="none"/>
                    </w:rPr>
                  </w:pPr>
                </w:p>
              </w:tc>
              <w:tc>
                <w:tcPr>
                  <w:tcW w:w="1863"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保护长城历史遗迹，加强矿产资源开发的管理和保护，制定矿产资源开发规划，做到矿产资源的有序、科学开采，避免资源的浪费。加大矿山废弃地生态重建监管力度，建立矿山生态恢复责任制和专项治理资金，确保废弃地及时得到生态恢复。加强水、土、林的综合治理，大力发展生态林、经济林，提高本区水源涵养、水土保持能力，改善生态环境。进行积极的地质灾害防治工作，积极发展农田防护林网，建设完善的防护林体系，调节农田小气候，提高农业系统抵御自然灾害的能力</w:t>
                  </w:r>
                </w:p>
              </w:tc>
            </w:tr>
          </w:tbl>
          <w:p>
            <w:pPr>
              <w:autoSpaceDE w:val="0"/>
              <w:autoSpaceDN w:val="0"/>
              <w:spacing w:before="120" w:beforeLines="50"/>
              <w:ind w:firstLine="480"/>
              <w:rPr>
                <w:color w:val="000000" w:themeColor="text1"/>
                <w:highlight w:val="none"/>
              </w:rPr>
            </w:pPr>
            <w:r>
              <w:rPr>
                <w:rFonts w:hint="eastAsia"/>
                <w:color w:val="000000" w:themeColor="text1"/>
                <w:highlight w:val="none"/>
              </w:rPr>
              <w:t>本项目不涉及长城保护遗迹，不属于矿产资源开发类项目，项目占用首都地区环线高速（G95）承德（李家营）至平谷（冀京界）段项目建设用地，不涉及林地及农田，与《承德市城市总体规划》（2016-2030）中的生态功能区划中该区域的生态服务功能和建设的方向不冲突。</w:t>
            </w:r>
          </w:p>
          <w:p>
            <w:pPr>
              <w:autoSpaceDE w:val="0"/>
              <w:autoSpaceDN w:val="0"/>
              <w:ind w:firstLine="482"/>
              <w:jc w:val="left"/>
              <w:rPr>
                <w:b/>
                <w:bCs/>
                <w:color w:val="000000" w:themeColor="text1"/>
                <w:highlight w:val="none"/>
              </w:rPr>
            </w:pPr>
            <w:r>
              <w:rPr>
                <w:rFonts w:hint="eastAsia"/>
                <w:b/>
                <w:bCs/>
                <w:color w:val="000000" w:themeColor="text1"/>
                <w:highlight w:val="none"/>
              </w:rPr>
              <w:t>四、《承德市生态环境保护“十四五”规划》</w:t>
            </w:r>
          </w:p>
          <w:p>
            <w:pPr>
              <w:pStyle w:val="2"/>
              <w:ind w:firstLine="480"/>
              <w:jc w:val="both"/>
              <w:rPr>
                <w:color w:val="000000" w:themeColor="text1"/>
                <w:highlight w:val="none"/>
              </w:rPr>
            </w:pPr>
            <w:r>
              <w:rPr>
                <w:color w:val="000000" w:themeColor="text1"/>
                <w:highlight w:val="none"/>
              </w:rPr>
              <w:t>根据《承德市生态环境保</w:t>
            </w:r>
            <w:r>
              <w:rPr>
                <w:rFonts w:hint="eastAsia" w:ascii="宋体" w:hAnsi="宋体" w:cs="宋体"/>
                <w:color w:val="000000" w:themeColor="text1"/>
                <w:highlight w:val="none"/>
              </w:rPr>
              <w:t>护“十四五”</w:t>
            </w:r>
            <w:r>
              <w:rPr>
                <w:color w:val="000000" w:themeColor="text1"/>
                <w:highlight w:val="none"/>
              </w:rPr>
              <w:t>规划》（承市政字[2022]16号）：规划指</w:t>
            </w:r>
            <w:r>
              <w:rPr>
                <w:rFonts w:hint="eastAsia" w:ascii="宋体" w:hAnsi="宋体" w:cs="宋体"/>
                <w:color w:val="000000" w:themeColor="text1"/>
                <w:highlight w:val="none"/>
              </w:rPr>
              <w:t>出“大力推进挥发性有机物和氮氧化物协同减排。以化工、涂装、医药、包装印刷、油品储运销等行</w:t>
            </w:r>
            <w:r>
              <w:rPr>
                <w:color w:val="000000" w:themeColor="text1"/>
                <w:highlight w:val="none"/>
              </w:rPr>
              <w:t>业领域为重点，安全高效推进重点行业领域挥发性有机物综合治理，实施原辅材料和产品源头替代，加强重点行业工艺过程无组织排放控制和末端废气治理，提升企业生产工艺和VOCs污染防治水平，完善挥发性有机物污染源自动监测</w:t>
            </w:r>
            <w:r>
              <w:rPr>
                <w:rFonts w:hint="eastAsia" w:ascii="宋体" w:hAnsi="宋体" w:cs="宋体"/>
                <w:color w:val="000000" w:themeColor="text1"/>
                <w:highlight w:val="none"/>
              </w:rPr>
              <w:t>体系。”</w:t>
            </w:r>
            <w:r>
              <w:rPr>
                <w:color w:val="000000" w:themeColor="text1"/>
                <w:highlight w:val="none"/>
              </w:rPr>
              <w:t>本项目沥青废气引入</w:t>
            </w:r>
            <w:r>
              <w:rPr>
                <w:rFonts w:hint="eastAsia" w:ascii="宋体" w:hAnsi="宋体" w:cs="宋体"/>
                <w:color w:val="000000" w:themeColor="text1"/>
                <w:highlight w:val="none"/>
              </w:rPr>
              <w:t>“两级活性炭吸附”装</w:t>
            </w:r>
            <w:r>
              <w:rPr>
                <w:color w:val="000000" w:themeColor="text1"/>
                <w:highlight w:val="none"/>
              </w:rPr>
              <w:t>置进行净化</w:t>
            </w:r>
            <w:r>
              <w:rPr>
                <w:rFonts w:hint="eastAsia"/>
                <w:color w:val="000000" w:themeColor="text1"/>
                <w:highlight w:val="none"/>
              </w:rPr>
              <w:t>，净化后高空</w:t>
            </w:r>
            <w:r>
              <w:rPr>
                <w:color w:val="000000" w:themeColor="text1"/>
                <w:highlight w:val="none"/>
              </w:rPr>
              <w:t>排放；</w:t>
            </w:r>
            <w:r>
              <w:rPr>
                <w:rFonts w:hint="eastAsia"/>
                <w:color w:val="000000" w:themeColor="text1"/>
                <w:highlight w:val="none"/>
              </w:rPr>
              <w:t>烘干滚筒及</w:t>
            </w:r>
            <w:r>
              <w:rPr>
                <w:color w:val="000000" w:themeColor="text1"/>
                <w:highlight w:val="none"/>
              </w:rPr>
              <w:t>导热油炉设置低氮燃烧器，废气</w:t>
            </w:r>
            <w:r>
              <w:rPr>
                <w:rFonts w:hint="eastAsia"/>
                <w:color w:val="000000" w:themeColor="text1"/>
                <w:highlight w:val="none"/>
              </w:rPr>
              <w:t>高空</w:t>
            </w:r>
            <w:r>
              <w:rPr>
                <w:color w:val="000000" w:themeColor="text1"/>
                <w:highlight w:val="none"/>
              </w:rPr>
              <w:t>排放。通过上述治理措施，可使挥发性有机物和氮氧化物达标排放，符合规划要求。</w:t>
            </w:r>
          </w:p>
          <w:p>
            <w:pPr>
              <w:autoSpaceDE w:val="0"/>
              <w:autoSpaceDN w:val="0"/>
              <w:ind w:firstLine="482"/>
              <w:jc w:val="left"/>
              <w:rPr>
                <w:b/>
                <w:bCs/>
                <w:color w:val="000000" w:themeColor="text1"/>
                <w:highlight w:val="none"/>
              </w:rPr>
            </w:pPr>
            <w:r>
              <w:rPr>
                <w:rFonts w:hint="eastAsia"/>
                <w:b/>
                <w:bCs/>
                <w:color w:val="000000" w:themeColor="text1"/>
                <w:highlight w:val="none"/>
              </w:rPr>
              <w:t>五、《兴隆县生态文明建设规划（2020-2025）》</w:t>
            </w:r>
          </w:p>
          <w:p>
            <w:pPr>
              <w:pStyle w:val="2"/>
              <w:ind w:firstLine="480"/>
              <w:jc w:val="both"/>
              <w:rPr>
                <w:color w:val="000000" w:themeColor="text1"/>
                <w:highlight w:val="none"/>
              </w:rPr>
            </w:pPr>
            <w:r>
              <w:rPr>
                <w:rFonts w:hint="eastAsia"/>
                <w:color w:val="000000" w:themeColor="text1"/>
                <w:highlight w:val="none"/>
              </w:rPr>
              <w:t>根据《兴隆县生态文明建设规划（2020-2025）》：规划指出“重点对含VOCs物料储存、转移和输送、设备与管线组件泄漏、敞开液面逸散以及工艺过程等五类排放源实施管控，加强设备与场所密闭管理，削减VOCs无组织排放”。</w:t>
            </w:r>
          </w:p>
          <w:p>
            <w:pPr>
              <w:pStyle w:val="2"/>
              <w:ind w:firstLine="480"/>
              <w:jc w:val="both"/>
              <w:rPr>
                <w:color w:val="000000" w:themeColor="text1"/>
                <w:highlight w:val="none"/>
              </w:rPr>
            </w:pPr>
            <w:r>
              <w:rPr>
                <w:color w:val="000000" w:themeColor="text1"/>
                <w:highlight w:val="none"/>
              </w:rPr>
              <w:t>本项目</w:t>
            </w:r>
            <w:r>
              <w:rPr>
                <w:rFonts w:hint="eastAsia"/>
                <w:color w:val="000000" w:themeColor="text1"/>
                <w:highlight w:val="none"/>
              </w:rPr>
              <w:t>产生VOCs的物料主要为沥青，沥青储运、转移、输送过程均采用密闭设施，不涉及敞开液面逸散，生产过程中</w:t>
            </w:r>
            <w:r>
              <w:rPr>
                <w:color w:val="000000" w:themeColor="text1"/>
                <w:highlight w:val="none"/>
              </w:rPr>
              <w:t>沥青废气引入</w:t>
            </w:r>
            <w:r>
              <w:rPr>
                <w:rFonts w:hint="eastAsia" w:ascii="宋体" w:hAnsi="宋体" w:cs="宋体"/>
                <w:color w:val="000000" w:themeColor="text1"/>
                <w:highlight w:val="none"/>
              </w:rPr>
              <w:t>“两级活性炭吸附”装</w:t>
            </w:r>
            <w:r>
              <w:rPr>
                <w:color w:val="000000" w:themeColor="text1"/>
                <w:highlight w:val="none"/>
              </w:rPr>
              <w:t>置进行净化</w:t>
            </w:r>
            <w:r>
              <w:rPr>
                <w:rFonts w:hint="eastAsia"/>
                <w:color w:val="000000" w:themeColor="text1"/>
                <w:highlight w:val="none"/>
              </w:rPr>
              <w:t>，净化后高空</w:t>
            </w:r>
            <w:r>
              <w:rPr>
                <w:color w:val="000000" w:themeColor="text1"/>
                <w:highlight w:val="none"/>
              </w:rPr>
              <w:t>排放。通过上述治理措施，可使挥发性有机物达标排放，符合规划要求</w:t>
            </w:r>
            <w:r>
              <w:rPr>
                <w:rFonts w:hint="eastAsia"/>
                <w:color w:val="000000" w:themeColor="text1"/>
                <w:highlight w:val="none"/>
              </w:rPr>
              <w:t>。</w:t>
            </w:r>
          </w:p>
          <w:p>
            <w:pPr>
              <w:numPr>
                <w:ilvl w:val="0"/>
                <w:numId w:val="2"/>
              </w:numPr>
              <w:autoSpaceDE w:val="0"/>
              <w:autoSpaceDN w:val="0"/>
              <w:ind w:firstLine="482"/>
              <w:jc w:val="left"/>
              <w:rPr>
                <w:rFonts w:hint="eastAsia"/>
                <w:b/>
                <w:bCs/>
                <w:color w:val="000000" w:themeColor="text1"/>
                <w:highlight w:val="none"/>
                <w:lang w:val="en-US" w:eastAsia="zh-CN"/>
              </w:rPr>
            </w:pPr>
            <w:r>
              <w:rPr>
                <w:rFonts w:hint="eastAsia"/>
                <w:b/>
                <w:bCs/>
                <w:color w:val="000000" w:themeColor="text1"/>
                <w:highlight w:val="none"/>
                <w:lang w:val="en-US" w:eastAsia="zh-CN"/>
              </w:rPr>
              <w:t>产业政策符合性</w:t>
            </w:r>
          </w:p>
          <w:p>
            <w:pPr>
              <w:pStyle w:val="2"/>
              <w:ind w:firstLine="480"/>
              <w:jc w:val="both"/>
              <w:rPr>
                <w:rFonts w:hint="eastAsia" w:eastAsia="宋体"/>
                <w:color w:val="000000" w:themeColor="text1"/>
                <w:highlight w:val="none"/>
                <w:lang w:val="en-US" w:eastAsia="zh-CN"/>
              </w:rPr>
            </w:pPr>
            <w:r>
              <w:rPr>
                <w:rFonts w:hint="eastAsia"/>
                <w:color w:val="000000" w:themeColor="text1"/>
                <w:highlight w:val="none"/>
              </w:rPr>
              <w:t>本项目</w:t>
            </w:r>
            <w:r>
              <w:rPr>
                <w:rFonts w:hint="eastAsia"/>
                <w:color w:val="000000" w:themeColor="text1"/>
                <w:highlight w:val="none"/>
                <w:lang w:val="en-US" w:eastAsia="zh-CN"/>
              </w:rPr>
              <w:t>不属于</w:t>
            </w:r>
            <w:r>
              <w:rPr>
                <w:rFonts w:hint="eastAsia"/>
                <w:color w:val="000000" w:themeColor="text1"/>
                <w:highlight w:val="none"/>
              </w:rPr>
              <w:t>《产业结构调整指导目录(20</w:t>
            </w:r>
            <w:r>
              <w:rPr>
                <w:rFonts w:hint="eastAsia"/>
                <w:color w:val="000000" w:themeColor="text1"/>
                <w:highlight w:val="none"/>
                <w:lang w:val="en-US" w:eastAsia="zh-CN"/>
              </w:rPr>
              <w:t>24</w:t>
            </w:r>
            <w:r>
              <w:rPr>
                <w:rFonts w:hint="eastAsia"/>
                <w:color w:val="000000" w:themeColor="text1"/>
                <w:highlight w:val="none"/>
              </w:rPr>
              <w:t>年本)》鼓励类、限制类、淘汰类</w:t>
            </w:r>
            <w:r>
              <w:rPr>
                <w:rFonts w:hint="eastAsia"/>
                <w:color w:val="000000" w:themeColor="text1"/>
                <w:highlight w:val="none"/>
                <w:lang w:val="en-US" w:eastAsia="zh-CN"/>
              </w:rPr>
              <w:t>项目</w:t>
            </w:r>
            <w:r>
              <w:rPr>
                <w:rFonts w:hint="eastAsia"/>
                <w:color w:val="000000" w:themeColor="text1"/>
                <w:highlight w:val="none"/>
              </w:rPr>
              <w:t>；不属于《市场准入负面清单（2022年版）》，本项目于2023年4月</w:t>
            </w:r>
            <w:r>
              <w:rPr>
                <w:rFonts w:hint="eastAsia"/>
                <w:color w:val="000000" w:themeColor="text1"/>
                <w:highlight w:val="none"/>
                <w:lang w:val="en-US" w:eastAsia="zh-CN"/>
              </w:rPr>
              <w:t>19</w:t>
            </w:r>
            <w:r>
              <w:rPr>
                <w:rFonts w:hint="eastAsia"/>
                <w:color w:val="000000" w:themeColor="text1"/>
                <w:highlight w:val="none"/>
              </w:rPr>
              <w:t>日在</w:t>
            </w:r>
            <w:r>
              <w:rPr>
                <w:rFonts w:hint="eastAsia"/>
                <w:color w:val="000000" w:themeColor="text1"/>
                <w:highlight w:val="none"/>
                <w:lang w:val="en-US" w:eastAsia="zh-CN"/>
              </w:rPr>
              <w:t>兴隆县</w:t>
            </w:r>
            <w:r>
              <w:rPr>
                <w:rFonts w:hint="eastAsia"/>
                <w:color w:val="000000" w:themeColor="text1"/>
                <w:highlight w:val="none"/>
              </w:rPr>
              <w:t>行政审批局进行了备案（备案文号为：</w:t>
            </w:r>
            <w:r>
              <w:rPr>
                <w:color w:val="000000" w:themeColor="text1"/>
                <w:kern w:val="21"/>
                <w:highlight w:val="none"/>
              </w:rPr>
              <w:t>兴审批投字[202</w:t>
            </w:r>
            <w:r>
              <w:rPr>
                <w:rFonts w:hint="eastAsia"/>
                <w:color w:val="000000" w:themeColor="text1"/>
                <w:kern w:val="21"/>
                <w:highlight w:val="none"/>
              </w:rPr>
              <w:t>3</w:t>
            </w:r>
            <w:r>
              <w:rPr>
                <w:color w:val="000000" w:themeColor="text1"/>
                <w:kern w:val="21"/>
                <w:highlight w:val="none"/>
              </w:rPr>
              <w:t>]</w:t>
            </w:r>
            <w:r>
              <w:rPr>
                <w:rFonts w:hint="eastAsia"/>
                <w:color w:val="000000" w:themeColor="text1"/>
                <w:kern w:val="21"/>
                <w:highlight w:val="none"/>
              </w:rPr>
              <w:t>72</w:t>
            </w:r>
            <w:r>
              <w:rPr>
                <w:color w:val="000000" w:themeColor="text1"/>
                <w:kern w:val="21"/>
                <w:highlight w:val="none"/>
              </w:rPr>
              <w:t>号</w:t>
            </w:r>
            <w:r>
              <w:rPr>
                <w:rFonts w:hint="eastAsia"/>
                <w:color w:val="000000" w:themeColor="text1"/>
                <w:highlight w:val="none"/>
              </w:rPr>
              <w:t>）。综上所述，本项目建设符合国家及地方产业政策要求</w:t>
            </w:r>
            <w:r>
              <w:rPr>
                <w:rFonts w:hint="eastAsia"/>
                <w:color w:val="000000" w:themeColor="text1"/>
                <w:highlight w:val="none"/>
                <w:lang w:eastAsia="zh-CN"/>
              </w:rPr>
              <w:t>。</w:t>
            </w:r>
          </w:p>
          <w:p>
            <w:pPr>
              <w:autoSpaceDE w:val="0"/>
              <w:autoSpaceDN w:val="0"/>
              <w:ind w:firstLine="482"/>
              <w:jc w:val="left"/>
              <w:rPr>
                <w:b/>
                <w:bCs/>
                <w:color w:val="000000" w:themeColor="text1"/>
                <w:highlight w:val="none"/>
              </w:rPr>
            </w:pPr>
            <w:r>
              <w:rPr>
                <w:rFonts w:hint="eastAsia"/>
                <w:b/>
                <w:bCs/>
                <w:color w:val="000000" w:themeColor="text1"/>
                <w:highlight w:val="none"/>
                <w:lang w:val="en-US" w:eastAsia="zh-CN"/>
              </w:rPr>
              <w:t>七</w:t>
            </w:r>
            <w:r>
              <w:rPr>
                <w:rFonts w:hint="eastAsia"/>
                <w:b/>
                <w:bCs/>
                <w:color w:val="000000" w:themeColor="text1"/>
                <w:highlight w:val="none"/>
              </w:rPr>
              <w:t>、选址合理性</w:t>
            </w:r>
          </w:p>
          <w:p>
            <w:pPr>
              <w:pStyle w:val="2"/>
              <w:ind w:firstLine="480"/>
              <w:jc w:val="both"/>
              <w:rPr>
                <w:color w:val="000000" w:themeColor="text1"/>
                <w:highlight w:val="none"/>
              </w:rPr>
            </w:pPr>
            <w:r>
              <w:rPr>
                <w:rFonts w:hint="eastAsia"/>
                <w:color w:val="000000" w:themeColor="text1"/>
                <w:kern w:val="21"/>
                <w:highlight w:val="none"/>
              </w:rPr>
              <w:t>潍坊市成达公路工程有限公司前苇塘村沥青拌合站项目</w:t>
            </w:r>
            <w:r>
              <w:rPr>
                <w:rFonts w:hint="eastAsia"/>
                <w:color w:val="000000" w:themeColor="text1"/>
                <w:highlight w:val="none"/>
              </w:rPr>
              <w:t>位于河北省承德市兴隆县六道河镇前苇塘村，占地面积9200m</w:t>
            </w:r>
            <w:r>
              <w:rPr>
                <w:rFonts w:hint="eastAsia"/>
                <w:color w:val="000000" w:themeColor="text1"/>
                <w:highlight w:val="none"/>
                <w:vertAlign w:val="superscript"/>
              </w:rPr>
              <w:t>2</w:t>
            </w:r>
            <w:r>
              <w:rPr>
                <w:rFonts w:hint="eastAsia"/>
                <w:color w:val="000000" w:themeColor="text1"/>
                <w:highlight w:val="none"/>
              </w:rPr>
              <w:t>，占地性质为首都地区环线高速（G95）承德（李家营）至平谷（冀京界）段项目（以下简称承平高速项目）建设用地。承平高速项目已取得河北省人民政府建设用地批复文件，批复文号：冀政转征函[2022]56号。本项目为高速项目配套工程，产品仅供承平高速使用，不对外销售，待承平高速项目建设完成后进行拆除，拆除后该地块用于建设承平高速养护工区。2023年4月20日中交路桥建设有限公司首环高速承平段LM2标项目经理部出具该项目用地说明（详见附件）。2023年5月8日六道河镇人民政府出具批复，同意该项目建设（详见附件）。综上项目选址合理。</w:t>
            </w:r>
          </w:p>
          <w:p>
            <w:pPr>
              <w:pStyle w:val="2"/>
              <w:ind w:firstLine="480"/>
              <w:jc w:val="both"/>
              <w:rPr>
                <w:color w:val="000000" w:themeColor="text1"/>
                <w:highlight w:val="none"/>
              </w:rPr>
            </w:pPr>
          </w:p>
          <w:p>
            <w:pPr>
              <w:pStyle w:val="2"/>
              <w:ind w:firstLine="480"/>
              <w:jc w:val="both"/>
              <w:rPr>
                <w:color w:val="000000" w:themeColor="text1"/>
                <w:highlight w:val="none"/>
              </w:rPr>
            </w:pPr>
          </w:p>
          <w:p>
            <w:pPr>
              <w:pStyle w:val="2"/>
              <w:ind w:firstLine="480"/>
              <w:jc w:val="both"/>
              <w:rPr>
                <w:color w:val="000000" w:themeColor="text1"/>
                <w:highlight w:val="none"/>
              </w:rPr>
            </w:pPr>
          </w:p>
          <w:p>
            <w:pPr>
              <w:pStyle w:val="2"/>
              <w:ind w:firstLine="480"/>
              <w:jc w:val="both"/>
              <w:rPr>
                <w:color w:val="000000" w:themeColor="text1"/>
                <w:highlight w:val="none"/>
              </w:rPr>
            </w:pPr>
          </w:p>
          <w:p>
            <w:pPr>
              <w:pStyle w:val="2"/>
              <w:ind w:firstLine="0" w:firstLineChars="0"/>
              <w:jc w:val="both"/>
              <w:rPr>
                <w:color w:val="000000" w:themeColor="text1"/>
                <w:highlight w:val="none"/>
              </w:rPr>
            </w:pPr>
          </w:p>
        </w:tc>
      </w:tr>
    </w:tbl>
    <w:p>
      <w:pPr>
        <w:ind w:firstLine="600"/>
        <w:outlineLvl w:val="0"/>
        <w:rPr>
          <w:rFonts w:eastAsia="黑体"/>
          <w:color w:val="000000" w:themeColor="text1"/>
          <w:kern w:val="21"/>
          <w:sz w:val="30"/>
        </w:rPr>
        <w:sectPr>
          <w:footerReference r:id="rId12" w:type="default"/>
          <w:pgSz w:w="11906" w:h="16838"/>
          <w:pgMar w:top="1417" w:right="1531" w:bottom="1701" w:left="1531" w:header="851" w:footer="1077" w:gutter="0"/>
          <w:pgNumType w:start="2"/>
          <w:cols w:space="720" w:num="1"/>
          <w:docGrid w:linePitch="312" w:charSpace="0"/>
        </w:sectPr>
      </w:pPr>
    </w:p>
    <w:p>
      <w:pPr>
        <w:pStyle w:val="18"/>
        <w:spacing w:before="120" w:beforeLines="50" w:beforeAutospacing="0" w:after="120" w:afterLines="50" w:afterAutospacing="0"/>
        <w:ind w:firstLine="0" w:firstLineChars="0"/>
        <w:jc w:val="center"/>
        <w:outlineLvl w:val="0"/>
        <w:rPr>
          <w:rFonts w:ascii="黑体" w:hAnsi="黑体" w:eastAsia="黑体"/>
          <w:snapToGrid w:val="0"/>
          <w:color w:val="000000" w:themeColor="text1"/>
          <w:kern w:val="21"/>
          <w:sz w:val="30"/>
          <w:szCs w:val="30"/>
        </w:rPr>
      </w:pPr>
      <w:r>
        <w:rPr>
          <w:rFonts w:hint="eastAsia" w:ascii="黑体" w:hAnsi="黑体" w:eastAsia="黑体"/>
          <w:snapToGrid w:val="0"/>
          <w:color w:val="000000" w:themeColor="text1"/>
          <w:kern w:val="21"/>
          <w:sz w:val="30"/>
          <w:szCs w:val="30"/>
        </w:rPr>
        <w:t>二、建设项目工程分析</w:t>
      </w:r>
    </w:p>
    <w:tbl>
      <w:tblPr>
        <w:tblStyle w:val="22"/>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6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414" w:type="dxa"/>
            <w:noWrap/>
            <w:vAlign w:val="center"/>
          </w:tcPr>
          <w:p>
            <w:pPr>
              <w:pStyle w:val="18"/>
              <w:spacing w:before="0" w:beforeAutospacing="0" w:after="0" w:afterAutospacing="0"/>
              <w:ind w:firstLine="0" w:firstLineChars="0"/>
              <w:jc w:val="center"/>
              <w:rPr>
                <w:rFonts w:cs="宋体"/>
                <w:color w:val="000000" w:themeColor="text1"/>
                <w:kern w:val="21"/>
                <w:sz w:val="21"/>
                <w:szCs w:val="21"/>
                <w:highlight w:val="none"/>
              </w:rPr>
            </w:pPr>
            <w:r>
              <w:rPr>
                <w:rFonts w:hint="eastAsia" w:cs="宋体"/>
                <w:color w:val="000000" w:themeColor="text1"/>
                <w:kern w:val="21"/>
                <w:szCs w:val="24"/>
                <w:highlight w:val="none"/>
              </w:rPr>
              <w:t>建设内容</w:t>
            </w:r>
          </w:p>
        </w:tc>
        <w:tc>
          <w:tcPr>
            <w:tcW w:w="8646" w:type="dxa"/>
            <w:noWrap/>
            <w:vAlign w:val="center"/>
          </w:tcPr>
          <w:p>
            <w:pPr>
              <w:ind w:firstLine="482"/>
              <w:rPr>
                <w:b/>
                <w:color w:val="000000" w:themeColor="text1"/>
                <w:highlight w:val="none"/>
              </w:rPr>
            </w:pPr>
            <w:r>
              <w:rPr>
                <w:rFonts w:hint="eastAsia"/>
                <w:b/>
                <w:color w:val="000000" w:themeColor="text1"/>
                <w:highlight w:val="none"/>
              </w:rPr>
              <w:t>项目由来</w:t>
            </w:r>
          </w:p>
          <w:p>
            <w:pPr>
              <w:ind w:firstLine="480"/>
              <w:rPr>
                <w:color w:val="000000" w:themeColor="text1"/>
                <w:highlight w:val="none"/>
              </w:rPr>
            </w:pPr>
            <w:r>
              <w:rPr>
                <w:rFonts w:hint="eastAsia"/>
                <w:color w:val="000000" w:themeColor="text1"/>
                <w:highlight w:val="none"/>
              </w:rPr>
              <w:t>首都地区环线高速公路河北省承德(李家营)至平谷(冀京界)段工程位于河北省承德市兴隆县、鹰手营子矿区境内，所经过的乡镇包括李家营镇、北营房镇、鹰手营子镇、平安堡镇、雾灵山镇、兴隆镇、六道河镇、青松岭镇、陡子峪乡9个乡镇。该项目环境影响评价文件经河北省环境保护厅以冀环评 [2018]227号予以批复。2020年4月26日中华人民共和国交通运输部以交公路函[2020]287号对该项目初步设计予以批复。后在详细设计、建设过程中对路线进行了优化调整，编制了《首都地区环线高速公路河北省承德 (李家营)至平谷(冀京界)段工程变更环境影响报告书》，2023年5月8日承德市行政审批局以承审批字[2023]152号对该报告书进行批复，变更后建设内容包括1条高速主线和4条连接线(分别为鹰手营子连接线、雾灵山连接线、兴隆连接线、青松岭连接线)。主线在长深高速公路既有李家营互通与长深高速公路相接，并依据交通转换需求对现状长深高速公路李家营互通 (服务型)增设承德平谷方向匝道，改造为枢纽互通；线路止于兴隆县陡子峪乡水厂村南 (冀京界)，主线全长59.176km，采用设计速度80km/h，路基宽度33m，双向六车道高速公路标准。四条连接线全长18.525km (鹰手营子连接线1.852km、雾灵山连接线7.845km、兴隆连接线4.548km、青松岭连接线 4.280km)，其中一级公路长10.565km，二级公路长7.96km，均采用设计速度60km/h。全线共设特大桥3座、大桥29座、中桥7座、小桥20座、涵洞62道，设置服务区2处，停车区1处，养护工区2处，匝道收费站5处，隧道管理站3处，监控通信分中心1处。承平高速项目已纳入《国家公路网规划 (2013年-2030年)》、《河北省普通干线公路网布局规划(2013-2030年)》、《河北省公路发展“十四五” 规划》及《承德市“十四五”交通规划(2021年-2025年)》中。路线穿越生态保护红线0.4827hm</w:t>
            </w:r>
            <w:r>
              <w:rPr>
                <w:rFonts w:hint="eastAsia"/>
                <w:color w:val="000000" w:themeColor="text1"/>
                <w:highlight w:val="none"/>
                <w:vertAlign w:val="superscript"/>
              </w:rPr>
              <w:t>2</w:t>
            </w:r>
            <w:r>
              <w:rPr>
                <w:rFonts w:hint="eastAsia"/>
                <w:color w:val="000000" w:themeColor="text1"/>
                <w:highlight w:val="none"/>
              </w:rPr>
              <w:t>，河北省人民政府已出具了关于本项目占用生态保护红线不可避让性论证意见的函。主线以隧道形式穿越明长城樟作段，国家文物局已出具了关于本项目穿越明长城的意见，原则同意项目的实施。主线以隧道、桥梁、路基方式穿越转轴沟水源地(又称兴隆第三饮用水源地) 二级保护区、小跳沟饮用水源地二级保护区、扁担沟水源地二级保护区和准保护区，兴隆县人民政府、鹰手营子矿区人民政府分别出具了同意项目穿越饮用水源地二级保护区和准保护区的意见。</w:t>
            </w:r>
          </w:p>
          <w:p>
            <w:pPr>
              <w:ind w:firstLine="480"/>
              <w:rPr>
                <w:color w:val="000000" w:themeColor="text1"/>
                <w:highlight w:val="none"/>
              </w:rPr>
            </w:pPr>
            <w:r>
              <w:rPr>
                <w:rFonts w:hint="eastAsia"/>
                <w:color w:val="000000" w:themeColor="text1"/>
                <w:highlight w:val="none"/>
              </w:rPr>
              <w:t>首都地区环线高速公路河北省承德 (李家营)至平谷(冀京界)段工程（以下简称承平高速）的建设使沥青混凝土用量增加，为满足建设需求，2023年4月，潍坊市成达公路工程有限公司决定建设潍坊市成达公路工程有限公司前苇塘村沥青拌合站项目，该项目位于承平高速项目建设用地范围内，项目占地面积9200m</w:t>
            </w:r>
            <w:r>
              <w:rPr>
                <w:rFonts w:hint="eastAsia"/>
                <w:color w:val="000000" w:themeColor="text1"/>
                <w:highlight w:val="none"/>
                <w:vertAlign w:val="superscript"/>
              </w:rPr>
              <w:t>2</w:t>
            </w:r>
            <w:r>
              <w:rPr>
                <w:rFonts w:hint="eastAsia"/>
                <w:color w:val="000000" w:themeColor="text1"/>
                <w:highlight w:val="none"/>
              </w:rPr>
              <w:t>，为高速项目配套工程，产品不对外销售，待承平高速项目建设完成后进行拆除，拆除后该地块用于建设承平高速养护工区。2023年4月20日中交路桥建设有限公司首环高速承平段LM2标项目经理部出具该项目用地说明（详见附件），2023年5月8日六道河人民政府出具批复，同意该项目建设（详见附件）。</w:t>
            </w:r>
          </w:p>
          <w:p>
            <w:pPr>
              <w:ind w:firstLine="482"/>
              <w:rPr>
                <w:b/>
                <w:color w:val="000000" w:themeColor="text1"/>
                <w:highlight w:val="none"/>
              </w:rPr>
            </w:pPr>
            <w:r>
              <w:rPr>
                <w:rFonts w:hint="eastAsia"/>
                <w:b/>
                <w:color w:val="000000" w:themeColor="text1"/>
                <w:highlight w:val="none"/>
              </w:rPr>
              <w:t>1、工程内容</w:t>
            </w:r>
          </w:p>
          <w:p>
            <w:pPr>
              <w:widowControl/>
              <w:ind w:firstLine="480"/>
              <w:jc w:val="left"/>
              <w:rPr>
                <w:color w:val="000000" w:themeColor="text1"/>
                <w:highlight w:val="none"/>
              </w:rPr>
            </w:pPr>
            <w:r>
              <w:rPr>
                <w:rFonts w:hint="eastAsia"/>
                <w:color w:val="000000" w:themeColor="text1"/>
                <w:kern w:val="21"/>
                <w:highlight w:val="none"/>
              </w:rPr>
              <w:t>潍坊市成达公路工程有限公司前苇塘村沥青拌合站项目</w:t>
            </w:r>
            <w:r>
              <w:rPr>
                <w:rFonts w:hint="eastAsia"/>
                <w:color w:val="000000" w:themeColor="text1"/>
                <w:kern w:val="0"/>
                <w:highlight w:val="none"/>
              </w:rPr>
              <w:t>位于</w:t>
            </w:r>
            <w:r>
              <w:rPr>
                <w:rFonts w:hint="eastAsia"/>
                <w:color w:val="000000" w:themeColor="text1"/>
                <w:highlight w:val="none"/>
              </w:rPr>
              <w:t>河北省承德市兴隆县六道河镇前苇塘村，占地面积9200m</w:t>
            </w:r>
            <w:r>
              <w:rPr>
                <w:rFonts w:hint="eastAsia"/>
                <w:color w:val="000000" w:themeColor="text1"/>
                <w:highlight w:val="none"/>
                <w:vertAlign w:val="superscript"/>
              </w:rPr>
              <w:t>2</w:t>
            </w:r>
            <w:r>
              <w:rPr>
                <w:rFonts w:hint="eastAsia"/>
                <w:color w:val="000000" w:themeColor="text1"/>
                <w:highlight w:val="none"/>
              </w:rPr>
              <w:t>，占地性质为承平高速项目建设用地。项目北侧紧邻在建的承平高速；东侧隔路为承平高速配套建设的水稳站；南侧紧邻承平高速配套建设的桥梁厂。本项目</w:t>
            </w:r>
            <w:r>
              <w:rPr>
                <w:rFonts w:hint="eastAsia"/>
                <w:color w:val="000000" w:themeColor="text1"/>
                <w:kern w:val="0"/>
                <w:highlight w:val="none"/>
              </w:rPr>
              <w:t>是服务于承平高速项目的沥青拌合站，生产的沥青不对外进行销售，仅供承平高速项目建设使用。承平高速路面沥青铺设预计在2024年8月完工，本项目待承平高速项目建设完成后进行拆除，拆除后该地块用于建设承平高速养护工区。</w:t>
            </w:r>
            <w:r>
              <w:rPr>
                <w:color w:val="000000" w:themeColor="text1"/>
                <w:highlight w:val="none"/>
              </w:rPr>
              <w:t>主要建设内容详见下表</w:t>
            </w:r>
            <w:r>
              <w:rPr>
                <w:rFonts w:hint="eastAsia"/>
                <w:color w:val="000000" w:themeColor="text1"/>
                <w:highlight w:val="none"/>
              </w:rPr>
              <w:t>。</w:t>
            </w:r>
          </w:p>
          <w:p>
            <w:pPr>
              <w:ind w:firstLine="0" w:firstLineChars="0"/>
              <w:jc w:val="center"/>
              <w:rPr>
                <w:rStyle w:val="27"/>
                <w:color w:val="000000" w:themeColor="text1"/>
                <w:highlight w:val="none"/>
              </w:rPr>
            </w:pPr>
            <w:r>
              <w:rPr>
                <w:rStyle w:val="27"/>
                <w:color w:val="000000" w:themeColor="text1"/>
                <w:highlight w:val="none"/>
              </w:rPr>
              <w:t>表</w:t>
            </w:r>
            <w:r>
              <w:rPr>
                <w:rStyle w:val="27"/>
                <w:rFonts w:hint="eastAsia"/>
                <w:color w:val="000000" w:themeColor="text1"/>
                <w:highlight w:val="none"/>
              </w:rPr>
              <w:t>2-1</w:t>
            </w:r>
            <w:r>
              <w:rPr>
                <w:rStyle w:val="27"/>
                <w:color w:val="000000" w:themeColor="text1"/>
                <w:highlight w:val="none"/>
              </w:rPr>
              <w:t xml:space="preserve">  </w:t>
            </w:r>
            <w:r>
              <w:rPr>
                <w:rFonts w:hint="eastAsia"/>
                <w:b/>
                <w:bCs/>
                <w:color w:val="000000" w:themeColor="text1"/>
                <w:sz w:val="21"/>
                <w:szCs w:val="21"/>
                <w:highlight w:val="none"/>
              </w:rPr>
              <w:t>本项目</w:t>
            </w:r>
            <w:r>
              <w:rPr>
                <w:b/>
                <w:bCs/>
                <w:color w:val="000000" w:themeColor="text1"/>
                <w:sz w:val="21"/>
                <w:szCs w:val="21"/>
                <w:highlight w:val="none"/>
              </w:rPr>
              <w:t>主要建设内容一览表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35"/>
              <w:gridCol w:w="1320"/>
              <w:gridCol w:w="5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pPr>
                    <w:pStyle w:val="53"/>
                    <w:spacing w:line="240" w:lineRule="auto"/>
                    <w:rPr>
                      <w:b/>
                      <w:bCs/>
                      <w:color w:val="000000" w:themeColor="text1"/>
                      <w:highlight w:val="none"/>
                    </w:rPr>
                  </w:pPr>
                  <w:r>
                    <w:rPr>
                      <w:b/>
                      <w:bCs/>
                      <w:color w:val="000000" w:themeColor="text1"/>
                      <w:highlight w:val="none"/>
                    </w:rPr>
                    <w:t>序号</w:t>
                  </w:r>
                </w:p>
              </w:tc>
              <w:tc>
                <w:tcPr>
                  <w:tcW w:w="436" w:type="pct"/>
                  <w:vAlign w:val="center"/>
                </w:tcPr>
                <w:p>
                  <w:pPr>
                    <w:pStyle w:val="53"/>
                    <w:spacing w:line="240" w:lineRule="auto"/>
                    <w:rPr>
                      <w:b/>
                      <w:bCs/>
                      <w:color w:val="000000" w:themeColor="text1"/>
                      <w:highlight w:val="none"/>
                    </w:rPr>
                  </w:pPr>
                  <w:r>
                    <w:rPr>
                      <w:b/>
                      <w:bCs/>
                      <w:color w:val="000000" w:themeColor="text1"/>
                      <w:highlight w:val="none"/>
                    </w:rPr>
                    <w:t>工程类型</w:t>
                  </w:r>
                </w:p>
              </w:tc>
              <w:tc>
                <w:tcPr>
                  <w:tcW w:w="784" w:type="pct"/>
                  <w:vAlign w:val="center"/>
                </w:tcPr>
                <w:p>
                  <w:pPr>
                    <w:pStyle w:val="53"/>
                    <w:spacing w:line="240" w:lineRule="auto"/>
                    <w:rPr>
                      <w:b/>
                      <w:bCs/>
                      <w:color w:val="000000" w:themeColor="text1"/>
                      <w:highlight w:val="none"/>
                    </w:rPr>
                  </w:pPr>
                  <w:r>
                    <w:rPr>
                      <w:b/>
                      <w:bCs/>
                      <w:color w:val="000000" w:themeColor="text1"/>
                      <w:highlight w:val="none"/>
                    </w:rPr>
                    <w:t>名称</w:t>
                  </w:r>
                </w:p>
              </w:tc>
              <w:tc>
                <w:tcPr>
                  <w:tcW w:w="3392" w:type="pct"/>
                  <w:vAlign w:val="center"/>
                </w:tcPr>
                <w:p>
                  <w:pPr>
                    <w:pStyle w:val="53"/>
                    <w:spacing w:line="240" w:lineRule="auto"/>
                    <w:rPr>
                      <w:b/>
                      <w:bCs/>
                      <w:color w:val="000000" w:themeColor="text1"/>
                      <w:highlight w:val="none"/>
                    </w:rPr>
                  </w:pPr>
                  <w:r>
                    <w:rPr>
                      <w:b/>
                      <w:bCs/>
                      <w:color w:val="000000" w:themeColor="text1"/>
                      <w:highlight w:val="none"/>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pPr>
                    <w:pStyle w:val="53"/>
                    <w:spacing w:line="240" w:lineRule="auto"/>
                    <w:rPr>
                      <w:color w:val="000000" w:themeColor="text1"/>
                      <w:highlight w:val="none"/>
                    </w:rPr>
                  </w:pPr>
                  <w:r>
                    <w:rPr>
                      <w:color w:val="000000" w:themeColor="text1"/>
                      <w:highlight w:val="none"/>
                    </w:rPr>
                    <w:t>1</w:t>
                  </w:r>
                </w:p>
              </w:tc>
              <w:tc>
                <w:tcPr>
                  <w:tcW w:w="436" w:type="pct"/>
                  <w:vAlign w:val="center"/>
                </w:tcPr>
                <w:p>
                  <w:pPr>
                    <w:pStyle w:val="53"/>
                    <w:spacing w:line="240" w:lineRule="auto"/>
                    <w:rPr>
                      <w:color w:val="000000" w:themeColor="text1"/>
                      <w:highlight w:val="none"/>
                    </w:rPr>
                  </w:pPr>
                  <w:r>
                    <w:rPr>
                      <w:color w:val="000000" w:themeColor="text1"/>
                      <w:highlight w:val="none"/>
                    </w:rPr>
                    <w:t>主体工程</w:t>
                  </w:r>
                </w:p>
              </w:tc>
              <w:tc>
                <w:tcPr>
                  <w:tcW w:w="784" w:type="pct"/>
                  <w:vAlign w:val="center"/>
                </w:tcPr>
                <w:p>
                  <w:pPr>
                    <w:pStyle w:val="53"/>
                    <w:spacing w:line="240" w:lineRule="auto"/>
                    <w:rPr>
                      <w:color w:val="000000" w:themeColor="text1"/>
                      <w:highlight w:val="none"/>
                    </w:rPr>
                  </w:pPr>
                  <w:r>
                    <w:rPr>
                      <w:rFonts w:hint="eastAsia"/>
                      <w:color w:val="000000" w:themeColor="text1"/>
                      <w:highlight w:val="none"/>
                    </w:rPr>
                    <w:t>沥青拌合站</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rPr>
                    <w:t>新建</w:t>
                  </w:r>
                  <w:r>
                    <w:rPr>
                      <w:color w:val="000000" w:themeColor="text1"/>
                      <w:highlight w:val="none"/>
                    </w:rPr>
                    <w:t>沥青拌合站1座，</w:t>
                  </w:r>
                  <w:r>
                    <w:rPr>
                      <w:rFonts w:hint="eastAsia"/>
                      <w:color w:val="000000" w:themeColor="text1"/>
                      <w:highlight w:val="none"/>
                    </w:rPr>
                    <w:t>占地面积800m</w:t>
                  </w:r>
                  <w:r>
                    <w:rPr>
                      <w:rFonts w:hint="eastAsia"/>
                      <w:color w:val="000000" w:themeColor="text1"/>
                      <w:highlight w:val="none"/>
                      <w:vertAlign w:val="superscript"/>
                    </w:rPr>
                    <w:t>2</w:t>
                  </w:r>
                  <w:r>
                    <w:rPr>
                      <w:rFonts w:hint="eastAsia"/>
                      <w:color w:val="000000" w:themeColor="text1"/>
                      <w:highlight w:val="none"/>
                    </w:rPr>
                    <w:t>，包括骨料预处理系统、沥青预处理系统、粉料供应系统、计量系统、拌合系统等，用于生产沥青混合料，其中搅拌楼高度24m</w:t>
                  </w:r>
                  <w:r>
                    <w:rPr>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restart"/>
                  <w:vAlign w:val="center"/>
                </w:tcPr>
                <w:p>
                  <w:pPr>
                    <w:pStyle w:val="53"/>
                    <w:spacing w:line="240" w:lineRule="auto"/>
                    <w:rPr>
                      <w:color w:val="000000" w:themeColor="text1"/>
                      <w:highlight w:val="none"/>
                    </w:rPr>
                  </w:pPr>
                  <w:r>
                    <w:rPr>
                      <w:color w:val="000000" w:themeColor="text1"/>
                      <w:highlight w:val="none"/>
                    </w:rPr>
                    <w:t>2</w:t>
                  </w:r>
                </w:p>
              </w:tc>
              <w:tc>
                <w:tcPr>
                  <w:tcW w:w="436" w:type="pct"/>
                  <w:vMerge w:val="restart"/>
                  <w:vAlign w:val="center"/>
                </w:tcPr>
                <w:p>
                  <w:pPr>
                    <w:pStyle w:val="53"/>
                    <w:spacing w:line="240" w:lineRule="auto"/>
                    <w:rPr>
                      <w:color w:val="000000" w:themeColor="text1"/>
                      <w:highlight w:val="none"/>
                    </w:rPr>
                  </w:pPr>
                  <w:r>
                    <w:rPr>
                      <w:color w:val="000000" w:themeColor="text1"/>
                      <w:highlight w:val="none"/>
                    </w:rPr>
                    <w:t>辅助工程</w:t>
                  </w:r>
                </w:p>
              </w:tc>
              <w:tc>
                <w:tcPr>
                  <w:tcW w:w="784" w:type="pct"/>
                  <w:vAlign w:val="center"/>
                </w:tcPr>
                <w:p>
                  <w:pPr>
                    <w:pStyle w:val="53"/>
                    <w:spacing w:line="240" w:lineRule="auto"/>
                    <w:rPr>
                      <w:color w:val="000000" w:themeColor="text1"/>
                      <w:highlight w:val="none"/>
                    </w:rPr>
                  </w:pPr>
                  <w:r>
                    <w:rPr>
                      <w:rFonts w:hint="eastAsia"/>
                      <w:color w:val="000000" w:themeColor="text1"/>
                      <w:highlight w:val="none"/>
                    </w:rPr>
                    <w:t>入料仓</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rPr>
                    <w:t>1座，内设6个单独骨料入料仓，入料仓入口设置在原料库房内，每个入料仓容积18m</w:t>
                  </w:r>
                  <w:r>
                    <w:rPr>
                      <w:rFonts w:hint="eastAsia"/>
                      <w:color w:val="000000" w:themeColor="text1"/>
                      <w:highlight w:val="none"/>
                      <w:vertAlign w:val="superscript"/>
                    </w:rPr>
                    <w:t>3</w:t>
                  </w:r>
                  <w:r>
                    <w:rPr>
                      <w:rFonts w:hint="eastAsia"/>
                      <w:color w:val="000000" w:themeColor="text1"/>
                      <w:highlight w:val="none"/>
                    </w:rPr>
                    <w:t>，入料仓底部接封闭计量称及皮带输送装置，入料仓设置软帘和水喷淋装置。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rFonts w:hint="default" w:eastAsia="宋体"/>
                      <w:color w:val="000000" w:themeColor="text1"/>
                      <w:highlight w:val="none"/>
                      <w:lang w:val="en-US" w:eastAsia="zh-CN"/>
                    </w:rPr>
                  </w:pPr>
                  <w:r>
                    <w:rPr>
                      <w:rFonts w:hint="eastAsia"/>
                      <w:color w:val="000000" w:themeColor="text1"/>
                      <w:highlight w:val="none"/>
                      <w:lang w:val="en-US" w:eastAsia="zh-CN"/>
                    </w:rPr>
                    <w:t>烘干滚筒</w:t>
                  </w:r>
                </w:p>
              </w:tc>
              <w:tc>
                <w:tcPr>
                  <w:tcW w:w="3392" w:type="pct"/>
                  <w:vAlign w:val="center"/>
                </w:tcPr>
                <w:p>
                  <w:pPr>
                    <w:spacing w:line="240" w:lineRule="auto"/>
                    <w:ind w:firstLine="0" w:firstLineChars="0"/>
                    <w:jc w:val="left"/>
                    <w:rPr>
                      <w:rFonts w:hint="default" w:eastAsia="宋体"/>
                      <w:color w:val="000000" w:themeColor="text1"/>
                      <w:highlight w:val="none"/>
                      <w:lang w:val="en-US" w:eastAsia="zh-CN"/>
                    </w:rPr>
                  </w:pPr>
                  <w:r>
                    <w:rPr>
                      <w:rFonts w:hint="eastAsia"/>
                      <w:color w:val="000000" w:themeColor="text1"/>
                      <w:sz w:val="21"/>
                      <w:szCs w:val="21"/>
                      <w:highlight w:val="none"/>
                      <w:lang w:val="en-US" w:eastAsia="zh-CN"/>
                    </w:rPr>
                    <w:t>设烘干滚筒一台，</w:t>
                  </w:r>
                  <w:r>
                    <w:rPr>
                      <w:rFonts w:hint="eastAsia"/>
                      <w:color w:val="000000" w:themeColor="text1"/>
                      <w:sz w:val="21"/>
                      <w:szCs w:val="21"/>
                      <w:highlight w:val="none"/>
                    </w:rPr>
                    <w:t>直径2700mm，长度11070mm</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并配套安装低氮燃烧器一台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highlight w:val="none"/>
                    </w:rPr>
                  </w:pPr>
                  <w:r>
                    <w:rPr>
                      <w:rFonts w:hint="eastAsia"/>
                      <w:color w:val="000000" w:themeColor="text1"/>
                      <w:highlight w:val="none"/>
                    </w:rPr>
                    <w:t>锅炉房</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rPr>
                    <w:t>单层，砖混结构，占地面积50m</w:t>
                  </w:r>
                  <w:r>
                    <w:rPr>
                      <w:rFonts w:hint="eastAsia"/>
                      <w:color w:val="000000" w:themeColor="text1"/>
                      <w:highlight w:val="none"/>
                      <w:vertAlign w:val="superscript"/>
                    </w:rPr>
                    <w:t>2</w:t>
                  </w:r>
                  <w:r>
                    <w:rPr>
                      <w:rFonts w:hint="eastAsia"/>
                      <w:color w:val="000000" w:themeColor="text1"/>
                      <w:highlight w:val="none"/>
                    </w:rPr>
                    <w:t>，用于放置导热油炉。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restart"/>
                  <w:vAlign w:val="center"/>
                </w:tcPr>
                <w:p>
                  <w:pPr>
                    <w:pStyle w:val="53"/>
                    <w:spacing w:line="240" w:lineRule="auto"/>
                    <w:rPr>
                      <w:color w:val="000000" w:themeColor="text1"/>
                      <w:highlight w:val="none"/>
                    </w:rPr>
                  </w:pPr>
                  <w:r>
                    <w:rPr>
                      <w:color w:val="000000" w:themeColor="text1"/>
                      <w:highlight w:val="none"/>
                    </w:rPr>
                    <w:t>3</w:t>
                  </w:r>
                </w:p>
              </w:tc>
              <w:tc>
                <w:tcPr>
                  <w:tcW w:w="436" w:type="pct"/>
                  <w:vMerge w:val="restart"/>
                  <w:vAlign w:val="center"/>
                </w:tcPr>
                <w:p>
                  <w:pPr>
                    <w:pStyle w:val="53"/>
                    <w:spacing w:line="240" w:lineRule="auto"/>
                    <w:rPr>
                      <w:color w:val="000000" w:themeColor="text1"/>
                      <w:highlight w:val="none"/>
                    </w:rPr>
                  </w:pPr>
                  <w:r>
                    <w:rPr>
                      <w:rFonts w:hint="eastAsia"/>
                      <w:color w:val="000000" w:themeColor="text1"/>
                      <w:highlight w:val="none"/>
                    </w:rPr>
                    <w:t>储运工程</w:t>
                  </w:r>
                </w:p>
              </w:tc>
              <w:tc>
                <w:tcPr>
                  <w:tcW w:w="784" w:type="pct"/>
                  <w:vAlign w:val="center"/>
                </w:tcPr>
                <w:p>
                  <w:pPr>
                    <w:pStyle w:val="53"/>
                    <w:spacing w:line="240" w:lineRule="auto"/>
                    <w:rPr>
                      <w:color w:val="000000" w:themeColor="text1"/>
                      <w:kern w:val="0"/>
                      <w:highlight w:val="none"/>
                    </w:rPr>
                  </w:pPr>
                  <w:r>
                    <w:rPr>
                      <w:rFonts w:hint="eastAsia"/>
                      <w:color w:val="000000" w:themeColor="text1"/>
                      <w:highlight w:val="none"/>
                    </w:rPr>
                    <w:t>原料库房</w:t>
                  </w:r>
                </w:p>
              </w:tc>
              <w:tc>
                <w:tcPr>
                  <w:tcW w:w="3392" w:type="pct"/>
                  <w:vAlign w:val="center"/>
                </w:tcPr>
                <w:p>
                  <w:pPr>
                    <w:pStyle w:val="53"/>
                    <w:spacing w:line="240" w:lineRule="auto"/>
                    <w:jc w:val="left"/>
                    <w:rPr>
                      <w:bCs/>
                      <w:color w:val="000000" w:themeColor="text1"/>
                      <w:kern w:val="44"/>
                      <w:highlight w:val="none"/>
                    </w:rPr>
                  </w:pPr>
                  <w:r>
                    <w:rPr>
                      <w:rFonts w:hint="eastAsia"/>
                      <w:bCs/>
                      <w:color w:val="000000" w:themeColor="text1"/>
                      <w:kern w:val="44"/>
                      <w:highlight w:val="none"/>
                    </w:rPr>
                    <w:t>1座，总占地面积为6900m</w:t>
                  </w:r>
                  <w:r>
                    <w:rPr>
                      <w:bCs/>
                      <w:color w:val="000000" w:themeColor="text1"/>
                      <w:kern w:val="44"/>
                      <w:highlight w:val="none"/>
                      <w:vertAlign w:val="superscript"/>
                    </w:rPr>
                    <w:t>2</w:t>
                  </w:r>
                  <w:r>
                    <w:rPr>
                      <w:rFonts w:hint="eastAsia"/>
                      <w:bCs/>
                      <w:color w:val="000000" w:themeColor="text1"/>
                      <w:kern w:val="44"/>
                      <w:highlight w:val="none"/>
                    </w:rPr>
                    <w:t>，位于厂区北侧，内部分割为7间，用于存放不同粒径的骨料。原料库均为单层彩钢结构，层高12m。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highlight w:val="none"/>
                    </w:rPr>
                  </w:pPr>
                  <w:r>
                    <w:rPr>
                      <w:rFonts w:hint="eastAsia"/>
                      <w:color w:val="000000" w:themeColor="text1"/>
                      <w:highlight w:val="none"/>
                    </w:rPr>
                    <w:t>L</w:t>
                  </w:r>
                  <w:r>
                    <w:rPr>
                      <w:color w:val="000000" w:themeColor="text1"/>
                      <w:highlight w:val="none"/>
                    </w:rPr>
                    <w:t>NG</w:t>
                  </w:r>
                  <w:r>
                    <w:rPr>
                      <w:rFonts w:hint="eastAsia"/>
                      <w:color w:val="000000" w:themeColor="text1"/>
                      <w:highlight w:val="none"/>
                    </w:rPr>
                    <w:t>储罐</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rPr>
                    <w:t>1处，项目骨料</w:t>
                  </w:r>
                  <w:r>
                    <w:rPr>
                      <w:rFonts w:hint="eastAsia"/>
                      <w:color w:val="000000" w:themeColor="text1"/>
                      <w:highlight w:val="none"/>
                      <w:lang w:val="en-US" w:eastAsia="zh-CN"/>
                    </w:rPr>
                    <w:t>预热、</w:t>
                  </w:r>
                  <w:r>
                    <w:rPr>
                      <w:rFonts w:hint="eastAsia"/>
                      <w:color w:val="000000" w:themeColor="text1"/>
                      <w:highlight w:val="none"/>
                    </w:rPr>
                    <w:t>导热油炉加热均采用天然气为热源，需采用储罐的形式供气，项目设置LNG储罐2个，容积均为56m</w:t>
                  </w:r>
                  <w:r>
                    <w:rPr>
                      <w:rFonts w:hint="eastAsia"/>
                      <w:color w:val="000000" w:themeColor="text1"/>
                      <w:highlight w:val="none"/>
                      <w:vertAlign w:val="superscript"/>
                    </w:rPr>
                    <w:t>3</w:t>
                  </w:r>
                  <w:r>
                    <w:rPr>
                      <w:rFonts w:hint="eastAsia"/>
                      <w:color w:val="000000" w:themeColor="text1"/>
                      <w:highlight w:val="none"/>
                    </w:rPr>
                    <w:t>，配备天然气气化器及供气管路。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1"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highlight w:val="none"/>
                    </w:rPr>
                  </w:pPr>
                  <w:r>
                    <w:rPr>
                      <w:rFonts w:hint="eastAsia"/>
                      <w:color w:val="000000" w:themeColor="text1"/>
                      <w:highlight w:val="none"/>
                    </w:rPr>
                    <w:t>沥青储罐区</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lang w:val="en-US" w:eastAsia="zh-CN"/>
                    </w:rPr>
                    <w:t>沥青储罐区设沥青储罐</w:t>
                  </w:r>
                  <w:r>
                    <w:rPr>
                      <w:rFonts w:hint="eastAsia"/>
                      <w:color w:val="000000" w:themeColor="text1"/>
                      <w:highlight w:val="none"/>
                    </w:rPr>
                    <w:t>6个，卧式，兼做加热罐，每个容积为50m</w:t>
                  </w:r>
                  <w:r>
                    <w:rPr>
                      <w:rFonts w:hint="eastAsia"/>
                      <w:color w:val="000000" w:themeColor="text1"/>
                      <w:highlight w:val="none"/>
                      <w:vertAlign w:val="superscript"/>
                    </w:rPr>
                    <w:t>3</w:t>
                  </w:r>
                  <w:r>
                    <w:rPr>
                      <w:rFonts w:hint="eastAsia"/>
                      <w:color w:val="000000" w:themeColor="text1"/>
                      <w:highlight w:val="none"/>
                    </w:rPr>
                    <w:t>。设置导热油炉一个，热源为天然气，以导热油作为载体，通过封闭管道间接加热沥青储罐，导热油炉燃烧机配套安装1台低氮燃烧器，烟气经一根15m高排气筒排放。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highlight w:val="none"/>
                    </w:rPr>
                  </w:pPr>
                  <w:r>
                    <w:rPr>
                      <w:rFonts w:hint="eastAsia"/>
                      <w:color w:val="000000" w:themeColor="text1"/>
                      <w:highlight w:val="none"/>
                    </w:rPr>
                    <w:t>导热油储罐</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rPr>
                    <w:t>厂区设导热油储罐1个，容积6m</w:t>
                  </w:r>
                  <w:r>
                    <w:rPr>
                      <w:rFonts w:hint="eastAsia"/>
                      <w:color w:val="000000" w:themeColor="text1"/>
                      <w:highlight w:val="none"/>
                      <w:vertAlign w:val="superscript"/>
                    </w:rPr>
                    <w:t>3</w:t>
                  </w:r>
                  <w:r>
                    <w:rPr>
                      <w:rFonts w:hint="eastAsia"/>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highlight w:val="none"/>
                    </w:rPr>
                  </w:pPr>
                  <w:r>
                    <w:rPr>
                      <w:rFonts w:hint="eastAsia"/>
                      <w:color w:val="000000" w:themeColor="text1"/>
                      <w:highlight w:val="none"/>
                    </w:rPr>
                    <w:t>矿粉筒仓</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rPr>
                    <w:t>1个，容积80m</w:t>
                  </w:r>
                  <w:r>
                    <w:rPr>
                      <w:rFonts w:hint="eastAsia"/>
                      <w:color w:val="000000" w:themeColor="text1"/>
                      <w:highlight w:val="none"/>
                      <w:vertAlign w:val="superscript"/>
                    </w:rPr>
                    <w:t>3</w:t>
                  </w:r>
                  <w:r>
                    <w:rPr>
                      <w:rFonts w:hint="eastAsia"/>
                      <w:color w:val="000000" w:themeColor="text1"/>
                      <w:highlight w:val="none"/>
                    </w:rPr>
                    <w:t>，高14m，用于存放矿粉，筒仓顶部自带单机布袋除尘器，废气经17m高排气筒排放。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restart"/>
                  <w:vAlign w:val="center"/>
                </w:tcPr>
                <w:p>
                  <w:pPr>
                    <w:pStyle w:val="53"/>
                    <w:spacing w:line="240" w:lineRule="auto"/>
                    <w:rPr>
                      <w:color w:val="000000" w:themeColor="text1"/>
                      <w:highlight w:val="none"/>
                    </w:rPr>
                  </w:pPr>
                  <w:r>
                    <w:rPr>
                      <w:color w:val="000000" w:themeColor="text1"/>
                      <w:highlight w:val="none"/>
                    </w:rPr>
                    <w:t>4</w:t>
                  </w:r>
                </w:p>
              </w:tc>
              <w:tc>
                <w:tcPr>
                  <w:tcW w:w="436" w:type="pct"/>
                  <w:vMerge w:val="restart"/>
                  <w:vAlign w:val="center"/>
                </w:tcPr>
                <w:p>
                  <w:pPr>
                    <w:pStyle w:val="53"/>
                    <w:spacing w:line="240" w:lineRule="auto"/>
                    <w:rPr>
                      <w:color w:val="000000" w:themeColor="text1"/>
                      <w:highlight w:val="none"/>
                    </w:rPr>
                  </w:pPr>
                  <w:r>
                    <w:rPr>
                      <w:color w:val="000000" w:themeColor="text1"/>
                      <w:highlight w:val="none"/>
                    </w:rPr>
                    <w:t>公用工程</w:t>
                  </w:r>
                </w:p>
              </w:tc>
              <w:tc>
                <w:tcPr>
                  <w:tcW w:w="784" w:type="pct"/>
                  <w:vAlign w:val="center"/>
                </w:tcPr>
                <w:p>
                  <w:pPr>
                    <w:pStyle w:val="53"/>
                    <w:spacing w:line="240" w:lineRule="auto"/>
                    <w:rPr>
                      <w:color w:val="000000" w:themeColor="text1"/>
                      <w:highlight w:val="none"/>
                    </w:rPr>
                  </w:pPr>
                  <w:r>
                    <w:rPr>
                      <w:color w:val="000000" w:themeColor="text1"/>
                      <w:highlight w:val="none"/>
                    </w:rPr>
                    <w:t>给水</w:t>
                  </w:r>
                  <w:r>
                    <w:rPr>
                      <w:rFonts w:hint="eastAsia"/>
                      <w:color w:val="000000" w:themeColor="text1"/>
                      <w:highlight w:val="none"/>
                    </w:rPr>
                    <w:t>工程</w:t>
                  </w:r>
                </w:p>
              </w:tc>
              <w:tc>
                <w:tcPr>
                  <w:tcW w:w="3392" w:type="pct"/>
                  <w:vAlign w:val="center"/>
                </w:tcPr>
                <w:p>
                  <w:pPr>
                    <w:spacing w:line="240" w:lineRule="auto"/>
                    <w:ind w:firstLine="0" w:firstLineChars="0"/>
                    <w:jc w:val="left"/>
                    <w:rPr>
                      <w:color w:val="000000" w:themeColor="text1"/>
                      <w:sz w:val="21"/>
                      <w:szCs w:val="21"/>
                      <w:highlight w:val="none"/>
                    </w:rPr>
                  </w:pPr>
                  <w:r>
                    <w:rPr>
                      <w:rFonts w:hint="eastAsia"/>
                      <w:color w:val="000000" w:themeColor="text1"/>
                      <w:sz w:val="21"/>
                      <w:szCs w:val="21"/>
                      <w:highlight w:val="none"/>
                    </w:rPr>
                    <w:t>项目用水由厂区自备水井提供</w:t>
                  </w:r>
                  <w:r>
                    <w:rPr>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highlight w:val="none"/>
                    </w:rPr>
                  </w:pPr>
                  <w:r>
                    <w:rPr>
                      <w:color w:val="000000" w:themeColor="text1"/>
                      <w:highlight w:val="none"/>
                    </w:rPr>
                    <w:t>排水</w:t>
                  </w:r>
                  <w:r>
                    <w:rPr>
                      <w:rFonts w:hint="eastAsia"/>
                      <w:color w:val="000000" w:themeColor="text1"/>
                      <w:highlight w:val="none"/>
                    </w:rPr>
                    <w:t>工程</w:t>
                  </w:r>
                </w:p>
              </w:tc>
              <w:tc>
                <w:tcPr>
                  <w:tcW w:w="3392" w:type="pct"/>
                  <w:vAlign w:val="center"/>
                </w:tcPr>
                <w:p>
                  <w:pPr>
                    <w:widowControl/>
                    <w:spacing w:line="240" w:lineRule="auto"/>
                    <w:ind w:firstLine="0" w:firstLineChars="0"/>
                    <w:jc w:val="left"/>
                    <w:rPr>
                      <w:color w:val="000000" w:themeColor="text1"/>
                      <w:sz w:val="21"/>
                      <w:szCs w:val="21"/>
                      <w:highlight w:val="none"/>
                    </w:rPr>
                  </w:pPr>
                  <w:r>
                    <w:rPr>
                      <w:rFonts w:hint="eastAsia"/>
                      <w:color w:val="000000" w:themeColor="text1"/>
                      <w:sz w:val="21"/>
                      <w:szCs w:val="21"/>
                      <w:highlight w:val="none"/>
                    </w:rPr>
                    <w:t>项目无生产废水产生，</w:t>
                  </w:r>
                  <w:r>
                    <w:rPr>
                      <w:rFonts w:hint="eastAsia"/>
                      <w:color w:val="000000" w:themeColor="text1"/>
                      <w:sz w:val="21"/>
                      <w:szCs w:val="21"/>
                      <w:highlight w:val="none"/>
                      <w:lang w:val="en-US" w:eastAsia="zh-CN"/>
                    </w:rPr>
                    <w:t>厂区员工由承平高速LM1标项目经理部内部调剂，不新增劳动定员，无生活污水产生</w:t>
                  </w: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highlight w:val="none"/>
                    </w:rPr>
                  </w:pPr>
                  <w:r>
                    <w:rPr>
                      <w:color w:val="000000" w:themeColor="text1"/>
                      <w:highlight w:val="none"/>
                    </w:rPr>
                    <w:t>供电</w:t>
                  </w:r>
                  <w:r>
                    <w:rPr>
                      <w:rFonts w:hint="eastAsia"/>
                      <w:color w:val="000000" w:themeColor="text1"/>
                      <w:highlight w:val="none"/>
                    </w:rPr>
                    <w:t>工程</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rPr>
                    <w:t>项目由六道河镇电网供电</w:t>
                  </w:r>
                  <w:r>
                    <w:rPr>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highlight w:val="none"/>
                    </w:rPr>
                  </w:pPr>
                  <w:r>
                    <w:rPr>
                      <w:color w:val="000000" w:themeColor="text1"/>
                      <w:highlight w:val="none"/>
                    </w:rPr>
                    <w:t>供</w:t>
                  </w:r>
                  <w:r>
                    <w:rPr>
                      <w:rFonts w:hint="eastAsia"/>
                      <w:color w:val="000000" w:themeColor="text1"/>
                      <w:highlight w:val="none"/>
                    </w:rPr>
                    <w:t>热工程</w:t>
                  </w: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rPr>
                    <w:t>项目生产过程用热设备主要是导热油炉、烘干滚筒等，热源由LNG天然气储罐提供。原料库房冬季无需供暖。本项目不设化验室，办公用房依托LM1标项目经理部。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restart"/>
                  <w:vAlign w:val="center"/>
                </w:tcPr>
                <w:p>
                  <w:pPr>
                    <w:pStyle w:val="53"/>
                    <w:spacing w:line="240" w:lineRule="auto"/>
                    <w:rPr>
                      <w:color w:val="000000" w:themeColor="text1"/>
                      <w:highlight w:val="none"/>
                    </w:rPr>
                  </w:pPr>
                  <w:r>
                    <w:rPr>
                      <w:color w:val="000000" w:themeColor="text1"/>
                      <w:highlight w:val="none"/>
                    </w:rPr>
                    <w:t>5</w:t>
                  </w:r>
                </w:p>
              </w:tc>
              <w:tc>
                <w:tcPr>
                  <w:tcW w:w="436" w:type="pct"/>
                  <w:vMerge w:val="restart"/>
                  <w:vAlign w:val="center"/>
                </w:tcPr>
                <w:p>
                  <w:pPr>
                    <w:pStyle w:val="53"/>
                    <w:spacing w:line="240" w:lineRule="auto"/>
                    <w:rPr>
                      <w:color w:val="000000" w:themeColor="text1"/>
                      <w:highlight w:val="none"/>
                    </w:rPr>
                  </w:pPr>
                  <w:r>
                    <w:rPr>
                      <w:color w:val="000000" w:themeColor="text1"/>
                      <w:highlight w:val="none"/>
                    </w:rPr>
                    <w:t>环保工程</w:t>
                  </w:r>
                </w:p>
              </w:tc>
              <w:tc>
                <w:tcPr>
                  <w:tcW w:w="784" w:type="pct"/>
                  <w:vMerge w:val="restar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废气</w:t>
                  </w:r>
                </w:p>
              </w:tc>
              <w:tc>
                <w:tcPr>
                  <w:tcW w:w="3392" w:type="pct"/>
                  <w:vAlign w:val="center"/>
                </w:tcPr>
                <w:p>
                  <w:pPr>
                    <w:spacing w:line="240" w:lineRule="auto"/>
                    <w:ind w:firstLine="0" w:firstLineChars="0"/>
                    <w:jc w:val="left"/>
                    <w:rPr>
                      <w:color w:val="000000" w:themeColor="text1"/>
                      <w:sz w:val="21"/>
                      <w:szCs w:val="21"/>
                      <w:highlight w:val="none"/>
                    </w:rPr>
                  </w:pPr>
                  <w:r>
                    <w:rPr>
                      <w:rFonts w:hint="eastAsia"/>
                      <w:color w:val="000000" w:themeColor="text1"/>
                      <w:sz w:val="21"/>
                      <w:szCs w:val="21"/>
                      <w:highlight w:val="none"/>
                    </w:rPr>
                    <w:t>原料库封闭，洒水降尘，粉尘无组织排放。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392" w:type="pct"/>
                  <w:vAlign w:val="center"/>
                </w:tcPr>
                <w:p>
                  <w:pPr>
                    <w:spacing w:line="240" w:lineRule="auto"/>
                    <w:ind w:firstLine="0" w:firstLineChars="0"/>
                    <w:jc w:val="left"/>
                    <w:rPr>
                      <w:rFonts w:hint="default" w:eastAsia="宋体"/>
                      <w:color w:val="000000" w:themeColor="text1"/>
                      <w:sz w:val="21"/>
                      <w:szCs w:val="21"/>
                      <w:highlight w:val="none"/>
                      <w:lang w:val="en-US" w:eastAsia="zh-CN"/>
                    </w:rPr>
                  </w:pPr>
                  <w:r>
                    <w:rPr>
                      <w:rFonts w:hint="eastAsia"/>
                      <w:color w:val="000000" w:themeColor="text1"/>
                      <w:sz w:val="21"/>
                      <w:szCs w:val="21"/>
                      <w:highlight w:val="none"/>
                    </w:rPr>
                    <w:t>入料仓设置软帘和水喷淋装置，粉尘无组织排放</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皮带输送廊道进行封闭。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392" w:type="pct"/>
                  <w:vAlign w:val="center"/>
                </w:tcPr>
                <w:p>
                  <w:pPr>
                    <w:spacing w:line="240" w:lineRule="auto"/>
                    <w:ind w:firstLine="0" w:firstLineChars="0"/>
                    <w:jc w:val="left"/>
                    <w:rPr>
                      <w:bCs/>
                      <w:color w:val="000000" w:themeColor="text1"/>
                      <w:sz w:val="21"/>
                      <w:szCs w:val="21"/>
                      <w:highlight w:val="none"/>
                    </w:rPr>
                  </w:pPr>
                  <w:r>
                    <w:rPr>
                      <w:rFonts w:hint="eastAsia"/>
                      <w:bCs/>
                      <w:color w:val="000000" w:themeColor="text1"/>
                      <w:sz w:val="21"/>
                      <w:szCs w:val="21"/>
                      <w:highlight w:val="none"/>
                    </w:rPr>
                    <w:t>烘干滚筒设置低氮燃烧器1台，燃烧废气和</w:t>
                  </w:r>
                  <w:r>
                    <w:rPr>
                      <w:rFonts w:hint="eastAsia"/>
                      <w:bCs/>
                      <w:color w:val="000000" w:themeColor="text1"/>
                      <w:sz w:val="21"/>
                      <w:szCs w:val="21"/>
                      <w:highlight w:val="none"/>
                      <w:lang w:val="en-US" w:eastAsia="zh-CN"/>
                    </w:rPr>
                    <w:t>骨料筛分</w:t>
                  </w:r>
                  <w:r>
                    <w:rPr>
                      <w:rFonts w:hint="eastAsia"/>
                      <w:bCs/>
                      <w:color w:val="000000" w:themeColor="text1"/>
                      <w:sz w:val="21"/>
                      <w:szCs w:val="21"/>
                      <w:highlight w:val="none"/>
                    </w:rPr>
                    <w:t>废气引至一套</w:t>
                  </w:r>
                  <w:r>
                    <w:rPr>
                      <w:rFonts w:hint="eastAsia"/>
                      <w:color w:val="000000" w:themeColor="text1"/>
                      <w:sz w:val="21"/>
                      <w:szCs w:val="21"/>
                      <w:highlight w:val="none"/>
                    </w:rPr>
                    <w:t>布袋除尘器处理，净化后由1根15m高排气筒（DA001）排放。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392" w:type="pct"/>
                  <w:vAlign w:val="center"/>
                </w:tcPr>
                <w:p>
                  <w:pPr>
                    <w:widowControl/>
                    <w:spacing w:line="240" w:lineRule="auto"/>
                    <w:ind w:firstLine="0" w:firstLineChars="0"/>
                    <w:jc w:val="left"/>
                    <w:rPr>
                      <w:color w:val="000000" w:themeColor="text1"/>
                      <w:sz w:val="21"/>
                      <w:szCs w:val="21"/>
                      <w:highlight w:val="none"/>
                    </w:rPr>
                  </w:pPr>
                  <w:r>
                    <w:rPr>
                      <w:rFonts w:hint="eastAsia"/>
                      <w:color w:val="000000" w:themeColor="text1"/>
                      <w:sz w:val="21"/>
                      <w:szCs w:val="21"/>
                      <w:highlight w:val="none"/>
                      <w:lang w:val="en-US" w:eastAsia="zh-CN"/>
                    </w:rPr>
                    <w:t>沥青</w:t>
                  </w:r>
                  <w:r>
                    <w:rPr>
                      <w:rFonts w:hint="eastAsia"/>
                      <w:color w:val="000000" w:themeColor="text1"/>
                      <w:sz w:val="21"/>
                      <w:szCs w:val="21"/>
                      <w:highlight w:val="none"/>
                    </w:rPr>
                    <w:t>储罐呼吸口</w:t>
                  </w:r>
                  <w:r>
                    <w:rPr>
                      <w:rFonts w:hint="eastAsia"/>
                      <w:color w:val="000000" w:themeColor="text1"/>
                      <w:sz w:val="21"/>
                      <w:szCs w:val="21"/>
                      <w:highlight w:val="none"/>
                      <w:lang w:val="en-US" w:eastAsia="zh-CN"/>
                    </w:rPr>
                    <w:t>及沥青卸料池呼吸口一同</w:t>
                  </w:r>
                  <w:r>
                    <w:rPr>
                      <w:rFonts w:hint="eastAsia"/>
                      <w:color w:val="000000" w:themeColor="text1"/>
                      <w:sz w:val="21"/>
                      <w:szCs w:val="21"/>
                      <w:highlight w:val="none"/>
                    </w:rPr>
                    <w:t>接入吸风管道，将</w:t>
                  </w:r>
                  <w:r>
                    <w:rPr>
                      <w:rFonts w:hint="eastAsia"/>
                      <w:color w:val="000000" w:themeColor="text1"/>
                      <w:sz w:val="21"/>
                      <w:szCs w:val="21"/>
                      <w:highlight w:val="none"/>
                      <w:lang w:val="en-US" w:eastAsia="zh-CN"/>
                    </w:rPr>
                    <w:t>沥青储罐及卸料池</w:t>
                  </w:r>
                  <w:r>
                    <w:rPr>
                      <w:rFonts w:hint="eastAsia"/>
                      <w:color w:val="000000" w:themeColor="text1"/>
                      <w:sz w:val="21"/>
                      <w:szCs w:val="21"/>
                      <w:highlight w:val="none"/>
                    </w:rPr>
                    <w:t>呼吸废气引入“两级活性炭吸附”装置；搅拌</w:t>
                  </w:r>
                  <w:r>
                    <w:rPr>
                      <w:rFonts w:hint="eastAsia"/>
                      <w:color w:val="000000" w:themeColor="text1"/>
                      <w:sz w:val="21"/>
                      <w:szCs w:val="21"/>
                      <w:highlight w:val="none"/>
                      <w:lang w:val="en-US" w:eastAsia="zh-CN"/>
                    </w:rPr>
                    <w:t>机</w:t>
                  </w:r>
                  <w:r>
                    <w:rPr>
                      <w:rFonts w:hint="eastAsia"/>
                      <w:color w:val="000000" w:themeColor="text1"/>
                      <w:sz w:val="21"/>
                      <w:szCs w:val="21"/>
                      <w:highlight w:val="none"/>
                    </w:rPr>
                    <w:t>卸料口设置侧吸式集气罩与搅拌</w:t>
                  </w:r>
                  <w:r>
                    <w:rPr>
                      <w:rFonts w:hint="eastAsia"/>
                      <w:color w:val="000000" w:themeColor="text1"/>
                      <w:sz w:val="21"/>
                      <w:szCs w:val="21"/>
                      <w:highlight w:val="none"/>
                      <w:lang w:val="en-US" w:eastAsia="zh-CN"/>
                    </w:rPr>
                    <w:t>机</w:t>
                  </w:r>
                  <w:r>
                    <w:rPr>
                      <w:rFonts w:hint="eastAsia"/>
                      <w:color w:val="000000" w:themeColor="text1"/>
                      <w:sz w:val="21"/>
                      <w:szCs w:val="21"/>
                      <w:highlight w:val="none"/>
                    </w:rPr>
                    <w:t>呼吸口废气一同接入一台布袋除尘器，废气经除尘器处理后接入“两级活性炭吸附”装置；以上废气经净化后由一根17m高排气筒（DA002）排放。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392" w:type="pct"/>
                  <w:vAlign w:val="center"/>
                </w:tcPr>
                <w:p>
                  <w:pPr>
                    <w:widowControl/>
                    <w:spacing w:line="240" w:lineRule="auto"/>
                    <w:ind w:firstLine="0" w:firstLineChars="0"/>
                    <w:jc w:val="left"/>
                    <w:rPr>
                      <w:color w:val="000000" w:themeColor="text1"/>
                      <w:sz w:val="21"/>
                      <w:szCs w:val="21"/>
                      <w:highlight w:val="none"/>
                    </w:rPr>
                  </w:pPr>
                  <w:r>
                    <w:rPr>
                      <w:rFonts w:hint="eastAsia"/>
                      <w:color w:val="000000" w:themeColor="text1"/>
                      <w:sz w:val="21"/>
                      <w:szCs w:val="21"/>
                      <w:highlight w:val="none"/>
                    </w:rPr>
                    <w:t>导热油炉配套安装1台低氮燃烧器，产生的废气经1根15m高的排气筒（DA003）排放。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392" w:type="pct"/>
                  <w:vAlign w:val="center"/>
                </w:tcPr>
                <w:p>
                  <w:pPr>
                    <w:widowControl/>
                    <w:spacing w:line="240" w:lineRule="auto"/>
                    <w:ind w:firstLine="0" w:firstLineChars="0"/>
                    <w:jc w:val="left"/>
                    <w:rPr>
                      <w:color w:val="000000" w:themeColor="text1"/>
                      <w:sz w:val="21"/>
                      <w:szCs w:val="21"/>
                      <w:highlight w:val="none"/>
                    </w:rPr>
                  </w:pPr>
                  <w:r>
                    <w:rPr>
                      <w:rFonts w:hint="eastAsia"/>
                      <w:color w:val="000000" w:themeColor="text1"/>
                      <w:sz w:val="21"/>
                      <w:szCs w:val="21"/>
                      <w:highlight w:val="none"/>
                    </w:rPr>
                    <w:t>矿粉筒仓仓顶自带布袋除尘器，</w:t>
                  </w:r>
                  <w:r>
                    <w:rPr>
                      <w:color w:val="000000" w:themeColor="text1"/>
                      <w:sz w:val="21"/>
                      <w:szCs w:val="21"/>
                      <w:highlight w:val="none"/>
                    </w:rPr>
                    <w:t>处理后</w:t>
                  </w:r>
                  <w:r>
                    <w:rPr>
                      <w:rFonts w:hint="eastAsia"/>
                      <w:color w:val="000000" w:themeColor="text1"/>
                      <w:sz w:val="21"/>
                      <w:szCs w:val="21"/>
                      <w:highlight w:val="none"/>
                    </w:rPr>
                    <w:t>的废气由17m高排气筒（DA004）排放。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废水</w:t>
                  </w:r>
                </w:p>
              </w:tc>
              <w:tc>
                <w:tcPr>
                  <w:tcW w:w="3392" w:type="pct"/>
                  <w:vAlign w:val="center"/>
                </w:tcPr>
                <w:p>
                  <w:pPr>
                    <w:widowControl/>
                    <w:spacing w:line="240" w:lineRule="auto"/>
                    <w:ind w:firstLine="0" w:firstLineChars="0"/>
                    <w:jc w:val="left"/>
                    <w:rPr>
                      <w:color w:val="000000" w:themeColor="text1"/>
                      <w:kern w:val="0"/>
                      <w:sz w:val="21"/>
                      <w:szCs w:val="21"/>
                      <w:highlight w:val="none"/>
                    </w:rPr>
                  </w:pPr>
                  <w:r>
                    <w:rPr>
                      <w:rFonts w:hint="eastAsia"/>
                      <w:color w:val="000000" w:themeColor="text1"/>
                      <w:sz w:val="21"/>
                      <w:szCs w:val="21"/>
                      <w:highlight w:val="none"/>
                      <w:lang w:eastAsia="zh-CN"/>
                    </w:rPr>
                    <w:t>项目无生产废水产生，厂区员工由承平高速LM1标项目经理部内部调剂，不新增劳动定员，无生活污水产生</w:t>
                  </w: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kern w:val="0"/>
                      <w:highlight w:val="none"/>
                    </w:rPr>
                  </w:pPr>
                  <w:r>
                    <w:rPr>
                      <w:rFonts w:hint="eastAsia"/>
                      <w:color w:val="000000" w:themeColor="text1"/>
                      <w:kern w:val="0"/>
                      <w:highlight w:val="none"/>
                    </w:rPr>
                    <w:t>噪声</w:t>
                  </w:r>
                </w:p>
              </w:tc>
              <w:tc>
                <w:tcPr>
                  <w:tcW w:w="3392" w:type="pct"/>
                  <w:vAlign w:val="center"/>
                </w:tcPr>
                <w:p>
                  <w:pPr>
                    <w:pStyle w:val="53"/>
                    <w:spacing w:line="240" w:lineRule="auto"/>
                    <w:jc w:val="left"/>
                    <w:rPr>
                      <w:bCs/>
                      <w:color w:val="000000" w:themeColor="text1"/>
                      <w:kern w:val="44"/>
                      <w:highlight w:val="none"/>
                    </w:rPr>
                  </w:pPr>
                  <w:r>
                    <w:rPr>
                      <w:rFonts w:hint="eastAsia"/>
                      <w:bCs/>
                      <w:color w:val="000000" w:themeColor="text1"/>
                      <w:kern w:val="44"/>
                      <w:highlight w:val="none"/>
                    </w:rPr>
                    <w:t>厂房封闭隔声，选用低噪声设备，设备基础减振，车辆减速慢行，不鸣笛。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restart"/>
                  <w:vAlign w:val="center"/>
                </w:tcPr>
                <w:p>
                  <w:pPr>
                    <w:pStyle w:val="53"/>
                    <w:spacing w:line="240" w:lineRule="auto"/>
                    <w:rPr>
                      <w:color w:val="000000" w:themeColor="text1"/>
                      <w:kern w:val="0"/>
                      <w:highlight w:val="none"/>
                    </w:rPr>
                  </w:pPr>
                  <w:r>
                    <w:rPr>
                      <w:rFonts w:hint="eastAsia"/>
                      <w:color w:val="000000" w:themeColor="text1"/>
                      <w:kern w:val="0"/>
                      <w:highlight w:val="none"/>
                    </w:rPr>
                    <w:t>固体废物</w:t>
                  </w:r>
                </w:p>
              </w:tc>
              <w:tc>
                <w:tcPr>
                  <w:tcW w:w="3392" w:type="pct"/>
                  <w:vAlign w:val="center"/>
                </w:tcPr>
                <w:p>
                  <w:pPr>
                    <w:pStyle w:val="53"/>
                    <w:spacing w:line="240" w:lineRule="auto"/>
                    <w:jc w:val="left"/>
                    <w:rPr>
                      <w:bCs/>
                      <w:color w:val="000000" w:themeColor="text1"/>
                      <w:kern w:val="44"/>
                      <w:highlight w:val="none"/>
                    </w:rPr>
                  </w:pPr>
                  <w:r>
                    <w:rPr>
                      <w:rFonts w:hint="eastAsia"/>
                      <w:bCs/>
                      <w:color w:val="000000" w:themeColor="text1"/>
                      <w:kern w:val="44"/>
                      <w:highlight w:val="none"/>
                    </w:rPr>
                    <w:t>生活垃圾集中收集，定期放至区域指定垃圾收集点，环卫部门统一处理。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continue"/>
                  <w:vAlign w:val="center"/>
                </w:tcPr>
                <w:p>
                  <w:pPr>
                    <w:pStyle w:val="53"/>
                    <w:spacing w:line="240" w:lineRule="auto"/>
                    <w:rPr>
                      <w:color w:val="000000" w:themeColor="text1"/>
                      <w:kern w:val="0"/>
                      <w:highlight w:val="none"/>
                    </w:rPr>
                  </w:pPr>
                </w:p>
              </w:tc>
              <w:tc>
                <w:tcPr>
                  <w:tcW w:w="3392" w:type="pct"/>
                  <w:vAlign w:val="center"/>
                </w:tcPr>
                <w:p>
                  <w:pPr>
                    <w:pStyle w:val="53"/>
                    <w:spacing w:line="240" w:lineRule="auto"/>
                    <w:jc w:val="left"/>
                    <w:rPr>
                      <w:bCs/>
                      <w:color w:val="000000" w:themeColor="text1"/>
                      <w:kern w:val="44"/>
                      <w:highlight w:val="none"/>
                    </w:rPr>
                  </w:pPr>
                  <w:r>
                    <w:rPr>
                      <w:rFonts w:hint="eastAsia"/>
                      <w:color w:val="000000" w:themeColor="text1"/>
                      <w:highlight w:val="none"/>
                    </w:rPr>
                    <w:t>矿粉筒仓除尘灰</w:t>
                  </w:r>
                  <w:r>
                    <w:rPr>
                      <w:rFonts w:hint="eastAsia"/>
                      <w:snapToGrid w:val="0"/>
                      <w:color w:val="000000" w:themeColor="text1"/>
                      <w:kern w:val="0"/>
                      <w:highlight w:val="none"/>
                    </w:rPr>
                    <w:t>振打落入料仓</w:t>
                  </w:r>
                  <w:r>
                    <w:rPr>
                      <w:rFonts w:hint="eastAsia"/>
                      <w:color w:val="000000" w:themeColor="text1"/>
                      <w:highlight w:val="none"/>
                    </w:rPr>
                    <w:t>作为原料使用，除尘器收集的除尘灰作为原料回用于生产。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continue"/>
                  <w:vAlign w:val="center"/>
                </w:tcPr>
                <w:p>
                  <w:pPr>
                    <w:pStyle w:val="53"/>
                    <w:spacing w:line="240" w:lineRule="auto"/>
                    <w:rPr>
                      <w:color w:val="000000" w:themeColor="text1"/>
                      <w:kern w:val="0"/>
                      <w:highlight w:val="none"/>
                    </w:rPr>
                  </w:pPr>
                </w:p>
              </w:tc>
              <w:tc>
                <w:tcPr>
                  <w:tcW w:w="3392" w:type="pct"/>
                  <w:vAlign w:val="center"/>
                </w:tcPr>
                <w:p>
                  <w:pPr>
                    <w:pStyle w:val="53"/>
                    <w:spacing w:line="240" w:lineRule="auto"/>
                    <w:jc w:val="left"/>
                    <w:rPr>
                      <w:color w:val="000000" w:themeColor="text1"/>
                      <w:highlight w:val="none"/>
                    </w:rPr>
                  </w:pPr>
                  <w:r>
                    <w:rPr>
                      <w:rFonts w:hint="eastAsia"/>
                      <w:color w:val="000000" w:themeColor="text1"/>
                      <w:highlight w:val="none"/>
                      <w:lang w:val="en-US" w:eastAsia="zh-CN"/>
                    </w:rPr>
                    <w:t>骨料</w:t>
                  </w:r>
                  <w:r>
                    <w:rPr>
                      <w:rFonts w:hint="eastAsia"/>
                      <w:color w:val="000000" w:themeColor="text1"/>
                      <w:highlight w:val="none"/>
                    </w:rPr>
                    <w:t>筛分</w:t>
                  </w:r>
                  <w:r>
                    <w:rPr>
                      <w:rFonts w:hint="eastAsia"/>
                      <w:color w:val="000000" w:themeColor="text1"/>
                      <w:highlight w:val="none"/>
                      <w:lang w:val="en-US" w:eastAsia="zh-CN"/>
                    </w:rPr>
                    <w:t>系统筛出不符合要求</w:t>
                  </w:r>
                  <w:r>
                    <w:rPr>
                      <w:rStyle w:val="28"/>
                      <w:rFonts w:hint="eastAsia"/>
                      <w:color w:val="000000" w:themeColor="text1"/>
                      <w:kern w:val="0"/>
                      <w:szCs w:val="20"/>
                      <w:highlight w:val="none"/>
                      <w:lang w:val="en-US" w:eastAsia="zh-CN"/>
                    </w:rPr>
                    <w:t>的</w:t>
                  </w:r>
                  <w:r>
                    <w:rPr>
                      <w:rFonts w:hint="eastAsia"/>
                      <w:color w:val="000000" w:themeColor="text1"/>
                      <w:highlight w:val="none"/>
                      <w:lang w:val="en-US" w:eastAsia="zh-CN"/>
                    </w:rPr>
                    <w:t>骨料</w:t>
                  </w:r>
                  <w:r>
                    <w:rPr>
                      <w:rFonts w:hint="eastAsia" w:ascii="宋体" w:hAnsi="宋体" w:cs="宋体"/>
                      <w:color w:val="000000" w:themeColor="text1"/>
                      <w:kern w:val="0"/>
                      <w:highlight w:val="none"/>
                      <w:lang w:bidi="ar"/>
                    </w:rPr>
                    <w:t>经集中收集后暂存于原料库房，</w:t>
                  </w:r>
                  <w:r>
                    <w:rPr>
                      <w:rFonts w:hint="eastAsia" w:ascii="宋体" w:hAnsi="宋体" w:cs="宋体"/>
                      <w:color w:val="000000" w:themeColor="text1"/>
                      <w:kern w:val="0"/>
                      <w:highlight w:val="none"/>
                      <w:lang w:eastAsia="zh-CN" w:bidi="ar"/>
                    </w:rPr>
                    <w:t>由三河市徐达路桥建设有限公司前苇塘水稳站项目作为原料用于生产</w:t>
                  </w:r>
                  <w:r>
                    <w:rPr>
                      <w:rFonts w:hint="eastAsia" w:ascii="宋体" w:hAnsi="宋体" w:cs="宋体"/>
                      <w:color w:val="000000" w:themeColor="text1"/>
                      <w:kern w:val="0"/>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Merge w:val="continue"/>
                  <w:vAlign w:val="center"/>
                </w:tcPr>
                <w:p>
                  <w:pPr>
                    <w:pStyle w:val="53"/>
                    <w:spacing w:line="240" w:lineRule="auto"/>
                    <w:rPr>
                      <w:color w:val="000000" w:themeColor="text1"/>
                      <w:kern w:val="0"/>
                      <w:highlight w:val="none"/>
                    </w:rPr>
                  </w:pPr>
                </w:p>
              </w:tc>
              <w:tc>
                <w:tcPr>
                  <w:tcW w:w="3392" w:type="pct"/>
                  <w:vAlign w:val="center"/>
                </w:tcPr>
                <w:p>
                  <w:pPr>
                    <w:pStyle w:val="53"/>
                    <w:spacing w:line="240" w:lineRule="auto"/>
                    <w:jc w:val="left"/>
                    <w:rPr>
                      <w:bCs/>
                      <w:color w:val="000000" w:themeColor="text1"/>
                      <w:kern w:val="44"/>
                      <w:highlight w:val="none"/>
                    </w:rPr>
                  </w:pPr>
                  <w:r>
                    <w:rPr>
                      <w:rFonts w:hint="eastAsia"/>
                      <w:bCs/>
                      <w:color w:val="000000" w:themeColor="text1"/>
                      <w:highlight w:val="none"/>
                    </w:rPr>
                    <w:t>项目产生的危险废物主要是</w:t>
                  </w:r>
                  <w:r>
                    <w:rPr>
                      <w:rFonts w:hint="eastAsia"/>
                      <w:color w:val="000000" w:themeColor="text1"/>
                      <w:highlight w:val="none"/>
                    </w:rPr>
                    <w:t>废导热油、废润滑油、废油桶、废活性炭</w:t>
                  </w:r>
                  <w:r>
                    <w:rPr>
                      <w:rFonts w:hint="eastAsia"/>
                      <w:color w:val="000000" w:themeColor="text1"/>
                      <w:highlight w:val="none"/>
                      <w:lang w:val="en-US" w:eastAsia="zh-CN"/>
                    </w:rPr>
                    <w:t>及涉及沥青废气治理的废布袋</w:t>
                  </w:r>
                  <w:r>
                    <w:rPr>
                      <w:rFonts w:hint="eastAsia"/>
                      <w:bCs/>
                      <w:color w:val="000000" w:themeColor="text1"/>
                      <w:highlight w:val="none"/>
                    </w:rPr>
                    <w:t>等，收集后贮存于危险废物暂存间，委托有危废处置资质的单位定期处理。企业新建危废间</w:t>
                  </w:r>
                  <w:r>
                    <w:rPr>
                      <w:rFonts w:hint="eastAsia"/>
                      <w:bCs/>
                      <w:color w:val="000000" w:themeColor="text1"/>
                      <w:kern w:val="44"/>
                      <w:highlight w:val="none"/>
                    </w:rPr>
                    <w:t>1座，占地面积10m</w:t>
                  </w:r>
                  <w:r>
                    <w:rPr>
                      <w:rFonts w:hint="eastAsia"/>
                      <w:bCs/>
                      <w:color w:val="000000" w:themeColor="text1"/>
                      <w:kern w:val="44"/>
                      <w:highlight w:val="none"/>
                      <w:vertAlign w:val="superscript"/>
                    </w:rPr>
                    <w:t>2</w:t>
                  </w:r>
                  <w:r>
                    <w:rPr>
                      <w:rFonts w:hint="eastAsia"/>
                      <w:bCs/>
                      <w:color w:val="000000" w:themeColor="text1"/>
                      <w:kern w:val="44"/>
                      <w:highlight w:val="none"/>
                    </w:rPr>
                    <w:t>，位于厂区西南侧，危险废物暂存间为封闭结构，满足防风、防雨、防晒、防渗要求；地面铺设防渗材料，防渗系数K</w:t>
                  </w:r>
                  <w:r>
                    <w:rPr>
                      <w:bCs/>
                      <w:color w:val="000000" w:themeColor="text1"/>
                      <w:kern w:val="44"/>
                      <w:highlight w:val="none"/>
                    </w:rPr>
                    <w:t>≤</w:t>
                  </w:r>
                  <w:r>
                    <w:rPr>
                      <w:rFonts w:hint="eastAsia"/>
                      <w:bCs/>
                      <w:color w:val="000000" w:themeColor="text1"/>
                      <w:kern w:val="44"/>
                      <w:highlight w:val="none"/>
                    </w:rPr>
                    <w:t>10</w:t>
                  </w:r>
                  <w:r>
                    <w:rPr>
                      <w:rFonts w:hint="eastAsia"/>
                      <w:bCs/>
                      <w:color w:val="000000" w:themeColor="text1"/>
                      <w:kern w:val="44"/>
                      <w:highlight w:val="none"/>
                      <w:vertAlign w:val="superscript"/>
                    </w:rPr>
                    <w:t>-10</w:t>
                  </w:r>
                  <w:r>
                    <w:rPr>
                      <w:rFonts w:hint="eastAsia"/>
                      <w:bCs/>
                      <w:color w:val="000000" w:themeColor="text1"/>
                      <w:kern w:val="44"/>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Merge w:val="continue"/>
                  <w:vAlign w:val="center"/>
                </w:tcPr>
                <w:p>
                  <w:pPr>
                    <w:pStyle w:val="53"/>
                    <w:spacing w:line="240" w:lineRule="auto"/>
                    <w:rPr>
                      <w:color w:val="000000" w:themeColor="text1"/>
                      <w:highlight w:val="none"/>
                    </w:rPr>
                  </w:pPr>
                </w:p>
              </w:tc>
              <w:tc>
                <w:tcPr>
                  <w:tcW w:w="436" w:type="pct"/>
                  <w:vMerge w:val="continue"/>
                  <w:vAlign w:val="center"/>
                </w:tcPr>
                <w:p>
                  <w:pPr>
                    <w:pStyle w:val="53"/>
                    <w:spacing w:line="240" w:lineRule="auto"/>
                    <w:rPr>
                      <w:color w:val="000000" w:themeColor="text1"/>
                      <w:highlight w:val="none"/>
                    </w:rPr>
                  </w:pPr>
                </w:p>
              </w:tc>
              <w:tc>
                <w:tcPr>
                  <w:tcW w:w="784" w:type="pct"/>
                  <w:vAlign w:val="center"/>
                </w:tcPr>
                <w:p>
                  <w:pPr>
                    <w:pStyle w:val="53"/>
                    <w:spacing w:line="240" w:lineRule="auto"/>
                    <w:rPr>
                      <w:color w:val="000000" w:themeColor="text1"/>
                      <w:kern w:val="0"/>
                      <w:highlight w:val="none"/>
                    </w:rPr>
                  </w:pPr>
                  <w:r>
                    <w:rPr>
                      <w:rFonts w:hint="eastAsia"/>
                      <w:color w:val="000000" w:themeColor="text1"/>
                      <w:kern w:val="0"/>
                      <w:highlight w:val="none"/>
                    </w:rPr>
                    <w:t>其他</w:t>
                  </w:r>
                </w:p>
              </w:tc>
              <w:tc>
                <w:tcPr>
                  <w:tcW w:w="3392" w:type="pct"/>
                  <w:vAlign w:val="center"/>
                </w:tcPr>
                <w:p>
                  <w:pPr>
                    <w:pStyle w:val="53"/>
                    <w:spacing w:line="240" w:lineRule="auto"/>
                    <w:jc w:val="left"/>
                    <w:rPr>
                      <w:bCs/>
                      <w:color w:val="000000" w:themeColor="text1"/>
                      <w:kern w:val="44"/>
                      <w:highlight w:val="none"/>
                    </w:rPr>
                  </w:pPr>
                  <w:r>
                    <w:rPr>
                      <w:rFonts w:hint="eastAsia"/>
                      <w:bCs/>
                      <w:color w:val="000000" w:themeColor="text1"/>
                      <w:kern w:val="44"/>
                      <w:highlight w:val="none"/>
                    </w:rPr>
                    <w:t>场地除绿化外其他地面进行硬化。</w:t>
                  </w:r>
                </w:p>
              </w:tc>
            </w:tr>
          </w:tbl>
          <w:p>
            <w:pPr>
              <w:keepNext w:val="0"/>
              <w:keepLines w:val="0"/>
              <w:pageBreakBefore w:val="0"/>
              <w:widowControl w:val="0"/>
              <w:kinsoku/>
              <w:wordWrap/>
              <w:overflowPunct/>
              <w:topLinePunct w:val="0"/>
              <w:autoSpaceDE w:val="0"/>
              <w:autoSpaceDN w:val="0"/>
              <w:bidi w:val="0"/>
              <w:adjustRightInd w:val="0"/>
              <w:snapToGrid w:val="0"/>
              <w:ind w:firstLine="482" w:firstLineChars="200"/>
              <w:textAlignment w:val="auto"/>
              <w:rPr>
                <w:b/>
                <w:color w:val="000000" w:themeColor="text1"/>
                <w:highlight w:val="none"/>
              </w:rPr>
            </w:pPr>
            <w:r>
              <w:rPr>
                <w:rFonts w:hint="eastAsia"/>
                <w:b/>
                <w:color w:val="000000" w:themeColor="text1"/>
                <w:highlight w:val="none"/>
              </w:rPr>
              <w:t>2、主要原辅材料及燃料的种类及用量</w:t>
            </w:r>
          </w:p>
          <w:p>
            <w:pPr>
              <w:keepNext w:val="0"/>
              <w:keepLines w:val="0"/>
              <w:pageBreakBefore w:val="0"/>
              <w:widowControl w:val="0"/>
              <w:kinsoku/>
              <w:wordWrap/>
              <w:overflowPunct/>
              <w:topLinePunct w:val="0"/>
              <w:autoSpaceDE w:val="0"/>
              <w:autoSpaceDN w:val="0"/>
              <w:bidi w:val="0"/>
              <w:adjustRightInd w:val="0"/>
              <w:snapToGrid w:val="0"/>
              <w:ind w:firstLine="480" w:firstLineChars="200"/>
              <w:textAlignment w:val="auto"/>
              <w:rPr>
                <w:color w:val="000000" w:themeColor="text1"/>
                <w:highlight w:val="none"/>
              </w:rPr>
            </w:pPr>
            <w:r>
              <w:rPr>
                <w:color w:val="000000" w:themeColor="text1"/>
                <w:highlight w:val="none"/>
                <w:lang w:bidi="ar"/>
              </w:rPr>
              <w:t>项目</w:t>
            </w:r>
            <w:r>
              <w:rPr>
                <w:rFonts w:hint="eastAsia"/>
                <w:color w:val="000000" w:themeColor="text1"/>
                <w:highlight w:val="none"/>
                <w:lang w:bidi="ar"/>
              </w:rPr>
              <w:t>主要原辅材料及</w:t>
            </w:r>
            <w:r>
              <w:rPr>
                <w:color w:val="000000" w:themeColor="text1"/>
                <w:highlight w:val="none"/>
                <w:lang w:bidi="ar"/>
              </w:rPr>
              <w:t>能源消耗量见</w:t>
            </w:r>
            <w:r>
              <w:rPr>
                <w:rFonts w:hint="eastAsia"/>
                <w:color w:val="000000" w:themeColor="text1"/>
                <w:highlight w:val="none"/>
                <w:lang w:bidi="ar"/>
              </w:rPr>
              <w:t>下</w:t>
            </w:r>
            <w:r>
              <w:rPr>
                <w:color w:val="000000" w:themeColor="text1"/>
                <w:highlight w:val="none"/>
                <w:lang w:bidi="ar"/>
              </w:rPr>
              <w:t>表</w:t>
            </w:r>
            <w:r>
              <w:rPr>
                <w:rFonts w:hint="eastAsia"/>
                <w:color w:val="000000" w:themeColor="text1"/>
                <w:highlight w:val="none"/>
              </w:rPr>
              <w:t>：</w:t>
            </w:r>
          </w:p>
          <w:p>
            <w:pPr>
              <w:ind w:firstLine="0" w:firstLineChars="0"/>
              <w:jc w:val="center"/>
              <w:rPr>
                <w:b/>
                <w:color w:val="000000" w:themeColor="text1"/>
                <w:sz w:val="21"/>
                <w:szCs w:val="21"/>
                <w:highlight w:val="none"/>
              </w:rPr>
            </w:pPr>
            <w:r>
              <w:rPr>
                <w:b/>
                <w:iCs/>
                <w:color w:val="000000" w:themeColor="text1"/>
                <w:sz w:val="21"/>
                <w:szCs w:val="21"/>
                <w:highlight w:val="none"/>
                <w:lang w:bidi="ar"/>
              </w:rPr>
              <w:t>表</w:t>
            </w:r>
            <w:r>
              <w:rPr>
                <w:rFonts w:hint="eastAsia"/>
                <w:b/>
                <w:color w:val="000000" w:themeColor="text1"/>
                <w:sz w:val="21"/>
                <w:szCs w:val="21"/>
                <w:highlight w:val="none"/>
                <w:lang w:bidi="ar"/>
              </w:rPr>
              <w:t>2-2</w:t>
            </w:r>
            <w:r>
              <w:rPr>
                <w:b/>
                <w:iCs/>
                <w:color w:val="000000" w:themeColor="text1"/>
                <w:sz w:val="21"/>
                <w:szCs w:val="21"/>
                <w:highlight w:val="none"/>
                <w:lang w:bidi="ar"/>
              </w:rPr>
              <w:t xml:space="preserve">  </w:t>
            </w:r>
            <w:r>
              <w:rPr>
                <w:rFonts w:hint="eastAsia"/>
                <w:b/>
                <w:iCs/>
                <w:color w:val="000000" w:themeColor="text1"/>
                <w:sz w:val="21"/>
                <w:szCs w:val="21"/>
                <w:highlight w:val="none"/>
                <w:lang w:bidi="ar"/>
              </w:rPr>
              <w:t>项目主要原辅材料及</w:t>
            </w:r>
            <w:r>
              <w:rPr>
                <w:b/>
                <w:iCs/>
                <w:color w:val="000000" w:themeColor="text1"/>
                <w:sz w:val="21"/>
                <w:szCs w:val="21"/>
                <w:highlight w:val="none"/>
                <w:lang w:bidi="ar"/>
              </w:rPr>
              <w:t>能源消耗汇总表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238"/>
              <w:gridCol w:w="1237"/>
              <w:gridCol w:w="1145"/>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18"/>
                    <w:spacing w:line="240" w:lineRule="auto"/>
                    <w:ind w:firstLine="0" w:firstLineChars="0"/>
                    <w:jc w:val="center"/>
                    <w:rPr>
                      <w:b/>
                      <w:color w:val="000000" w:themeColor="text1"/>
                      <w:sz w:val="21"/>
                      <w:szCs w:val="21"/>
                      <w:highlight w:val="none"/>
                    </w:rPr>
                  </w:pPr>
                  <w:r>
                    <w:rPr>
                      <w:b/>
                      <w:color w:val="000000" w:themeColor="text1"/>
                      <w:sz w:val="21"/>
                      <w:szCs w:val="21"/>
                      <w:highlight w:val="none"/>
                      <w:lang w:bidi="ar"/>
                    </w:rPr>
                    <w:t>序号</w:t>
                  </w:r>
                </w:p>
              </w:tc>
              <w:tc>
                <w:tcPr>
                  <w:tcW w:w="735" w:type="pct"/>
                  <w:vAlign w:val="center"/>
                </w:tcPr>
                <w:p>
                  <w:pPr>
                    <w:pStyle w:val="18"/>
                    <w:spacing w:line="240" w:lineRule="auto"/>
                    <w:ind w:firstLine="0" w:firstLineChars="0"/>
                    <w:jc w:val="center"/>
                    <w:rPr>
                      <w:b/>
                      <w:color w:val="000000" w:themeColor="text1"/>
                      <w:sz w:val="21"/>
                      <w:szCs w:val="21"/>
                      <w:highlight w:val="none"/>
                    </w:rPr>
                  </w:pPr>
                  <w:r>
                    <w:rPr>
                      <w:b/>
                      <w:color w:val="000000" w:themeColor="text1"/>
                      <w:sz w:val="21"/>
                      <w:szCs w:val="21"/>
                      <w:highlight w:val="none"/>
                      <w:lang w:bidi="ar"/>
                    </w:rPr>
                    <w:t>名称</w:t>
                  </w:r>
                </w:p>
              </w:tc>
              <w:tc>
                <w:tcPr>
                  <w:tcW w:w="735" w:type="pct"/>
                  <w:vAlign w:val="center"/>
                </w:tcPr>
                <w:p>
                  <w:pPr>
                    <w:pStyle w:val="18"/>
                    <w:spacing w:line="240" w:lineRule="auto"/>
                    <w:ind w:firstLine="0" w:firstLineChars="0"/>
                    <w:jc w:val="center"/>
                    <w:rPr>
                      <w:b/>
                      <w:color w:val="000000" w:themeColor="text1"/>
                      <w:sz w:val="21"/>
                      <w:szCs w:val="21"/>
                      <w:highlight w:val="none"/>
                    </w:rPr>
                  </w:pPr>
                  <w:r>
                    <w:rPr>
                      <w:b/>
                      <w:color w:val="000000" w:themeColor="text1"/>
                      <w:sz w:val="21"/>
                      <w:szCs w:val="21"/>
                      <w:highlight w:val="none"/>
                      <w:lang w:bidi="ar"/>
                    </w:rPr>
                    <w:t>单位</w:t>
                  </w:r>
                </w:p>
              </w:tc>
              <w:tc>
                <w:tcPr>
                  <w:tcW w:w="680" w:type="pct"/>
                  <w:vAlign w:val="center"/>
                </w:tcPr>
                <w:p>
                  <w:pPr>
                    <w:pStyle w:val="18"/>
                    <w:spacing w:line="240" w:lineRule="auto"/>
                    <w:ind w:firstLine="0" w:firstLineChars="0"/>
                    <w:jc w:val="center"/>
                    <w:rPr>
                      <w:b/>
                      <w:color w:val="000000" w:themeColor="text1"/>
                      <w:sz w:val="21"/>
                      <w:szCs w:val="21"/>
                      <w:highlight w:val="none"/>
                    </w:rPr>
                  </w:pPr>
                  <w:r>
                    <w:rPr>
                      <w:b/>
                      <w:color w:val="000000" w:themeColor="text1"/>
                      <w:sz w:val="21"/>
                      <w:szCs w:val="21"/>
                      <w:highlight w:val="none"/>
                      <w:lang w:bidi="ar"/>
                    </w:rPr>
                    <w:t>数量</w:t>
                  </w:r>
                </w:p>
              </w:tc>
              <w:tc>
                <w:tcPr>
                  <w:tcW w:w="2444" w:type="pct"/>
                  <w:vAlign w:val="center"/>
                </w:tcPr>
                <w:p>
                  <w:pPr>
                    <w:pStyle w:val="18"/>
                    <w:spacing w:line="240" w:lineRule="auto"/>
                    <w:ind w:firstLine="0" w:firstLineChars="0"/>
                    <w:jc w:val="center"/>
                    <w:rPr>
                      <w:b/>
                      <w:color w:val="000000" w:themeColor="text1"/>
                      <w:sz w:val="21"/>
                      <w:szCs w:val="21"/>
                      <w:highlight w:val="none"/>
                    </w:rPr>
                  </w:pPr>
                  <w:r>
                    <w:rPr>
                      <w:b/>
                      <w:color w:val="000000" w:themeColor="text1"/>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spacing w:line="240" w:lineRule="auto"/>
                    <w:ind w:firstLine="0" w:firstLineChars="0"/>
                    <w:jc w:val="center"/>
                    <w:rPr>
                      <w:color w:val="000000" w:themeColor="text1"/>
                      <w:sz w:val="21"/>
                      <w:szCs w:val="32"/>
                      <w:highlight w:val="none"/>
                    </w:rPr>
                  </w:pPr>
                  <w:r>
                    <w:rPr>
                      <w:color w:val="000000" w:themeColor="text1"/>
                      <w:sz w:val="21"/>
                      <w:szCs w:val="32"/>
                      <w:highlight w:val="none"/>
                    </w:rPr>
                    <w:t>1</w:t>
                  </w:r>
                </w:p>
              </w:tc>
              <w:tc>
                <w:tcPr>
                  <w:tcW w:w="735"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沥青</w:t>
                  </w:r>
                </w:p>
              </w:tc>
              <w:tc>
                <w:tcPr>
                  <w:tcW w:w="735" w:type="pct"/>
                  <w:vAlign w:val="center"/>
                </w:tcPr>
                <w:p>
                  <w:pPr>
                    <w:pStyle w:val="18"/>
                    <w:spacing w:before="0" w:beforeAutospacing="0" w:after="0" w:afterAutospacing="0" w:line="240" w:lineRule="auto"/>
                    <w:ind w:firstLine="0" w:firstLineChars="0"/>
                    <w:jc w:val="center"/>
                    <w:rPr>
                      <w:rFonts w:ascii="Times New Roman" w:hAnsi="Times New Roman"/>
                      <w:color w:val="000000" w:themeColor="text1"/>
                      <w:sz w:val="21"/>
                      <w:szCs w:val="21"/>
                      <w:highlight w:val="none"/>
                    </w:rPr>
                  </w:pPr>
                  <w:r>
                    <w:rPr>
                      <w:rFonts w:hint="eastAsia" w:ascii="Times New Roman" w:hAnsi="Times New Roman"/>
                      <w:color w:val="000000" w:themeColor="text1"/>
                      <w:sz w:val="21"/>
                      <w:szCs w:val="21"/>
                      <w:highlight w:val="none"/>
                    </w:rPr>
                    <w:t>万</w:t>
                  </w:r>
                  <w:r>
                    <w:rPr>
                      <w:rFonts w:ascii="Times New Roman" w:hAnsi="Times New Roman"/>
                      <w:color w:val="000000" w:themeColor="text1"/>
                      <w:sz w:val="21"/>
                      <w:szCs w:val="21"/>
                      <w:highlight w:val="none"/>
                    </w:rPr>
                    <w:t>t/a</w:t>
                  </w:r>
                </w:p>
              </w:tc>
              <w:tc>
                <w:tcPr>
                  <w:tcW w:w="680"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0.5</w:t>
                  </w:r>
                </w:p>
              </w:tc>
              <w:tc>
                <w:tcPr>
                  <w:tcW w:w="2444"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外购成品沥青，由罐车运进厂区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spacing w:line="240" w:lineRule="auto"/>
                    <w:ind w:firstLine="0" w:firstLineChars="0"/>
                    <w:jc w:val="center"/>
                    <w:rPr>
                      <w:color w:val="000000" w:themeColor="text1"/>
                      <w:sz w:val="21"/>
                      <w:szCs w:val="32"/>
                      <w:highlight w:val="none"/>
                    </w:rPr>
                  </w:pPr>
                  <w:r>
                    <w:rPr>
                      <w:color w:val="000000" w:themeColor="text1"/>
                      <w:sz w:val="21"/>
                      <w:szCs w:val="32"/>
                      <w:highlight w:val="none"/>
                    </w:rPr>
                    <w:t>2</w:t>
                  </w:r>
                </w:p>
              </w:tc>
              <w:tc>
                <w:tcPr>
                  <w:tcW w:w="735" w:type="pct"/>
                  <w:vAlign w:val="center"/>
                </w:tcPr>
                <w:p>
                  <w:pPr>
                    <w:spacing w:line="240" w:lineRule="auto"/>
                    <w:ind w:firstLine="0" w:firstLineChars="0"/>
                    <w:jc w:val="center"/>
                    <w:rPr>
                      <w:color w:val="000000" w:themeColor="text1"/>
                      <w:sz w:val="21"/>
                      <w:szCs w:val="32"/>
                      <w:highlight w:val="none"/>
                    </w:rPr>
                  </w:pPr>
                  <w:r>
                    <w:rPr>
                      <w:rFonts w:hint="eastAsia"/>
                      <w:color w:val="000000" w:themeColor="text1"/>
                      <w:sz w:val="21"/>
                      <w:szCs w:val="18"/>
                      <w:highlight w:val="none"/>
                    </w:rPr>
                    <w:t>骨料</w:t>
                  </w:r>
                </w:p>
              </w:tc>
              <w:tc>
                <w:tcPr>
                  <w:tcW w:w="735" w:type="pct"/>
                  <w:vAlign w:val="center"/>
                </w:tcPr>
                <w:p>
                  <w:pPr>
                    <w:widowControl/>
                    <w:spacing w:line="240" w:lineRule="auto"/>
                    <w:ind w:firstLine="0" w:firstLineChars="0"/>
                    <w:jc w:val="center"/>
                    <w:rPr>
                      <w:color w:val="000000" w:themeColor="text1"/>
                      <w:kern w:val="0"/>
                      <w:sz w:val="21"/>
                      <w:szCs w:val="32"/>
                      <w:highlight w:val="none"/>
                    </w:rPr>
                  </w:pPr>
                  <w:r>
                    <w:rPr>
                      <w:rFonts w:hint="eastAsia"/>
                      <w:color w:val="000000" w:themeColor="text1"/>
                      <w:sz w:val="21"/>
                      <w:szCs w:val="21"/>
                      <w:highlight w:val="none"/>
                    </w:rPr>
                    <w:t>万</w:t>
                  </w:r>
                  <w:r>
                    <w:rPr>
                      <w:color w:val="000000" w:themeColor="text1"/>
                      <w:sz w:val="21"/>
                      <w:szCs w:val="21"/>
                      <w:highlight w:val="none"/>
                    </w:rPr>
                    <w:t>t/a</w:t>
                  </w:r>
                </w:p>
              </w:tc>
              <w:tc>
                <w:tcPr>
                  <w:tcW w:w="680" w:type="pct"/>
                  <w:vAlign w:val="center"/>
                </w:tcPr>
                <w:p>
                  <w:pPr>
                    <w:widowControl/>
                    <w:spacing w:line="240" w:lineRule="auto"/>
                    <w:ind w:firstLine="0" w:firstLineChars="0"/>
                    <w:jc w:val="center"/>
                    <w:rPr>
                      <w:color w:val="000000" w:themeColor="text1"/>
                      <w:kern w:val="0"/>
                      <w:sz w:val="21"/>
                      <w:szCs w:val="32"/>
                      <w:highlight w:val="none"/>
                    </w:rPr>
                  </w:pPr>
                  <w:r>
                    <w:rPr>
                      <w:rFonts w:hint="eastAsia"/>
                      <w:color w:val="000000" w:themeColor="text1"/>
                      <w:kern w:val="0"/>
                      <w:sz w:val="21"/>
                      <w:szCs w:val="32"/>
                      <w:highlight w:val="none"/>
                    </w:rPr>
                    <w:t>9.2</w:t>
                  </w:r>
                </w:p>
              </w:tc>
              <w:tc>
                <w:tcPr>
                  <w:tcW w:w="2444"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外购，原料库房储存。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spacing w:line="240" w:lineRule="auto"/>
                    <w:ind w:firstLine="0" w:firstLineChars="0"/>
                    <w:jc w:val="center"/>
                    <w:rPr>
                      <w:color w:val="000000" w:themeColor="text1"/>
                      <w:sz w:val="21"/>
                      <w:szCs w:val="32"/>
                      <w:highlight w:val="none"/>
                    </w:rPr>
                  </w:pPr>
                  <w:r>
                    <w:rPr>
                      <w:rFonts w:hint="eastAsia"/>
                      <w:color w:val="000000" w:themeColor="text1"/>
                      <w:sz w:val="21"/>
                      <w:szCs w:val="32"/>
                      <w:highlight w:val="none"/>
                    </w:rPr>
                    <w:t>3</w:t>
                  </w:r>
                </w:p>
              </w:tc>
              <w:tc>
                <w:tcPr>
                  <w:tcW w:w="735" w:type="pct"/>
                  <w:vAlign w:val="center"/>
                </w:tcPr>
                <w:p>
                  <w:pPr>
                    <w:spacing w:line="240" w:lineRule="auto"/>
                    <w:ind w:firstLine="0" w:firstLineChars="0"/>
                    <w:jc w:val="center"/>
                    <w:rPr>
                      <w:color w:val="000000" w:themeColor="text1"/>
                      <w:sz w:val="21"/>
                      <w:szCs w:val="32"/>
                      <w:highlight w:val="none"/>
                    </w:rPr>
                  </w:pPr>
                  <w:r>
                    <w:rPr>
                      <w:color w:val="000000" w:themeColor="text1"/>
                      <w:sz w:val="21"/>
                      <w:szCs w:val="32"/>
                      <w:highlight w:val="none"/>
                    </w:rPr>
                    <w:t>矿粉</w:t>
                  </w:r>
                </w:p>
              </w:tc>
              <w:tc>
                <w:tcPr>
                  <w:tcW w:w="735" w:type="pct"/>
                  <w:vAlign w:val="center"/>
                </w:tcPr>
                <w:p>
                  <w:pPr>
                    <w:widowControl/>
                    <w:spacing w:line="240" w:lineRule="auto"/>
                    <w:ind w:firstLine="0" w:firstLineChars="0"/>
                    <w:jc w:val="center"/>
                    <w:rPr>
                      <w:color w:val="000000" w:themeColor="text1"/>
                      <w:kern w:val="0"/>
                      <w:sz w:val="21"/>
                      <w:szCs w:val="32"/>
                      <w:highlight w:val="none"/>
                    </w:rPr>
                  </w:pPr>
                  <w:r>
                    <w:rPr>
                      <w:rFonts w:hint="eastAsia"/>
                      <w:color w:val="000000" w:themeColor="text1"/>
                      <w:sz w:val="21"/>
                      <w:szCs w:val="21"/>
                      <w:highlight w:val="none"/>
                    </w:rPr>
                    <w:t>万</w:t>
                  </w:r>
                  <w:r>
                    <w:rPr>
                      <w:color w:val="000000" w:themeColor="text1"/>
                      <w:sz w:val="21"/>
                      <w:szCs w:val="21"/>
                      <w:highlight w:val="none"/>
                    </w:rPr>
                    <w:t>t/a</w:t>
                  </w:r>
                </w:p>
              </w:tc>
              <w:tc>
                <w:tcPr>
                  <w:tcW w:w="680" w:type="pct"/>
                  <w:vAlign w:val="center"/>
                </w:tcPr>
                <w:p>
                  <w:pPr>
                    <w:widowControl/>
                    <w:spacing w:line="240" w:lineRule="auto"/>
                    <w:ind w:firstLine="0" w:firstLineChars="0"/>
                    <w:jc w:val="center"/>
                    <w:rPr>
                      <w:color w:val="000000" w:themeColor="text1"/>
                      <w:kern w:val="0"/>
                      <w:sz w:val="21"/>
                      <w:szCs w:val="32"/>
                      <w:highlight w:val="none"/>
                    </w:rPr>
                  </w:pPr>
                  <w:r>
                    <w:rPr>
                      <w:rFonts w:hint="eastAsia"/>
                      <w:color w:val="000000" w:themeColor="text1"/>
                      <w:kern w:val="0"/>
                      <w:sz w:val="21"/>
                      <w:szCs w:val="32"/>
                      <w:highlight w:val="none"/>
                    </w:rPr>
                    <w:t>0.3</w:t>
                  </w:r>
                </w:p>
              </w:tc>
              <w:tc>
                <w:tcPr>
                  <w:tcW w:w="2444"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外购，罐车运进厂区，直接打进筒仓。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18"/>
                    <w:spacing w:line="240" w:lineRule="auto"/>
                    <w:ind w:firstLine="0" w:firstLineChars="0"/>
                    <w:jc w:val="center"/>
                    <w:rPr>
                      <w:rFonts w:ascii="Times New Roman" w:hAnsi="Times New Roman"/>
                      <w:color w:val="000000" w:themeColor="text1"/>
                      <w:sz w:val="21"/>
                      <w:szCs w:val="21"/>
                      <w:highlight w:val="none"/>
                      <w:lang w:bidi="ar"/>
                    </w:rPr>
                  </w:pPr>
                  <w:r>
                    <w:rPr>
                      <w:rFonts w:hint="eastAsia" w:ascii="Times New Roman" w:hAnsi="Times New Roman"/>
                      <w:color w:val="000000" w:themeColor="text1"/>
                      <w:sz w:val="21"/>
                      <w:szCs w:val="21"/>
                      <w:highlight w:val="none"/>
                      <w:lang w:bidi="ar"/>
                    </w:rPr>
                    <w:t>4</w:t>
                  </w:r>
                </w:p>
              </w:tc>
              <w:tc>
                <w:tcPr>
                  <w:tcW w:w="735"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导热油</w:t>
                  </w:r>
                </w:p>
              </w:tc>
              <w:tc>
                <w:tcPr>
                  <w:tcW w:w="735" w:type="pct"/>
                  <w:vAlign w:val="center"/>
                </w:tcPr>
                <w:p>
                  <w:pPr>
                    <w:pStyle w:val="18"/>
                    <w:spacing w:line="240" w:lineRule="auto"/>
                    <w:ind w:firstLine="0" w:firstLineChars="0"/>
                    <w:jc w:val="center"/>
                    <w:rPr>
                      <w:rFonts w:ascii="Times New Roman" w:hAnsi="Times New Roman"/>
                      <w:color w:val="000000" w:themeColor="text1"/>
                      <w:sz w:val="21"/>
                      <w:szCs w:val="21"/>
                      <w:highlight w:val="none"/>
                    </w:rPr>
                  </w:pPr>
                  <w:r>
                    <w:rPr>
                      <w:rFonts w:ascii="Times New Roman" w:hAnsi="Times New Roman"/>
                      <w:color w:val="000000" w:themeColor="text1"/>
                      <w:sz w:val="21"/>
                      <w:szCs w:val="21"/>
                      <w:highlight w:val="none"/>
                    </w:rPr>
                    <w:t>t</w:t>
                  </w:r>
                </w:p>
              </w:tc>
              <w:tc>
                <w:tcPr>
                  <w:tcW w:w="680"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w:t>
                  </w:r>
                </w:p>
              </w:tc>
              <w:tc>
                <w:tcPr>
                  <w:tcW w:w="2444"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外购，</w:t>
                  </w:r>
                  <w:r>
                    <w:rPr>
                      <w:rFonts w:hint="eastAsia"/>
                      <w:color w:val="000000" w:themeColor="text1"/>
                      <w:sz w:val="21"/>
                      <w:szCs w:val="21"/>
                      <w:highlight w:val="none"/>
                      <w:lang w:val="en-US" w:eastAsia="zh-CN"/>
                    </w:rPr>
                    <w:t>循环使用，</w:t>
                  </w:r>
                  <w:r>
                    <w:rPr>
                      <w:rFonts w:hint="eastAsia"/>
                      <w:color w:val="000000" w:themeColor="text1"/>
                      <w:sz w:val="21"/>
                      <w:szCs w:val="21"/>
                      <w:highlight w:val="none"/>
                    </w:rPr>
                    <w:t>待项目结束后委托有资质单位处置。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18"/>
                    <w:spacing w:line="240" w:lineRule="auto"/>
                    <w:ind w:firstLine="0" w:firstLineChars="0"/>
                    <w:jc w:val="center"/>
                    <w:rPr>
                      <w:rFonts w:ascii="Times New Roman" w:hAnsi="Times New Roman"/>
                      <w:color w:val="000000" w:themeColor="text1"/>
                      <w:sz w:val="21"/>
                      <w:szCs w:val="21"/>
                      <w:highlight w:val="none"/>
                      <w:lang w:bidi="ar"/>
                    </w:rPr>
                  </w:pPr>
                  <w:r>
                    <w:rPr>
                      <w:rFonts w:hint="eastAsia" w:ascii="Times New Roman" w:hAnsi="Times New Roman"/>
                      <w:color w:val="000000" w:themeColor="text1"/>
                      <w:sz w:val="21"/>
                      <w:szCs w:val="21"/>
                      <w:highlight w:val="none"/>
                      <w:lang w:bidi="ar"/>
                    </w:rPr>
                    <w:t>5</w:t>
                  </w:r>
                </w:p>
              </w:tc>
              <w:tc>
                <w:tcPr>
                  <w:tcW w:w="735"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天然气</w:t>
                  </w:r>
                </w:p>
              </w:tc>
              <w:tc>
                <w:tcPr>
                  <w:tcW w:w="735" w:type="pct"/>
                  <w:vAlign w:val="center"/>
                </w:tcPr>
                <w:p>
                  <w:pPr>
                    <w:pStyle w:val="18"/>
                    <w:spacing w:line="240" w:lineRule="auto"/>
                    <w:ind w:firstLine="0" w:firstLineChars="0"/>
                    <w:jc w:val="center"/>
                    <w:rPr>
                      <w:rFonts w:ascii="Times New Roman" w:hAnsi="Times New Roman"/>
                      <w:color w:val="000000" w:themeColor="text1"/>
                      <w:sz w:val="21"/>
                      <w:szCs w:val="21"/>
                      <w:highlight w:val="none"/>
                    </w:rPr>
                  </w:pPr>
                  <w:r>
                    <w:rPr>
                      <w:rFonts w:ascii="Times New Roman" w:hAnsi="Times New Roman"/>
                      <w:color w:val="000000" w:themeColor="text1"/>
                      <w:sz w:val="21"/>
                      <w:szCs w:val="21"/>
                      <w:highlight w:val="none"/>
                    </w:rPr>
                    <w:t>万m</w:t>
                  </w:r>
                  <w:r>
                    <w:rPr>
                      <w:rFonts w:ascii="Times New Roman" w:hAnsi="Times New Roman"/>
                      <w:color w:val="000000" w:themeColor="text1"/>
                      <w:sz w:val="21"/>
                      <w:szCs w:val="21"/>
                      <w:highlight w:val="none"/>
                      <w:vertAlign w:val="superscript"/>
                    </w:rPr>
                    <w:t>3</w:t>
                  </w:r>
                  <w:r>
                    <w:rPr>
                      <w:rFonts w:ascii="Times New Roman" w:hAnsi="Times New Roman"/>
                      <w:color w:val="000000" w:themeColor="text1"/>
                      <w:sz w:val="21"/>
                      <w:szCs w:val="21"/>
                      <w:highlight w:val="none"/>
                    </w:rPr>
                    <w:t>/a</w:t>
                  </w:r>
                </w:p>
              </w:tc>
              <w:tc>
                <w:tcPr>
                  <w:tcW w:w="680"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80</w:t>
                  </w:r>
                </w:p>
              </w:tc>
              <w:tc>
                <w:tcPr>
                  <w:tcW w:w="2444"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外购，站区内最大暂存量为51.52t。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18"/>
                    <w:spacing w:line="240" w:lineRule="auto"/>
                    <w:ind w:firstLine="0" w:firstLineChars="0"/>
                    <w:jc w:val="center"/>
                    <w:rPr>
                      <w:rFonts w:ascii="Times New Roman" w:hAnsi="Times New Roman"/>
                      <w:color w:val="000000" w:themeColor="text1"/>
                      <w:sz w:val="21"/>
                      <w:szCs w:val="21"/>
                      <w:highlight w:val="none"/>
                    </w:rPr>
                  </w:pPr>
                  <w:r>
                    <w:rPr>
                      <w:rFonts w:hint="eastAsia" w:ascii="Times New Roman" w:hAnsi="Times New Roman"/>
                      <w:color w:val="000000" w:themeColor="text1"/>
                      <w:sz w:val="21"/>
                      <w:szCs w:val="21"/>
                      <w:highlight w:val="none"/>
                    </w:rPr>
                    <w:t>6</w:t>
                  </w:r>
                </w:p>
              </w:tc>
              <w:tc>
                <w:tcPr>
                  <w:tcW w:w="735"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电</w:t>
                  </w:r>
                </w:p>
              </w:tc>
              <w:tc>
                <w:tcPr>
                  <w:tcW w:w="735" w:type="pct"/>
                  <w:vAlign w:val="center"/>
                </w:tcPr>
                <w:p>
                  <w:pPr>
                    <w:pStyle w:val="18"/>
                    <w:spacing w:line="240" w:lineRule="auto"/>
                    <w:ind w:firstLine="0" w:firstLineChars="0"/>
                    <w:jc w:val="center"/>
                    <w:rPr>
                      <w:rFonts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bidi="ar"/>
                    </w:rPr>
                    <w:t>kW·h/a</w:t>
                  </w:r>
                </w:p>
              </w:tc>
              <w:tc>
                <w:tcPr>
                  <w:tcW w:w="680"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30万</w:t>
                  </w:r>
                </w:p>
              </w:tc>
              <w:tc>
                <w:tcPr>
                  <w:tcW w:w="2444"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由六道河镇电网供电。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pPr>
                    <w:pStyle w:val="18"/>
                    <w:spacing w:line="240" w:lineRule="auto"/>
                    <w:ind w:firstLine="0" w:firstLineChars="0"/>
                    <w:jc w:val="center"/>
                    <w:rPr>
                      <w:rFonts w:ascii="Times New Roman" w:hAnsi="Times New Roman"/>
                      <w:color w:val="000000" w:themeColor="text1"/>
                      <w:sz w:val="21"/>
                      <w:szCs w:val="21"/>
                      <w:highlight w:val="none"/>
                    </w:rPr>
                  </w:pPr>
                  <w:r>
                    <w:rPr>
                      <w:rFonts w:hint="eastAsia" w:ascii="Times New Roman" w:hAnsi="Times New Roman"/>
                      <w:color w:val="000000" w:themeColor="text1"/>
                      <w:sz w:val="21"/>
                      <w:szCs w:val="21"/>
                      <w:highlight w:val="none"/>
                    </w:rPr>
                    <w:t>7</w:t>
                  </w:r>
                </w:p>
              </w:tc>
              <w:tc>
                <w:tcPr>
                  <w:tcW w:w="735" w:type="pct"/>
                  <w:vAlign w:val="center"/>
                </w:tcPr>
                <w:p>
                  <w:pPr>
                    <w:pStyle w:val="18"/>
                    <w:spacing w:line="240" w:lineRule="auto"/>
                    <w:ind w:firstLine="0" w:firstLineChars="0"/>
                    <w:jc w:val="center"/>
                    <w:rPr>
                      <w:rFonts w:ascii="Times New Roman" w:hAnsi="Times New Roman"/>
                      <w:color w:val="000000" w:themeColor="text1"/>
                      <w:sz w:val="21"/>
                      <w:szCs w:val="21"/>
                      <w:highlight w:val="none"/>
                      <w:lang w:bidi="ar"/>
                    </w:rPr>
                  </w:pPr>
                  <w:r>
                    <w:rPr>
                      <w:rFonts w:ascii="Times New Roman" w:hAnsi="Times New Roman"/>
                      <w:color w:val="000000" w:themeColor="text1"/>
                      <w:sz w:val="21"/>
                      <w:szCs w:val="21"/>
                      <w:highlight w:val="none"/>
                      <w:lang w:bidi="ar"/>
                    </w:rPr>
                    <w:t>新鲜水</w:t>
                  </w:r>
                </w:p>
              </w:tc>
              <w:tc>
                <w:tcPr>
                  <w:tcW w:w="735" w:type="pct"/>
                  <w:vAlign w:val="center"/>
                </w:tcPr>
                <w:p>
                  <w:pPr>
                    <w:pStyle w:val="18"/>
                    <w:spacing w:line="240" w:lineRule="auto"/>
                    <w:ind w:firstLine="0" w:firstLineChars="0"/>
                    <w:jc w:val="center"/>
                    <w:rPr>
                      <w:rFonts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bidi="ar"/>
                    </w:rPr>
                    <w:t>m</w:t>
                  </w:r>
                  <w:r>
                    <w:rPr>
                      <w:rFonts w:ascii="Times New Roman" w:hAnsi="Times New Roman"/>
                      <w:color w:val="000000" w:themeColor="text1"/>
                      <w:sz w:val="21"/>
                      <w:szCs w:val="21"/>
                      <w:highlight w:val="none"/>
                      <w:vertAlign w:val="superscript"/>
                      <w:lang w:bidi="ar"/>
                    </w:rPr>
                    <w:t>3</w:t>
                  </w:r>
                  <w:r>
                    <w:rPr>
                      <w:rFonts w:ascii="Times New Roman" w:hAnsi="Times New Roman"/>
                      <w:color w:val="000000" w:themeColor="text1"/>
                      <w:sz w:val="21"/>
                      <w:szCs w:val="21"/>
                      <w:highlight w:val="none"/>
                      <w:lang w:bidi="ar"/>
                    </w:rPr>
                    <w:t>/a</w:t>
                  </w:r>
                </w:p>
              </w:tc>
              <w:tc>
                <w:tcPr>
                  <w:tcW w:w="680" w:type="pct"/>
                  <w:vAlign w:val="center"/>
                </w:tcPr>
                <w:p>
                  <w:pPr>
                    <w:pStyle w:val="18"/>
                    <w:spacing w:line="240" w:lineRule="auto"/>
                    <w:ind w:firstLine="0" w:firstLineChars="0"/>
                    <w:jc w:val="center"/>
                    <w:rPr>
                      <w:rFonts w:hint="eastAsia" w:ascii="Times New Roman" w:hAnsi="Times New Roman" w:eastAsia="宋体"/>
                      <w:color w:val="000000" w:themeColor="text1"/>
                      <w:sz w:val="21"/>
                      <w:szCs w:val="21"/>
                      <w:highlight w:val="none"/>
                      <w:lang w:eastAsia="zh-CN" w:bidi="ar"/>
                    </w:rPr>
                  </w:pPr>
                  <w:r>
                    <w:rPr>
                      <w:rFonts w:hint="eastAsia" w:ascii="Times New Roman" w:hAnsi="Times New Roman"/>
                      <w:color w:val="000000" w:themeColor="text1"/>
                      <w:sz w:val="21"/>
                      <w:szCs w:val="21"/>
                      <w:highlight w:val="none"/>
                      <w:lang w:eastAsia="zh-CN" w:bidi="ar"/>
                    </w:rPr>
                    <w:t>615.6</w:t>
                  </w:r>
                </w:p>
              </w:tc>
              <w:tc>
                <w:tcPr>
                  <w:tcW w:w="2444" w:type="pct"/>
                  <w:vAlign w:val="center"/>
                </w:tcPr>
                <w:p>
                  <w:pPr>
                    <w:pStyle w:val="18"/>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项目用水由厂区自备水井提供。</w:t>
                  </w:r>
                </w:p>
              </w:tc>
            </w:tr>
          </w:tbl>
          <w:p>
            <w:pPr>
              <w:ind w:firstLine="480"/>
              <w:rPr>
                <w:color w:val="000000" w:themeColor="text1"/>
                <w:highlight w:val="none"/>
              </w:rPr>
            </w:pPr>
            <w:r>
              <w:rPr>
                <w:rFonts w:hint="eastAsia"/>
                <w:color w:val="000000" w:themeColor="text1"/>
                <w:highlight w:val="none"/>
              </w:rPr>
              <w:t>上述部分原辅材料的特性简述如下：</w:t>
            </w:r>
          </w:p>
          <w:p>
            <w:pPr>
              <w:ind w:firstLine="480"/>
              <w:rPr>
                <w:color w:val="000000" w:themeColor="text1"/>
                <w:highlight w:val="none"/>
              </w:rPr>
            </w:pPr>
            <w:r>
              <w:rPr>
                <w:rFonts w:hint="eastAsia"/>
                <w:color w:val="000000" w:themeColor="text1"/>
                <w:highlight w:val="none"/>
              </w:rPr>
              <w:t>（1）沥青：沥青主要可以分为煤焦沥青、石油沥青和天然沥青三种。项目拟选用</w:t>
            </w:r>
            <w:r>
              <w:rPr>
                <w:color w:val="000000" w:themeColor="text1"/>
                <w:highlight w:val="none"/>
              </w:rPr>
              <w:t>70</w:t>
            </w:r>
            <w:r>
              <w:rPr>
                <w:color w:val="000000" w:themeColor="text1"/>
                <w:highlight w:val="none"/>
                <w:vertAlign w:val="superscript"/>
              </w:rPr>
              <w:t>#</w:t>
            </w:r>
            <w:r>
              <w:rPr>
                <w:rFonts w:hint="eastAsia"/>
                <w:color w:val="000000" w:themeColor="text1"/>
                <w:highlight w:val="none"/>
              </w:rPr>
              <w:t>重交石油沥青，其软化点为</w:t>
            </w:r>
            <w:r>
              <w:rPr>
                <w:color w:val="000000" w:themeColor="text1"/>
                <w:highlight w:val="none"/>
              </w:rPr>
              <w:t>44~54</w:t>
            </w:r>
            <w:r>
              <w:rPr>
                <w:rFonts w:hint="eastAsia" w:ascii="宋体" w:hAnsi="宋体" w:cs="宋体"/>
                <w:color w:val="000000" w:themeColor="text1"/>
                <w:highlight w:val="none"/>
              </w:rPr>
              <w:t>℃</w:t>
            </w:r>
            <w:r>
              <w:rPr>
                <w:rFonts w:hint="eastAsia"/>
                <w:color w:val="000000" w:themeColor="text1"/>
                <w:highlight w:val="none"/>
              </w:rPr>
              <w:t>，闪点不低于</w:t>
            </w:r>
            <w:r>
              <w:rPr>
                <w:color w:val="000000" w:themeColor="text1"/>
                <w:highlight w:val="none"/>
              </w:rPr>
              <w:t>230</w:t>
            </w:r>
            <w:r>
              <w:rPr>
                <w:rFonts w:hint="eastAsia" w:ascii="宋体" w:hAnsi="宋体" w:cs="宋体"/>
                <w:color w:val="000000" w:themeColor="text1"/>
                <w:highlight w:val="none"/>
              </w:rPr>
              <w:t>℃</w:t>
            </w:r>
            <w:r>
              <w:rPr>
                <w:rFonts w:hint="eastAsia"/>
                <w:color w:val="000000" w:themeColor="text1"/>
                <w:highlight w:val="none"/>
              </w:rPr>
              <w:t>。石油沥青是原油蒸馏后的残渣。根据提炼程度的不同，在常温下呈液体、半固体或固体。石油沥青色黑而有光泽，具有较高的感温性。它在生产过程中曾经蒸馏至</w:t>
            </w:r>
            <w:r>
              <w:rPr>
                <w:color w:val="000000" w:themeColor="text1"/>
                <w:highlight w:val="none"/>
              </w:rPr>
              <w:t>400</w:t>
            </w:r>
            <w:r>
              <w:rPr>
                <w:rFonts w:hint="eastAsia" w:ascii="宋体" w:hAnsi="宋体" w:cs="宋体"/>
                <w:color w:val="000000" w:themeColor="text1"/>
                <w:highlight w:val="none"/>
              </w:rPr>
              <w:t>℃</w:t>
            </w:r>
            <w:r>
              <w:rPr>
                <w:rFonts w:hint="eastAsia"/>
                <w:color w:val="000000" w:themeColor="text1"/>
                <w:highlight w:val="none"/>
              </w:rPr>
              <w:t>以上，因而所含挥发成分甚少。</w:t>
            </w:r>
          </w:p>
          <w:p>
            <w:pPr>
              <w:ind w:firstLine="480"/>
              <w:rPr>
                <w:color w:val="000000" w:themeColor="text1"/>
                <w:highlight w:val="none"/>
              </w:rPr>
            </w:pPr>
            <w:r>
              <w:rPr>
                <w:rFonts w:hint="eastAsia"/>
                <w:color w:val="000000" w:themeColor="text1"/>
                <w:highlight w:val="none"/>
              </w:rPr>
              <w:t>（</w:t>
            </w:r>
            <w:r>
              <w:rPr>
                <w:color w:val="000000" w:themeColor="text1"/>
                <w:highlight w:val="none"/>
              </w:rPr>
              <w:t>2</w:t>
            </w:r>
            <w:r>
              <w:rPr>
                <w:rFonts w:hint="eastAsia"/>
                <w:color w:val="000000" w:themeColor="text1"/>
                <w:highlight w:val="none"/>
              </w:rPr>
              <w:t>）骨料：包含不同粒度规格，是沥青砼的主要骨料。本项目骨料规格为0-3mm、3-5mm、5-10mm、10-15mm、10-20mm、10-30mm。经采购后直接运进原料库房分区暂存。</w:t>
            </w:r>
          </w:p>
          <w:p>
            <w:pPr>
              <w:ind w:firstLine="480"/>
              <w:rPr>
                <w:color w:val="000000" w:themeColor="text1"/>
                <w:highlight w:val="none"/>
              </w:rPr>
            </w:pPr>
            <w:r>
              <w:rPr>
                <w:rFonts w:hint="eastAsia"/>
                <w:color w:val="000000" w:themeColor="text1"/>
                <w:highlight w:val="none"/>
              </w:rPr>
              <w:t>（</w:t>
            </w:r>
            <w:r>
              <w:rPr>
                <w:color w:val="000000" w:themeColor="text1"/>
                <w:highlight w:val="none"/>
              </w:rPr>
              <w:t>3</w:t>
            </w:r>
            <w:r>
              <w:rPr>
                <w:rFonts w:hint="eastAsia"/>
                <w:color w:val="000000" w:themeColor="text1"/>
                <w:highlight w:val="none"/>
              </w:rPr>
              <w:t>）矿粉：</w:t>
            </w:r>
            <w:r>
              <w:rPr>
                <w:color w:val="000000" w:themeColor="text1"/>
                <w:szCs w:val="21"/>
                <w:highlight w:val="none"/>
                <w:shd w:val="clear" w:color="auto" w:fill="FFFFFF"/>
              </w:rPr>
              <w:t>矿粉是用水淬高炉矿渣，经干燥</w:t>
            </w:r>
            <w:r>
              <w:rPr>
                <w:rFonts w:hint="eastAsia"/>
                <w:color w:val="000000" w:themeColor="text1"/>
                <w:szCs w:val="21"/>
                <w:highlight w:val="none"/>
                <w:shd w:val="clear" w:color="auto" w:fill="FFFFFF"/>
              </w:rPr>
              <w:t>、</w:t>
            </w:r>
            <w:r>
              <w:rPr>
                <w:color w:val="000000" w:themeColor="text1"/>
                <w:szCs w:val="21"/>
                <w:highlight w:val="none"/>
                <w:shd w:val="clear" w:color="auto" w:fill="FFFFFF"/>
              </w:rPr>
              <w:t>粉磨等工艺处理后得到的高细度</w:t>
            </w:r>
            <w:r>
              <w:rPr>
                <w:rFonts w:hint="eastAsia"/>
                <w:color w:val="000000" w:themeColor="text1"/>
                <w:szCs w:val="21"/>
                <w:highlight w:val="none"/>
                <w:shd w:val="clear" w:color="auto" w:fill="FFFFFF"/>
              </w:rPr>
              <w:t>、</w:t>
            </w:r>
            <w:r>
              <w:rPr>
                <w:color w:val="000000" w:themeColor="text1"/>
                <w:szCs w:val="21"/>
                <w:highlight w:val="none"/>
                <w:shd w:val="clear" w:color="auto" w:fill="FFFFFF"/>
              </w:rPr>
              <w:t>高活性粉料，是优质的混凝土掺合料和水泥混合材</w:t>
            </w:r>
            <w:r>
              <w:rPr>
                <w:rFonts w:hint="eastAsia"/>
                <w:color w:val="000000" w:themeColor="text1"/>
                <w:szCs w:val="21"/>
                <w:highlight w:val="none"/>
                <w:shd w:val="clear" w:color="auto" w:fill="FFFFFF"/>
              </w:rPr>
              <w:t>料</w:t>
            </w:r>
            <w:r>
              <w:rPr>
                <w:color w:val="000000" w:themeColor="text1"/>
                <w:szCs w:val="21"/>
                <w:highlight w:val="none"/>
                <w:shd w:val="clear" w:color="auto" w:fill="FFFFFF"/>
              </w:rPr>
              <w:t>，是</w:t>
            </w:r>
            <w:r>
              <w:rPr>
                <w:rFonts w:hint="eastAsia"/>
                <w:color w:val="000000" w:themeColor="text1"/>
                <w:szCs w:val="21"/>
                <w:highlight w:val="none"/>
                <w:shd w:val="clear" w:color="auto" w:fill="FFFFFF"/>
              </w:rPr>
              <w:t>用于</w:t>
            </w:r>
            <w:r>
              <w:rPr>
                <w:color w:val="000000" w:themeColor="text1"/>
                <w:szCs w:val="21"/>
                <w:highlight w:val="none"/>
                <w:shd w:val="clear" w:color="auto" w:fill="FFFFFF"/>
              </w:rPr>
              <w:t>配制高性能混凝土的重要材料。通过使用粒化高炉矿渣粉，可有效提高混凝土的抗压强度，降低混凝土的成本</w:t>
            </w:r>
            <w:r>
              <w:rPr>
                <w:rFonts w:hint="eastAsia"/>
                <w:color w:val="000000" w:themeColor="text1"/>
                <w:szCs w:val="21"/>
                <w:highlight w:val="none"/>
                <w:shd w:val="clear" w:color="auto" w:fill="FFFFFF"/>
              </w:rPr>
              <w:t>；</w:t>
            </w:r>
            <w:r>
              <w:rPr>
                <w:color w:val="000000" w:themeColor="text1"/>
                <w:szCs w:val="21"/>
                <w:highlight w:val="none"/>
                <w:shd w:val="clear" w:color="auto" w:fill="FFFFFF"/>
              </w:rPr>
              <w:t>同时对抑制碱骨料反应，降低水化热，减少混凝土结构早期温度裂缝，提高混凝土密实度，提高抗渗和抗侵蚀能力有明显效果</w:t>
            </w:r>
            <w:r>
              <w:rPr>
                <w:rFonts w:hint="eastAsia"/>
                <w:color w:val="000000" w:themeColor="text1"/>
                <w:szCs w:val="21"/>
                <w:highlight w:val="none"/>
                <w:shd w:val="clear" w:color="auto" w:fill="FFFFFF"/>
              </w:rPr>
              <w:t>。</w:t>
            </w:r>
          </w:p>
          <w:p>
            <w:pPr>
              <w:ind w:firstLine="480"/>
              <w:rPr>
                <w:color w:val="000000" w:themeColor="text1"/>
                <w:highlight w:val="none"/>
              </w:rPr>
            </w:pPr>
            <w:r>
              <w:rPr>
                <w:color w:val="000000" w:themeColor="text1"/>
                <w:highlight w:val="none"/>
                <w:shd w:val="clear" w:color="auto" w:fill="FFFFFF"/>
              </w:rPr>
              <w:t>（</w:t>
            </w:r>
            <w:r>
              <w:rPr>
                <w:rFonts w:hint="eastAsia"/>
                <w:color w:val="000000" w:themeColor="text1"/>
                <w:highlight w:val="none"/>
                <w:shd w:val="clear" w:color="auto" w:fill="FFFFFF"/>
              </w:rPr>
              <w:t>4</w:t>
            </w:r>
            <w:r>
              <w:rPr>
                <w:color w:val="000000" w:themeColor="text1"/>
                <w:highlight w:val="none"/>
                <w:shd w:val="clear" w:color="auto" w:fill="FFFFFF"/>
              </w:rPr>
              <w:t>）</w:t>
            </w:r>
            <w:r>
              <w:rPr>
                <w:rFonts w:hint="eastAsia"/>
                <w:color w:val="000000" w:themeColor="text1"/>
                <w:highlight w:val="none"/>
              </w:rPr>
              <w:t>天然气（L</w:t>
            </w:r>
            <w:r>
              <w:rPr>
                <w:color w:val="000000" w:themeColor="text1"/>
                <w:highlight w:val="none"/>
              </w:rPr>
              <w:t>NG</w:t>
            </w:r>
            <w:r>
              <w:rPr>
                <w:rFonts w:hint="eastAsia"/>
                <w:color w:val="000000" w:themeColor="text1"/>
                <w:highlight w:val="none"/>
              </w:rPr>
              <w:t>）：项目外购天然气，通过2座天然气储罐在厂区贮存，天然气（L</w:t>
            </w:r>
            <w:r>
              <w:rPr>
                <w:color w:val="000000" w:themeColor="text1"/>
                <w:highlight w:val="none"/>
              </w:rPr>
              <w:t>NG</w:t>
            </w:r>
            <w:r>
              <w:rPr>
                <w:rFonts w:hint="eastAsia"/>
                <w:color w:val="000000" w:themeColor="text1"/>
                <w:highlight w:val="none"/>
              </w:rPr>
              <w:t>）储罐容积为56</w:t>
            </w:r>
            <w:r>
              <w:rPr>
                <w:color w:val="000000" w:themeColor="text1"/>
                <w:highlight w:val="none"/>
              </w:rPr>
              <w:t>m</w:t>
            </w:r>
            <w:r>
              <w:rPr>
                <w:color w:val="000000" w:themeColor="text1"/>
                <w:highlight w:val="none"/>
                <w:vertAlign w:val="superscript"/>
              </w:rPr>
              <w:t>3</w:t>
            </w:r>
            <w:r>
              <w:rPr>
                <w:rFonts w:hint="eastAsia"/>
                <w:color w:val="000000" w:themeColor="text1"/>
                <w:highlight w:val="none"/>
              </w:rPr>
              <w:t>，L</w:t>
            </w:r>
            <w:r>
              <w:rPr>
                <w:color w:val="000000" w:themeColor="text1"/>
                <w:highlight w:val="none"/>
              </w:rPr>
              <w:t>NG</w:t>
            </w:r>
            <w:r>
              <w:rPr>
                <w:rFonts w:hint="eastAsia"/>
                <w:color w:val="000000" w:themeColor="text1"/>
                <w:highlight w:val="none"/>
              </w:rPr>
              <w:t>密度为一般在0</w:t>
            </w:r>
            <w:r>
              <w:rPr>
                <w:color w:val="000000" w:themeColor="text1"/>
                <w:highlight w:val="none"/>
              </w:rPr>
              <w:t>.4</w:t>
            </w:r>
            <w:r>
              <w:rPr>
                <w:rFonts w:hint="eastAsia"/>
                <w:color w:val="000000" w:themeColor="text1"/>
                <w:highlight w:val="none"/>
              </w:rPr>
              <w:t>2</w:t>
            </w:r>
            <w:r>
              <w:rPr>
                <w:color w:val="000000" w:themeColor="text1"/>
                <w:highlight w:val="none"/>
              </w:rPr>
              <w:t>0t/</w:t>
            </w:r>
            <w:r>
              <w:rPr>
                <w:rFonts w:hint="eastAsia"/>
                <w:color w:val="000000" w:themeColor="text1"/>
                <w:highlight w:val="none"/>
              </w:rPr>
              <w:t>m</w:t>
            </w:r>
            <w:r>
              <w:rPr>
                <w:rFonts w:hint="eastAsia"/>
                <w:color w:val="000000" w:themeColor="text1"/>
                <w:highlight w:val="none"/>
                <w:vertAlign w:val="superscript"/>
              </w:rPr>
              <w:t>3</w:t>
            </w:r>
            <w:r>
              <w:rPr>
                <w:rFonts w:hint="eastAsia"/>
                <w:color w:val="000000" w:themeColor="text1"/>
                <w:highlight w:val="none"/>
              </w:rPr>
              <w:t>~0</w:t>
            </w:r>
            <w:r>
              <w:rPr>
                <w:color w:val="000000" w:themeColor="text1"/>
                <w:highlight w:val="none"/>
              </w:rPr>
              <w:t>.4</w:t>
            </w:r>
            <w:r>
              <w:rPr>
                <w:rFonts w:hint="eastAsia"/>
                <w:color w:val="000000" w:themeColor="text1"/>
                <w:highlight w:val="none"/>
              </w:rPr>
              <w:t>6</w:t>
            </w:r>
            <w:r>
              <w:rPr>
                <w:color w:val="000000" w:themeColor="text1"/>
                <w:highlight w:val="none"/>
              </w:rPr>
              <w:t>0t/</w:t>
            </w:r>
            <w:r>
              <w:rPr>
                <w:rFonts w:hint="eastAsia"/>
                <w:color w:val="000000" w:themeColor="text1"/>
                <w:highlight w:val="none"/>
              </w:rPr>
              <w:t>m</w:t>
            </w:r>
            <w:r>
              <w:rPr>
                <w:rFonts w:hint="eastAsia"/>
                <w:color w:val="000000" w:themeColor="text1"/>
                <w:highlight w:val="none"/>
                <w:vertAlign w:val="superscript"/>
              </w:rPr>
              <w:t>3</w:t>
            </w:r>
            <w:r>
              <w:rPr>
                <w:rFonts w:hint="eastAsia"/>
                <w:color w:val="000000" w:themeColor="text1"/>
                <w:highlight w:val="none"/>
              </w:rPr>
              <w:t>之间，本项目按最大密度0</w:t>
            </w:r>
            <w:r>
              <w:rPr>
                <w:color w:val="000000" w:themeColor="text1"/>
                <w:highlight w:val="none"/>
              </w:rPr>
              <w:t>.4</w:t>
            </w:r>
            <w:r>
              <w:rPr>
                <w:rFonts w:hint="eastAsia"/>
                <w:color w:val="000000" w:themeColor="text1"/>
                <w:highlight w:val="none"/>
              </w:rPr>
              <w:t>6</w:t>
            </w:r>
            <w:r>
              <w:rPr>
                <w:color w:val="000000" w:themeColor="text1"/>
                <w:highlight w:val="none"/>
              </w:rPr>
              <w:t>0t/</w:t>
            </w:r>
            <w:r>
              <w:rPr>
                <w:rFonts w:hint="eastAsia"/>
                <w:color w:val="000000" w:themeColor="text1"/>
                <w:highlight w:val="none"/>
              </w:rPr>
              <w:t>m</w:t>
            </w:r>
            <w:r>
              <w:rPr>
                <w:rFonts w:hint="eastAsia"/>
                <w:color w:val="000000" w:themeColor="text1"/>
                <w:highlight w:val="none"/>
                <w:vertAlign w:val="superscript"/>
              </w:rPr>
              <w:t>3</w:t>
            </w:r>
            <w:r>
              <w:rPr>
                <w:rFonts w:hint="eastAsia"/>
                <w:color w:val="000000" w:themeColor="text1"/>
                <w:highlight w:val="none"/>
              </w:rPr>
              <w:t>计，厂区最大存量为51.52</w:t>
            </w:r>
            <w:r>
              <w:rPr>
                <w:color w:val="000000" w:themeColor="text1"/>
                <w:highlight w:val="none"/>
              </w:rPr>
              <w:t>t</w:t>
            </w:r>
            <w:r>
              <w:rPr>
                <w:rFonts w:hint="eastAsia"/>
                <w:color w:val="000000" w:themeColor="text1"/>
                <w:highlight w:val="none"/>
              </w:rPr>
              <w:t>。天然气的组分清单列表如下：</w:t>
            </w:r>
          </w:p>
          <w:p>
            <w:pPr>
              <w:ind w:firstLine="0" w:firstLineChars="0"/>
              <w:jc w:val="center"/>
              <w:rPr>
                <w:b/>
                <w:color w:val="000000" w:themeColor="text1"/>
                <w:sz w:val="21"/>
                <w:szCs w:val="21"/>
                <w:highlight w:val="none"/>
              </w:rPr>
            </w:pPr>
            <w:r>
              <w:rPr>
                <w:b/>
                <w:color w:val="000000" w:themeColor="text1"/>
                <w:sz w:val="21"/>
                <w:szCs w:val="21"/>
                <w:highlight w:val="none"/>
              </w:rPr>
              <w:t>表</w:t>
            </w:r>
            <w:r>
              <w:rPr>
                <w:rFonts w:hint="eastAsia"/>
                <w:b/>
                <w:color w:val="000000" w:themeColor="text1"/>
                <w:sz w:val="21"/>
                <w:szCs w:val="21"/>
                <w:highlight w:val="none"/>
              </w:rPr>
              <w:t>2-3  天然气各组分组成情况一览表</w:t>
            </w:r>
          </w:p>
          <w:tbl>
            <w:tblPr>
              <w:tblStyle w:val="22"/>
              <w:tblW w:w="8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345"/>
              <w:gridCol w:w="2048"/>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b/>
                      <w:color w:val="000000" w:themeColor="text1"/>
                      <w:sz w:val="21"/>
                      <w:szCs w:val="21"/>
                      <w:highlight w:val="none"/>
                    </w:rPr>
                  </w:pPr>
                  <w:r>
                    <w:rPr>
                      <w:rFonts w:hint="eastAsia" w:hAnsi="宋体"/>
                      <w:b/>
                      <w:color w:val="000000" w:themeColor="text1"/>
                      <w:sz w:val="21"/>
                      <w:szCs w:val="21"/>
                      <w:highlight w:val="none"/>
                    </w:rPr>
                    <w:t>序号</w:t>
                  </w:r>
                </w:p>
              </w:tc>
              <w:tc>
                <w:tcPr>
                  <w:tcW w:w="3345" w:type="dxa"/>
                  <w:vAlign w:val="center"/>
                </w:tcPr>
                <w:p>
                  <w:pPr>
                    <w:spacing w:line="240" w:lineRule="auto"/>
                    <w:ind w:firstLine="0" w:firstLineChars="0"/>
                    <w:jc w:val="center"/>
                    <w:rPr>
                      <w:rFonts w:hAnsi="宋体"/>
                      <w:b/>
                      <w:color w:val="000000" w:themeColor="text1"/>
                      <w:sz w:val="21"/>
                      <w:szCs w:val="21"/>
                      <w:highlight w:val="none"/>
                    </w:rPr>
                  </w:pPr>
                  <w:r>
                    <w:rPr>
                      <w:rFonts w:hint="eastAsia" w:hAnsi="宋体"/>
                      <w:b/>
                      <w:color w:val="000000" w:themeColor="text1"/>
                      <w:sz w:val="21"/>
                      <w:szCs w:val="21"/>
                      <w:highlight w:val="none"/>
                    </w:rPr>
                    <w:t>项目</w:t>
                  </w:r>
                </w:p>
              </w:tc>
              <w:tc>
                <w:tcPr>
                  <w:tcW w:w="2048" w:type="dxa"/>
                  <w:vAlign w:val="center"/>
                </w:tcPr>
                <w:p>
                  <w:pPr>
                    <w:spacing w:line="240" w:lineRule="auto"/>
                    <w:ind w:firstLine="0" w:firstLineChars="0"/>
                    <w:jc w:val="center"/>
                    <w:rPr>
                      <w:rFonts w:hAnsi="宋体"/>
                      <w:b/>
                      <w:color w:val="000000" w:themeColor="text1"/>
                      <w:sz w:val="21"/>
                      <w:szCs w:val="21"/>
                      <w:highlight w:val="none"/>
                    </w:rPr>
                  </w:pPr>
                  <w:r>
                    <w:rPr>
                      <w:rFonts w:hint="eastAsia" w:hAnsi="宋体"/>
                      <w:b/>
                      <w:color w:val="000000" w:themeColor="text1"/>
                      <w:sz w:val="21"/>
                      <w:szCs w:val="21"/>
                      <w:highlight w:val="none"/>
                    </w:rPr>
                    <w:t>单位</w:t>
                  </w:r>
                </w:p>
              </w:tc>
              <w:tc>
                <w:tcPr>
                  <w:tcW w:w="1882" w:type="dxa"/>
                  <w:vAlign w:val="center"/>
                </w:tcPr>
                <w:p>
                  <w:pPr>
                    <w:spacing w:line="240" w:lineRule="auto"/>
                    <w:ind w:firstLine="0" w:firstLineChars="0"/>
                    <w:jc w:val="center"/>
                    <w:rPr>
                      <w:rFonts w:hAnsi="宋体"/>
                      <w:b/>
                      <w:color w:val="000000" w:themeColor="text1"/>
                      <w:sz w:val="21"/>
                      <w:szCs w:val="21"/>
                      <w:highlight w:val="none"/>
                    </w:rPr>
                  </w:pPr>
                  <w:r>
                    <w:rPr>
                      <w:rFonts w:hint="eastAsia" w:hAnsi="宋体"/>
                      <w:b/>
                      <w:color w:val="000000" w:themeColor="text1"/>
                      <w:sz w:val="21"/>
                      <w:szCs w:val="21"/>
                      <w:highlight w:val="none"/>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甲烷</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99.81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2</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乙烷</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3</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丙烷</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4</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异丁烷</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5</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正丁烷</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6</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异戊烷</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7</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正戊烷</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8</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碳6+</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9</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氮</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10</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氧</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11</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二氧化碳</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mo</w:t>
                  </w:r>
                  <w:r>
                    <w:rPr>
                      <w:rFonts w:hAnsi="宋体"/>
                      <w:color w:val="000000" w:themeColor="text1"/>
                      <w:sz w:val="21"/>
                      <w:szCs w:val="21"/>
                      <w:highlight w:val="none"/>
                    </w:rPr>
                    <w:t>l</w:t>
                  </w:r>
                  <w:r>
                    <w:rPr>
                      <w:rFonts w:hint="eastAsia" w:hAnsi="宋体"/>
                      <w:color w:val="000000" w:themeColor="text1"/>
                      <w:sz w:val="21"/>
                      <w:szCs w:val="21"/>
                      <w:highlight w:val="none"/>
                    </w:rPr>
                    <w: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12</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总硫</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mg/Nm</w:t>
                  </w:r>
                  <w:r>
                    <w:rPr>
                      <w:rFonts w:hint="eastAsia" w:hAnsi="宋体"/>
                      <w:color w:val="000000" w:themeColor="text1"/>
                      <w:sz w:val="21"/>
                      <w:szCs w:val="21"/>
                      <w:highlight w:val="none"/>
                      <w:vertAlign w:val="superscript"/>
                    </w:rPr>
                    <w:t>3</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14</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硫化氢</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mg/Nm</w:t>
                  </w:r>
                  <w:r>
                    <w:rPr>
                      <w:rFonts w:hint="eastAsia" w:hAnsi="宋体"/>
                      <w:color w:val="000000" w:themeColor="text1"/>
                      <w:sz w:val="21"/>
                      <w:szCs w:val="21"/>
                      <w:highlight w:val="none"/>
                      <w:vertAlign w:val="superscript"/>
                    </w:rPr>
                    <w:t>3</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15</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气化比</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w:t>
                  </w:r>
                  <w:r>
                    <w:rPr>
                      <w:rFonts w:hint="eastAsia" w:hAnsi="宋体"/>
                      <w:color w:val="000000" w:themeColor="text1"/>
                      <w:sz w:val="21"/>
                      <w:szCs w:val="21"/>
                      <w:highlight w:val="none"/>
                      <w:vertAlign w:val="superscript"/>
                    </w:rPr>
                    <w:t>3</w:t>
                  </w:r>
                  <w:r>
                    <w:rPr>
                      <w:rFonts w:hint="eastAsia" w:hAnsi="宋体"/>
                      <w:color w:val="000000" w:themeColor="text1"/>
                      <w:sz w:val="21"/>
                      <w:szCs w:val="21"/>
                      <w:highlight w:val="none"/>
                    </w:rPr>
                    <w:t>/T</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1492.96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16</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密度</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T/M</w:t>
                  </w:r>
                  <w:r>
                    <w:rPr>
                      <w:rFonts w:hint="eastAsia" w:hAnsi="宋体"/>
                      <w:color w:val="000000" w:themeColor="text1"/>
                      <w:sz w:val="21"/>
                      <w:szCs w:val="21"/>
                      <w:highlight w:val="none"/>
                      <w:vertAlign w:val="superscript"/>
                    </w:rPr>
                    <w:t>3</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0.42199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17</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单位质量热值（低热值）</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MJ/kg</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49.930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18</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单位质量热值（高热值）</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MJ/kg</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55.430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19</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单位体积热值（低热值）</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MJ/Nm</w:t>
                  </w:r>
                  <w:r>
                    <w:rPr>
                      <w:rFonts w:hint="eastAsia" w:hAnsi="宋体"/>
                      <w:color w:val="000000" w:themeColor="text1"/>
                      <w:sz w:val="21"/>
                      <w:szCs w:val="21"/>
                      <w:highlight w:val="none"/>
                      <w:vertAlign w:val="superscript"/>
                    </w:rPr>
                    <w:t>3</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33.444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20</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单位体积热值（高热值）</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MJ/Nm</w:t>
                  </w:r>
                  <w:r>
                    <w:rPr>
                      <w:rFonts w:hint="eastAsia" w:hAnsi="宋体"/>
                      <w:color w:val="000000" w:themeColor="text1"/>
                      <w:sz w:val="21"/>
                      <w:szCs w:val="21"/>
                      <w:highlight w:val="none"/>
                      <w:vertAlign w:val="superscript"/>
                    </w:rPr>
                    <w:t>3</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37.127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7"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21</w:t>
                  </w:r>
                </w:p>
              </w:tc>
              <w:tc>
                <w:tcPr>
                  <w:tcW w:w="3345"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沃泊指数</w:t>
                  </w:r>
                </w:p>
              </w:tc>
              <w:tc>
                <w:tcPr>
                  <w:tcW w:w="2048"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MJ/Nm</w:t>
                  </w:r>
                  <w:r>
                    <w:rPr>
                      <w:rFonts w:hint="eastAsia" w:hAnsi="宋体"/>
                      <w:color w:val="000000" w:themeColor="text1"/>
                      <w:sz w:val="21"/>
                      <w:szCs w:val="21"/>
                      <w:highlight w:val="none"/>
                      <w:vertAlign w:val="superscript"/>
                    </w:rPr>
                    <w:t>3</w:t>
                  </w:r>
                </w:p>
              </w:tc>
              <w:tc>
                <w:tcPr>
                  <w:tcW w:w="1882" w:type="dxa"/>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44.893</w:t>
                  </w:r>
                </w:p>
              </w:tc>
            </w:tr>
          </w:tbl>
          <w:p>
            <w:pPr>
              <w:numPr>
                <w:ilvl w:val="0"/>
                <w:numId w:val="3"/>
              </w:numPr>
              <w:ind w:firstLine="480"/>
              <w:rPr>
                <w:color w:val="000000" w:themeColor="text1"/>
                <w:highlight w:val="none"/>
              </w:rPr>
            </w:pPr>
            <w:r>
              <w:rPr>
                <w:rFonts w:hint="eastAsia"/>
                <w:color w:val="000000" w:themeColor="text1"/>
                <w:highlight w:val="none"/>
              </w:rPr>
              <w:t>导热油：</w:t>
            </w:r>
            <w:r>
              <w:rPr>
                <w:rFonts w:hint="eastAsia"/>
                <w:color w:val="000000" w:themeColor="text1"/>
                <w:highlight w:val="none"/>
                <w:lang w:val="en-US" w:eastAsia="zh-CN"/>
              </w:rPr>
              <w:t>本项目所用的导热油为矿物油型有机热载体。矿物油型有机热载体以石油为原料，主要成分为烃类混合物。</w:t>
            </w:r>
            <w:r>
              <w:rPr>
                <w:rFonts w:hint="eastAsia"/>
                <w:color w:val="000000" w:themeColor="text1"/>
                <w:highlight w:val="none"/>
              </w:rPr>
              <w:t>导热油室温下为琥珀色液体</w:t>
            </w:r>
            <w:r>
              <w:rPr>
                <w:rFonts w:hint="eastAsia"/>
                <w:color w:val="000000" w:themeColor="text1"/>
                <w:highlight w:val="none"/>
                <w:lang w:eastAsia="zh-CN"/>
              </w:rPr>
              <w:t>，</w:t>
            </w:r>
            <w:r>
              <w:rPr>
                <w:rFonts w:hint="eastAsia"/>
                <w:color w:val="000000" w:themeColor="text1"/>
                <w:highlight w:val="none"/>
              </w:rPr>
              <w:t>初沸点＞280℃，闪点为216℃，自燃温度＞320℃，相对密度0.8694，加热至其闪点或高于闪点时会形成可燃混合物或燃烧。导热油正常条件下使用不会成为健康危险源，泄漏可能导致大气污染和水源污染，长期或持续接触皮肤，而不适当清洗可能会阻塞皮肤毛孔导致皮肤过敏、油脂性粉刺、毛囊炎等，若不慎摄入可能会导致恶心、呕吐或腹泻。</w:t>
            </w:r>
          </w:p>
          <w:p>
            <w:pPr>
              <w:spacing w:before="120" w:beforeLines="50"/>
              <w:ind w:firstLine="482"/>
              <w:rPr>
                <w:b/>
                <w:color w:val="000000" w:themeColor="text1"/>
                <w:szCs w:val="30"/>
                <w:highlight w:val="none"/>
              </w:rPr>
            </w:pPr>
            <w:r>
              <w:rPr>
                <w:rFonts w:hint="eastAsia"/>
                <w:b/>
                <w:color w:val="000000" w:themeColor="text1"/>
                <w:szCs w:val="30"/>
                <w:highlight w:val="none"/>
              </w:rPr>
              <w:t>3、主要生产单元、主要生产设施及设施参数</w:t>
            </w:r>
          </w:p>
          <w:p>
            <w:pPr>
              <w:ind w:firstLine="480"/>
              <w:rPr>
                <w:color w:val="000000" w:themeColor="text1"/>
                <w:highlight w:val="none"/>
              </w:rPr>
            </w:pPr>
            <w:r>
              <w:rPr>
                <w:color w:val="000000" w:themeColor="text1"/>
                <w:highlight w:val="none"/>
              </w:rPr>
              <w:t>项目主要生产</w:t>
            </w:r>
            <w:r>
              <w:rPr>
                <w:rFonts w:hint="eastAsia"/>
                <w:color w:val="000000" w:themeColor="text1"/>
                <w:highlight w:val="none"/>
              </w:rPr>
              <w:t>设施及设施参数</w:t>
            </w:r>
            <w:r>
              <w:rPr>
                <w:color w:val="000000" w:themeColor="text1"/>
                <w:highlight w:val="none"/>
              </w:rPr>
              <w:t>见</w:t>
            </w:r>
            <w:r>
              <w:rPr>
                <w:rFonts w:hint="eastAsia"/>
                <w:color w:val="000000" w:themeColor="text1"/>
                <w:highlight w:val="none"/>
              </w:rPr>
              <w:t>下表</w:t>
            </w:r>
            <w:r>
              <w:rPr>
                <w:color w:val="000000" w:themeColor="text1"/>
                <w:highlight w:val="none"/>
              </w:rPr>
              <w:t>。</w:t>
            </w:r>
          </w:p>
          <w:p>
            <w:pPr>
              <w:ind w:firstLine="0" w:firstLineChars="0"/>
              <w:jc w:val="center"/>
              <w:rPr>
                <w:b/>
                <w:color w:val="000000" w:themeColor="text1"/>
                <w:sz w:val="21"/>
                <w:highlight w:val="none"/>
              </w:rPr>
            </w:pPr>
            <w:r>
              <w:rPr>
                <w:rFonts w:hint="eastAsia"/>
                <w:b/>
                <w:color w:val="000000" w:themeColor="text1"/>
                <w:sz w:val="21"/>
                <w:szCs w:val="21"/>
                <w:highlight w:val="none"/>
              </w:rPr>
              <w:t>表2-4  项目主要生产</w:t>
            </w:r>
            <w:r>
              <w:rPr>
                <w:rFonts w:hint="eastAsia"/>
                <w:b/>
                <w:color w:val="000000" w:themeColor="text1"/>
                <w:sz w:val="21"/>
                <w:highlight w:val="none"/>
              </w:rPr>
              <w:t>设施一览表</w:t>
            </w:r>
          </w:p>
          <w:tbl>
            <w:tblPr>
              <w:tblStyle w:val="22"/>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043"/>
              <w:gridCol w:w="1936"/>
              <w:gridCol w:w="1104"/>
              <w:gridCol w:w="1130"/>
              <w:gridCol w:w="67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shd w:val="clear" w:color="auto" w:fill="auto"/>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主要生产单元</w:t>
                  </w:r>
                </w:p>
              </w:tc>
              <w:tc>
                <w:tcPr>
                  <w:tcW w:w="1043" w:type="dxa"/>
                  <w:shd w:val="clear" w:color="auto" w:fill="auto"/>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主要工艺</w:t>
                  </w:r>
                </w:p>
              </w:tc>
              <w:tc>
                <w:tcPr>
                  <w:tcW w:w="1936" w:type="dxa"/>
                  <w:shd w:val="clear" w:color="auto" w:fill="auto"/>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生产设施</w:t>
                  </w:r>
                </w:p>
              </w:tc>
              <w:tc>
                <w:tcPr>
                  <w:tcW w:w="1104" w:type="dxa"/>
                  <w:shd w:val="clear" w:color="auto" w:fill="auto"/>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设施参数</w:t>
                  </w:r>
                </w:p>
              </w:tc>
              <w:tc>
                <w:tcPr>
                  <w:tcW w:w="1130" w:type="dxa"/>
                  <w:shd w:val="clear" w:color="auto" w:fill="auto"/>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处理能力</w:t>
                  </w:r>
                </w:p>
              </w:tc>
              <w:tc>
                <w:tcPr>
                  <w:tcW w:w="670" w:type="dxa"/>
                  <w:shd w:val="clear" w:color="auto" w:fill="auto"/>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数量</w:t>
                  </w:r>
                </w:p>
              </w:tc>
              <w:tc>
                <w:tcPr>
                  <w:tcW w:w="1657" w:type="dxa"/>
                  <w:shd w:val="clear" w:color="auto" w:fill="auto"/>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骨料预处理系统</w:t>
                  </w: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冷骨料供给</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上料仓</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容积</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18m</w:t>
                  </w:r>
                  <w:r>
                    <w:rPr>
                      <w:rFonts w:hint="eastAsia"/>
                      <w:color w:val="000000" w:themeColor="text1"/>
                      <w:sz w:val="21"/>
                      <w:szCs w:val="21"/>
                      <w:highlight w:val="none"/>
                      <w:vertAlign w:val="superscript"/>
                    </w:rPr>
                    <w:t>3</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6个</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带断料报警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喂料</w:t>
                  </w:r>
                  <w:r>
                    <w:rPr>
                      <w:color w:val="000000" w:themeColor="text1"/>
                      <w:sz w:val="21"/>
                      <w:szCs w:val="21"/>
                      <w:highlight w:val="none"/>
                    </w:rPr>
                    <w:t>皮带机</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1.5kW/600mm</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6套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变频器控制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冷料收集皮带机</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11kW/800mm</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输料能力580t/h</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冷骨料干燥</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干燥筒进料皮带</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11kW/800mm</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输料能力540t/h</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烘干滚筒</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T2711</w:t>
                  </w:r>
                </w:p>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2.7×11.07m</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1台</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直径2700mm，</w:t>
                  </w:r>
                </w:p>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长度11070mm。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低氮</w:t>
                  </w:r>
                  <w:r>
                    <w:rPr>
                      <w:color w:val="000000" w:themeColor="text1"/>
                      <w:sz w:val="21"/>
                      <w:szCs w:val="21"/>
                      <w:highlight w:val="none"/>
                    </w:rPr>
                    <w:t>燃烧器</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27MW</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1个</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含原装燃气阀组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热油加热自动控制装置</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测量装置</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温度</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500℃</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红外线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骨料筛分</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热骨料提升机</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处理能力/功率</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400t/h</w:t>
                  </w:r>
                </w:p>
                <w:p>
                  <w:pPr>
                    <w:spacing w:line="240" w:lineRule="auto"/>
                    <w:ind w:firstLine="0" w:firstLineChars="0"/>
                    <w:jc w:val="center"/>
                    <w:rPr>
                      <w:color w:val="000000" w:themeColor="text1"/>
                      <w:sz w:val="21"/>
                      <w:szCs w:val="21"/>
                      <w:highlight w:val="none"/>
                    </w:rPr>
                  </w:pPr>
                  <w:r>
                    <w:rPr>
                      <w:color w:val="000000" w:themeColor="text1"/>
                      <w:sz w:val="21"/>
                      <w:szCs w:val="21"/>
                      <w:highlight w:val="none"/>
                    </w:rPr>
                    <w:t>45</w:t>
                  </w:r>
                  <w:r>
                    <w:rPr>
                      <w:rFonts w:hint="eastAsia"/>
                      <w:color w:val="000000" w:themeColor="text1"/>
                      <w:sz w:val="21"/>
                      <w:szCs w:val="21"/>
                      <w:highlight w:val="none"/>
                    </w:rPr>
                    <w:t>k</w:t>
                  </w:r>
                  <w:r>
                    <w:rPr>
                      <w:color w:val="000000" w:themeColor="text1"/>
                      <w:sz w:val="21"/>
                      <w:szCs w:val="21"/>
                      <w:highlight w:val="none"/>
                    </w:rPr>
                    <w:t>W</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双锚链、直接驱动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筛分系统</w:t>
                  </w:r>
                </w:p>
              </w:tc>
              <w:tc>
                <w:tcPr>
                  <w:tcW w:w="1104" w:type="dxa"/>
                  <w:shd w:val="clear" w:color="auto" w:fill="auto"/>
                  <w:vAlign w:val="center"/>
                </w:tcPr>
                <w:p>
                  <w:pPr>
                    <w:spacing w:line="240" w:lineRule="auto"/>
                    <w:ind w:firstLine="0" w:firstLineChars="0"/>
                    <w:jc w:val="center"/>
                    <w:rPr>
                      <w:color w:val="000000" w:themeColor="text1"/>
                      <w:sz w:val="21"/>
                      <w:szCs w:val="21"/>
                      <w:highlight w:val="none"/>
                      <w:lang w:val="en-GB"/>
                    </w:rPr>
                  </w:pPr>
                  <w:r>
                    <w:rPr>
                      <w:color w:val="000000" w:themeColor="text1"/>
                      <w:sz w:val="21"/>
                      <w:szCs w:val="21"/>
                      <w:highlight w:val="none"/>
                      <w:lang w:val="en-GB"/>
                    </w:rPr>
                    <w:t>筛分面积</w:t>
                  </w:r>
                  <w:r>
                    <w:rPr>
                      <w:rFonts w:hint="eastAsia"/>
                      <w:color w:val="000000" w:themeColor="text1"/>
                      <w:sz w:val="21"/>
                      <w:szCs w:val="21"/>
                      <w:highlight w:val="none"/>
                    </w:rPr>
                    <w:t>/功率</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lang w:val="en-GB"/>
                    </w:rPr>
                    <w:t>67.9</w:t>
                  </w:r>
                  <w:r>
                    <w:rPr>
                      <w:color w:val="000000" w:themeColor="text1"/>
                      <w:sz w:val="21"/>
                      <w:szCs w:val="21"/>
                      <w:highlight w:val="none"/>
                    </w:rPr>
                    <w:t>m</w:t>
                  </w:r>
                  <w:r>
                    <w:rPr>
                      <w:color w:val="000000" w:themeColor="text1"/>
                      <w:sz w:val="21"/>
                      <w:szCs w:val="21"/>
                      <w:highlight w:val="none"/>
                      <w:vertAlign w:val="superscript"/>
                    </w:rPr>
                    <w:t>2</w:t>
                  </w:r>
                </w:p>
                <w:p>
                  <w:pPr>
                    <w:spacing w:line="240" w:lineRule="auto"/>
                    <w:ind w:firstLine="0" w:firstLineChars="0"/>
                    <w:jc w:val="center"/>
                    <w:rPr>
                      <w:color w:val="000000" w:themeColor="text1"/>
                      <w:sz w:val="21"/>
                      <w:szCs w:val="21"/>
                      <w:highlight w:val="none"/>
                    </w:rPr>
                  </w:pPr>
                  <w:r>
                    <w:rPr>
                      <w:color w:val="000000" w:themeColor="text1"/>
                      <w:sz w:val="21"/>
                      <w:szCs w:val="21"/>
                      <w:highlight w:val="none"/>
                    </w:rPr>
                    <w:t>2</w:t>
                  </w:r>
                  <w:r>
                    <w:rPr>
                      <w:rFonts w:hint="eastAsia"/>
                      <w:color w:val="000000" w:themeColor="text1"/>
                      <w:sz w:val="21"/>
                      <w:szCs w:val="21"/>
                      <w:highlight w:val="none"/>
                    </w:rPr>
                    <w:t>×</w:t>
                  </w:r>
                  <w:r>
                    <w:rPr>
                      <w:color w:val="000000" w:themeColor="text1"/>
                      <w:sz w:val="21"/>
                      <w:szCs w:val="21"/>
                      <w:highlight w:val="none"/>
                    </w:rPr>
                    <w:t>22</w:t>
                  </w:r>
                  <w:r>
                    <w:rPr>
                      <w:rFonts w:hint="eastAsia"/>
                      <w:color w:val="000000" w:themeColor="text1"/>
                      <w:sz w:val="21"/>
                      <w:szCs w:val="21"/>
                      <w:highlight w:val="none"/>
                    </w:rPr>
                    <w:t>k</w:t>
                  </w:r>
                  <w:r>
                    <w:rPr>
                      <w:color w:val="000000" w:themeColor="text1"/>
                      <w:sz w:val="21"/>
                      <w:szCs w:val="21"/>
                      <w:highlight w:val="none"/>
                    </w:rPr>
                    <w:t>W</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双滚轴振动筛</w:t>
                  </w:r>
                </w:p>
                <w:p>
                  <w:pPr>
                    <w:spacing w:line="240" w:lineRule="auto"/>
                    <w:ind w:firstLine="0" w:firstLineChars="0"/>
                    <w:jc w:val="center"/>
                    <w:rPr>
                      <w:color w:val="000000" w:themeColor="text1"/>
                      <w:sz w:val="21"/>
                      <w:szCs w:val="21"/>
                      <w:highlight w:val="none"/>
                    </w:rPr>
                  </w:pPr>
                  <w:r>
                    <w:rPr>
                      <w:color w:val="000000" w:themeColor="text1"/>
                      <w:sz w:val="21"/>
                      <w:szCs w:val="21"/>
                      <w:highlight w:val="none"/>
                    </w:rPr>
                    <w:t>六层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沥青预处理系统</w:t>
                  </w: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沥青供应</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rPr>
                    <w:t>沥青</w:t>
                  </w:r>
                  <w:r>
                    <w:rPr>
                      <w:rFonts w:ascii="Arial" w:hAnsi="Arial" w:cs="Arial"/>
                      <w:color w:val="000000" w:themeColor="text1"/>
                      <w:sz w:val="21"/>
                      <w:szCs w:val="21"/>
                      <w:highlight w:val="none"/>
                    </w:rPr>
                    <w:t>罐</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容积</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卧式50m</w:t>
                  </w:r>
                  <w:r>
                    <w:rPr>
                      <w:color w:val="000000" w:themeColor="text1"/>
                      <w:sz w:val="21"/>
                      <w:szCs w:val="21"/>
                      <w:highlight w:val="none"/>
                      <w:vertAlign w:val="superscript"/>
                    </w:rPr>
                    <w:t>3</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6</w:t>
                  </w:r>
                  <w:r>
                    <w:rPr>
                      <w:color w:val="000000" w:themeColor="text1"/>
                      <w:sz w:val="21"/>
                      <w:szCs w:val="21"/>
                      <w:highlight w:val="none"/>
                    </w:rPr>
                    <w:t>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rPr>
                    <w:t>导热油</w:t>
                  </w:r>
                  <w:r>
                    <w:rPr>
                      <w:rFonts w:ascii="Arial" w:hAnsi="Arial" w:cs="Arial"/>
                      <w:color w:val="000000" w:themeColor="text1"/>
                      <w:sz w:val="21"/>
                      <w:szCs w:val="21"/>
                      <w:highlight w:val="none"/>
                    </w:rPr>
                    <w:t>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rFonts w:ascii="Arial" w:hAnsi="Arial" w:cs="Arial"/>
                      <w:color w:val="000000" w:themeColor="text1"/>
                      <w:sz w:val="21"/>
                      <w:szCs w:val="21"/>
                      <w:highlight w:val="none"/>
                    </w:rPr>
                  </w:pPr>
                  <w:r>
                    <w:rPr>
                      <w:rFonts w:hint="eastAsia" w:ascii="Arial" w:hAnsi="Arial" w:cs="Arial"/>
                      <w:color w:val="000000" w:themeColor="text1"/>
                      <w:sz w:val="21"/>
                      <w:szCs w:val="21"/>
                      <w:highlight w:val="none"/>
                    </w:rPr>
                    <w:t>导热油储罐</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容积</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6</w:t>
                  </w:r>
                  <w:r>
                    <w:rPr>
                      <w:color w:val="000000" w:themeColor="text1"/>
                      <w:sz w:val="21"/>
                      <w:szCs w:val="21"/>
                      <w:highlight w:val="none"/>
                    </w:rPr>
                    <w:t>m</w:t>
                  </w:r>
                  <w:r>
                    <w:rPr>
                      <w:color w:val="000000" w:themeColor="text1"/>
                      <w:sz w:val="21"/>
                      <w:szCs w:val="21"/>
                      <w:highlight w:val="none"/>
                      <w:vertAlign w:val="superscript"/>
                    </w:rPr>
                    <w:t>3</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1个</w:t>
                  </w:r>
                </w:p>
              </w:tc>
              <w:tc>
                <w:tcPr>
                  <w:tcW w:w="1657" w:type="dxa"/>
                  <w:shd w:val="clear" w:color="auto" w:fill="auto"/>
                  <w:vAlign w:val="center"/>
                </w:tcPr>
                <w:p>
                  <w:pPr>
                    <w:spacing w:line="240" w:lineRule="auto"/>
                    <w:ind w:firstLine="0" w:firstLineChars="0"/>
                    <w:jc w:val="center"/>
                    <w:rPr>
                      <w:rFonts w:ascii="Arial" w:hAnsi="Arial" w:cs="Arial"/>
                      <w:color w:val="000000" w:themeColor="text1"/>
                      <w:sz w:val="21"/>
                      <w:szCs w:val="21"/>
                      <w:highlight w:val="none"/>
                    </w:rPr>
                  </w:pPr>
                  <w:r>
                    <w:rPr>
                      <w:rFonts w:hint="eastAsia" w:ascii="Arial" w:hAnsi="Arial" w:cs="Arial"/>
                      <w:color w:val="000000" w:themeColor="text1"/>
                      <w:sz w:val="21"/>
                      <w:szCs w:val="21"/>
                      <w:highlight w:val="none"/>
                    </w:rPr>
                    <w:t>存储导热油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rPr>
                    <w:t>导热油炉</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额定蒸发量</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2t/h</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rFonts w:ascii="Arial" w:hAnsi="Arial" w:cs="Arial"/>
                      <w:color w:val="000000" w:themeColor="text1"/>
                      <w:sz w:val="21"/>
                      <w:szCs w:val="21"/>
                      <w:highlight w:val="none"/>
                    </w:rPr>
                  </w:pPr>
                  <w:r>
                    <w:rPr>
                      <w:rFonts w:hint="eastAsia"/>
                      <w:color w:val="000000" w:themeColor="text1"/>
                      <w:sz w:val="21"/>
                      <w:szCs w:val="21"/>
                      <w:highlight w:val="none"/>
                    </w:rPr>
                    <w:t>低氮</w:t>
                  </w:r>
                  <w:r>
                    <w:rPr>
                      <w:color w:val="000000" w:themeColor="text1"/>
                      <w:sz w:val="21"/>
                      <w:szCs w:val="21"/>
                      <w:highlight w:val="none"/>
                    </w:rPr>
                    <w:t>燃烧器</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1个</w:t>
                  </w:r>
                </w:p>
              </w:tc>
              <w:tc>
                <w:tcPr>
                  <w:tcW w:w="1657" w:type="dxa"/>
                  <w:shd w:val="clear" w:color="auto" w:fill="auto"/>
                  <w:vAlign w:val="center"/>
                </w:tcPr>
                <w:p>
                  <w:pPr>
                    <w:spacing w:line="240" w:lineRule="auto"/>
                    <w:ind w:firstLine="0" w:firstLineChars="0"/>
                    <w:jc w:val="center"/>
                    <w:rPr>
                      <w:rFonts w:ascii="Arial" w:hAnsi="Arial" w:cs="Arial"/>
                      <w:color w:val="000000" w:themeColor="text1"/>
                      <w:sz w:val="21"/>
                      <w:szCs w:val="21"/>
                      <w:highlight w:val="none"/>
                    </w:rPr>
                  </w:pPr>
                  <w:r>
                    <w:rPr>
                      <w:rFonts w:hint="eastAsia" w:ascii="Arial" w:hAnsi="Arial" w:cs="Arial"/>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rPr>
                    <w:t>沥青</w:t>
                  </w:r>
                  <w:r>
                    <w:rPr>
                      <w:rFonts w:ascii="Arial" w:hAnsi="Arial" w:cs="Arial"/>
                      <w:color w:val="000000" w:themeColor="text1"/>
                      <w:sz w:val="21"/>
                      <w:szCs w:val="21"/>
                      <w:highlight w:val="none"/>
                    </w:rPr>
                    <w:t>循环管线</w:t>
                  </w:r>
                  <w:r>
                    <w:rPr>
                      <w:rFonts w:hint="eastAsia" w:ascii="Arial" w:hAnsi="Arial" w:cs="Arial"/>
                      <w:color w:val="000000" w:themeColor="text1"/>
                      <w:sz w:val="21"/>
                      <w:szCs w:val="21"/>
                      <w:highlight w:val="none"/>
                    </w:rPr>
                    <w:t>及</w:t>
                  </w:r>
                  <w:r>
                    <w:rPr>
                      <w:rFonts w:ascii="Arial" w:hAnsi="Arial" w:cs="Arial"/>
                      <w:color w:val="000000" w:themeColor="text1"/>
                      <w:sz w:val="21"/>
                      <w:szCs w:val="21"/>
                      <w:highlight w:val="none"/>
                    </w:rPr>
                    <w:t>计量泵</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功率</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11</w:t>
                  </w:r>
                  <w:r>
                    <w:rPr>
                      <w:rFonts w:hint="eastAsia"/>
                      <w:color w:val="000000" w:themeColor="text1"/>
                      <w:sz w:val="21"/>
                      <w:szCs w:val="21"/>
                      <w:highlight w:val="none"/>
                    </w:rPr>
                    <w:t>k</w:t>
                  </w:r>
                  <w:r>
                    <w:rPr>
                      <w:color w:val="000000" w:themeColor="text1"/>
                      <w:sz w:val="21"/>
                      <w:szCs w:val="21"/>
                      <w:highlight w:val="none"/>
                    </w:rPr>
                    <w:t>W</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bCs/>
                      <w:color w:val="000000" w:themeColor="text1"/>
                      <w:sz w:val="21"/>
                      <w:szCs w:val="21"/>
                      <w:highlight w:val="none"/>
                    </w:rPr>
                    <w:t>电子</w:t>
                  </w:r>
                  <w:r>
                    <w:rPr>
                      <w:rFonts w:ascii="Arial" w:hAnsi="Arial" w:cs="Arial"/>
                      <w:bCs/>
                      <w:color w:val="000000" w:themeColor="text1"/>
                      <w:sz w:val="21"/>
                      <w:szCs w:val="21"/>
                      <w:highlight w:val="none"/>
                    </w:rPr>
                    <w:t>加温系统</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4套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rPr>
                    <w:t>自动</w:t>
                  </w:r>
                  <w:r>
                    <w:rPr>
                      <w:rFonts w:ascii="Arial" w:hAnsi="Arial" w:cs="Arial"/>
                      <w:color w:val="000000" w:themeColor="text1"/>
                      <w:sz w:val="21"/>
                      <w:szCs w:val="21"/>
                      <w:highlight w:val="none"/>
                    </w:rPr>
                    <w:t>控制系统显示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bCs/>
                      <w:color w:val="000000" w:themeColor="text1"/>
                      <w:sz w:val="21"/>
                      <w:szCs w:val="21"/>
                      <w:highlight w:val="none"/>
                    </w:rPr>
                    <w:t>卸</w:t>
                  </w:r>
                  <w:r>
                    <w:rPr>
                      <w:rFonts w:hint="eastAsia" w:ascii="Arial" w:hAnsi="Arial" w:cs="Arial"/>
                      <w:bCs/>
                      <w:color w:val="000000" w:themeColor="text1"/>
                      <w:sz w:val="21"/>
                      <w:szCs w:val="21"/>
                      <w:highlight w:val="none"/>
                      <w:lang w:val="en-US" w:eastAsia="zh-CN"/>
                    </w:rPr>
                    <w:t>料</w:t>
                  </w:r>
                  <w:r>
                    <w:rPr>
                      <w:rFonts w:ascii="Arial" w:hAnsi="Arial" w:cs="Arial"/>
                      <w:bCs/>
                      <w:color w:val="000000" w:themeColor="text1"/>
                      <w:sz w:val="21"/>
                      <w:szCs w:val="21"/>
                      <w:highlight w:val="none"/>
                    </w:rPr>
                    <w:t>池及卸</w:t>
                  </w:r>
                  <w:r>
                    <w:rPr>
                      <w:rFonts w:hint="eastAsia" w:ascii="Arial" w:hAnsi="Arial" w:cs="Arial"/>
                      <w:bCs/>
                      <w:color w:val="000000" w:themeColor="text1"/>
                      <w:sz w:val="21"/>
                      <w:szCs w:val="21"/>
                      <w:highlight w:val="none"/>
                      <w:lang w:val="en-US" w:eastAsia="zh-CN"/>
                    </w:rPr>
                    <w:t>料</w:t>
                  </w:r>
                  <w:r>
                    <w:rPr>
                      <w:rFonts w:ascii="Arial" w:hAnsi="Arial" w:cs="Arial"/>
                      <w:bCs/>
                      <w:color w:val="000000" w:themeColor="text1"/>
                      <w:sz w:val="21"/>
                      <w:szCs w:val="21"/>
                      <w:highlight w:val="none"/>
                    </w:rPr>
                    <w:t>泵组</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lang w:val="en-US" w:eastAsia="zh-CN"/>
                    </w:rPr>
                    <w:t>3m</w:t>
                  </w:r>
                  <w:r>
                    <w:rPr>
                      <w:rFonts w:hint="eastAsia"/>
                      <w:color w:val="000000" w:themeColor="text1"/>
                      <w:sz w:val="21"/>
                      <w:szCs w:val="21"/>
                      <w:highlight w:val="none"/>
                    </w:rPr>
                    <w:t>×</w:t>
                  </w:r>
                  <w:r>
                    <w:rPr>
                      <w:rFonts w:hint="eastAsia"/>
                      <w:color w:val="000000" w:themeColor="text1"/>
                      <w:sz w:val="21"/>
                      <w:szCs w:val="21"/>
                      <w:highlight w:val="none"/>
                      <w:lang w:val="en-US" w:eastAsia="zh-CN"/>
                    </w:rPr>
                    <w:t>2m</w:t>
                  </w:r>
                  <w:r>
                    <w:rPr>
                      <w:rFonts w:hint="eastAsia"/>
                      <w:color w:val="000000" w:themeColor="text1"/>
                      <w:sz w:val="21"/>
                      <w:szCs w:val="21"/>
                      <w:highlight w:val="none"/>
                    </w:rPr>
                    <w:t>×</w:t>
                  </w:r>
                  <w:r>
                    <w:rPr>
                      <w:rFonts w:hint="eastAsia"/>
                      <w:color w:val="000000" w:themeColor="text1"/>
                      <w:sz w:val="21"/>
                      <w:szCs w:val="21"/>
                      <w:highlight w:val="none"/>
                      <w:lang w:val="en-US" w:eastAsia="zh-CN"/>
                    </w:rPr>
                    <w:t>1.5m</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lang w:val="en-US" w:eastAsia="zh-CN"/>
                    </w:rPr>
                    <w:t>钢结构密封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bCs/>
                      <w:color w:val="000000" w:themeColor="text1"/>
                      <w:sz w:val="21"/>
                      <w:szCs w:val="21"/>
                      <w:highlight w:val="none"/>
                    </w:rPr>
                    <w:t>搅拌器</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功率</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7.5</w:t>
                  </w:r>
                  <w:r>
                    <w:rPr>
                      <w:rFonts w:hint="eastAsia"/>
                      <w:color w:val="000000" w:themeColor="text1"/>
                      <w:sz w:val="21"/>
                      <w:szCs w:val="21"/>
                      <w:highlight w:val="none"/>
                    </w:rPr>
                    <w:t>k</w:t>
                  </w:r>
                  <w:r>
                    <w:rPr>
                      <w:color w:val="000000" w:themeColor="text1"/>
                      <w:sz w:val="21"/>
                      <w:szCs w:val="21"/>
                      <w:highlight w:val="none"/>
                    </w:rPr>
                    <w:t>W</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2套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顶置式搅拌器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粉料供应系统</w:t>
                  </w: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粉料储存、供应</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bCs/>
                      <w:color w:val="000000" w:themeColor="text1"/>
                      <w:sz w:val="21"/>
                      <w:szCs w:val="21"/>
                      <w:highlight w:val="none"/>
                      <w:lang w:val="en-GB"/>
                    </w:rPr>
                    <w:t>双粉</w:t>
                  </w:r>
                  <w:r>
                    <w:rPr>
                      <w:rFonts w:ascii="Arial" w:hAnsi="Arial" w:cs="Arial"/>
                      <w:bCs/>
                      <w:color w:val="000000" w:themeColor="text1"/>
                      <w:sz w:val="21"/>
                      <w:szCs w:val="21"/>
                      <w:highlight w:val="none"/>
                      <w:lang w:val="en-GB"/>
                    </w:rPr>
                    <w:t>料提升机</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功率</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7.5</w:t>
                  </w:r>
                  <w:r>
                    <w:rPr>
                      <w:rFonts w:hint="eastAsia"/>
                      <w:color w:val="000000" w:themeColor="text1"/>
                      <w:sz w:val="21"/>
                      <w:szCs w:val="21"/>
                      <w:highlight w:val="none"/>
                    </w:rPr>
                    <w:t>k</w:t>
                  </w:r>
                  <w:r>
                    <w:rPr>
                      <w:color w:val="000000" w:themeColor="text1"/>
                      <w:sz w:val="21"/>
                      <w:szCs w:val="21"/>
                      <w:highlight w:val="none"/>
                    </w:rPr>
                    <w:t>W</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50m</w:t>
                  </w:r>
                  <w:r>
                    <w:rPr>
                      <w:color w:val="000000" w:themeColor="text1"/>
                      <w:sz w:val="21"/>
                      <w:szCs w:val="21"/>
                      <w:highlight w:val="none"/>
                      <w:vertAlign w:val="superscript"/>
                    </w:rPr>
                    <w:t>3</w:t>
                  </w:r>
                  <w:r>
                    <w:rPr>
                      <w:color w:val="000000" w:themeColor="text1"/>
                      <w:sz w:val="21"/>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bCs/>
                      <w:color w:val="000000" w:themeColor="text1"/>
                      <w:sz w:val="21"/>
                      <w:szCs w:val="21"/>
                      <w:highlight w:val="none"/>
                      <w:lang w:val="en-GB"/>
                    </w:rPr>
                    <w:t>回收粉</w:t>
                  </w:r>
                  <w:r>
                    <w:rPr>
                      <w:rFonts w:ascii="Arial" w:hAnsi="Arial" w:cs="Arial"/>
                      <w:bCs/>
                      <w:color w:val="000000" w:themeColor="text1"/>
                      <w:sz w:val="21"/>
                      <w:szCs w:val="21"/>
                      <w:highlight w:val="none"/>
                      <w:lang w:val="en-GB"/>
                    </w:rPr>
                    <w:t>缓冲仓</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容积</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1200L</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bCs/>
                      <w:color w:val="000000" w:themeColor="text1"/>
                      <w:sz w:val="21"/>
                      <w:szCs w:val="21"/>
                      <w:highlight w:val="none"/>
                      <w:lang w:val="en-GB"/>
                    </w:rPr>
                    <w:t>新矿粉</w:t>
                  </w:r>
                  <w:r>
                    <w:rPr>
                      <w:rFonts w:ascii="Arial" w:hAnsi="Arial" w:cs="Arial"/>
                      <w:bCs/>
                      <w:color w:val="000000" w:themeColor="text1"/>
                      <w:sz w:val="21"/>
                      <w:szCs w:val="21"/>
                      <w:highlight w:val="none"/>
                      <w:lang w:val="en-GB"/>
                    </w:rPr>
                    <w:t>缓冲仓</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容积</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900L</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ascii="Arial" w:hAnsi="Arial" w:cs="Arial"/>
                      <w:bCs/>
                      <w:color w:val="000000" w:themeColor="text1"/>
                      <w:sz w:val="21"/>
                      <w:szCs w:val="21"/>
                      <w:highlight w:val="none"/>
                      <w:lang w:val="en-GB"/>
                    </w:rPr>
                    <w:t>添加粉输送系统</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处理能力</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42m</w:t>
                  </w:r>
                  <w:r>
                    <w:rPr>
                      <w:color w:val="000000" w:themeColor="text1"/>
                      <w:sz w:val="21"/>
                      <w:szCs w:val="21"/>
                      <w:highlight w:val="none"/>
                      <w:vertAlign w:val="superscript"/>
                    </w:rPr>
                    <w:t>3</w:t>
                  </w:r>
                  <w:r>
                    <w:rPr>
                      <w:color w:val="000000" w:themeColor="text1"/>
                      <w:sz w:val="21"/>
                      <w:szCs w:val="21"/>
                      <w:highlight w:val="none"/>
                    </w:rPr>
                    <w:t>/h</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Arial" w:hAnsi="Arial" w:cs="Arial"/>
                      <w:color w:val="000000" w:themeColor="text1"/>
                      <w:sz w:val="21"/>
                      <w:szCs w:val="21"/>
                      <w:highlight w:val="none"/>
                    </w:rPr>
                    <w:t>矿粉筒仓</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容积</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80m</w:t>
                  </w:r>
                  <w:r>
                    <w:rPr>
                      <w:color w:val="000000" w:themeColor="text1"/>
                      <w:sz w:val="21"/>
                      <w:szCs w:val="21"/>
                      <w:highlight w:val="none"/>
                      <w:vertAlign w:val="superscript"/>
                    </w:rPr>
                    <w:t>3</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连续料位计,粉塔结构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计量系统</w:t>
                  </w:r>
                </w:p>
              </w:tc>
              <w:tc>
                <w:tcPr>
                  <w:tcW w:w="1043"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骨料称重计量</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骨料称重计量装置</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承重</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5000kg</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粉料称重计量</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粉料称重计量装置</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承重</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700kg</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沥青称重计量</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沥青称重计量装置</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承重</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400kg</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导热油加热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拌合系统</w:t>
                  </w: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物料搅拌</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5吨对称拌锅</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额定搅拌量</w:t>
                  </w:r>
                </w:p>
                <w:p>
                  <w:pPr>
                    <w:spacing w:line="240" w:lineRule="auto"/>
                    <w:ind w:firstLine="0" w:firstLineChars="0"/>
                    <w:jc w:val="center"/>
                    <w:rPr>
                      <w:color w:val="000000" w:themeColor="text1"/>
                      <w:sz w:val="21"/>
                      <w:szCs w:val="21"/>
                      <w:highlight w:val="none"/>
                    </w:rPr>
                  </w:pPr>
                  <w:r>
                    <w:rPr>
                      <w:color w:val="000000" w:themeColor="text1"/>
                      <w:sz w:val="21"/>
                      <w:szCs w:val="21"/>
                      <w:highlight w:val="none"/>
                    </w:rPr>
                    <w:t>功率</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 xml:space="preserve">5000kg，2 </w:t>
                  </w:r>
                  <w:r>
                    <w:rPr>
                      <w:rFonts w:hint="eastAsia"/>
                      <w:color w:val="000000" w:themeColor="text1"/>
                      <w:sz w:val="21"/>
                      <w:szCs w:val="21"/>
                      <w:highlight w:val="none"/>
                    </w:rPr>
                    <w:t>×</w:t>
                  </w:r>
                  <w:r>
                    <w:rPr>
                      <w:color w:val="000000" w:themeColor="text1"/>
                      <w:sz w:val="21"/>
                      <w:szCs w:val="21"/>
                      <w:highlight w:val="none"/>
                    </w:rPr>
                    <w:t>75kW</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沥青喷洒系统</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功率</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11kW</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导热油加热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成品料测温装置</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红外测温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除尘单元</w:t>
                  </w: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引风</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布袋除尘器</w:t>
                  </w:r>
                  <w:r>
                    <w:rPr>
                      <w:color w:val="000000" w:themeColor="text1"/>
                      <w:sz w:val="21"/>
                      <w:szCs w:val="21"/>
                      <w:highlight w:val="none"/>
                    </w:rPr>
                    <w:t>引风机</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风量</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2台</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二级活性炭引风机</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风量</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1台</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除尘</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布袋除尘器</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数量</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2台</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燃料储存供应系统</w:t>
                  </w:r>
                </w:p>
              </w:tc>
              <w:tc>
                <w:tcPr>
                  <w:tcW w:w="1043"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燃料储存供应</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bCs/>
                      <w:color w:val="000000" w:themeColor="text1"/>
                      <w:sz w:val="21"/>
                      <w:szCs w:val="21"/>
                      <w:highlight w:val="none"/>
                    </w:rPr>
                    <w:t>LNG储罐</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卧式5</w:t>
                  </w:r>
                  <w:r>
                    <w:rPr>
                      <w:rFonts w:hint="eastAsia"/>
                      <w:color w:val="000000" w:themeColor="text1"/>
                      <w:sz w:val="21"/>
                      <w:szCs w:val="21"/>
                      <w:highlight w:val="none"/>
                    </w:rPr>
                    <w:t>6</w:t>
                  </w:r>
                  <w:r>
                    <w:rPr>
                      <w:color w:val="000000" w:themeColor="text1"/>
                      <w:sz w:val="21"/>
                      <w:szCs w:val="21"/>
                      <w:highlight w:val="none"/>
                    </w:rPr>
                    <w:t>m</w:t>
                  </w:r>
                  <w:r>
                    <w:rPr>
                      <w:color w:val="000000" w:themeColor="text1"/>
                      <w:sz w:val="21"/>
                      <w:szCs w:val="21"/>
                      <w:highlight w:val="none"/>
                      <w:vertAlign w:val="superscript"/>
                    </w:rPr>
                    <w:t>3</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2</w:t>
                  </w:r>
                  <w:r>
                    <w:rPr>
                      <w:color w:val="000000" w:themeColor="text1"/>
                      <w:sz w:val="21"/>
                      <w:szCs w:val="21"/>
                      <w:highlight w:val="none"/>
                    </w:rPr>
                    <w:t>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电气、控制及气动系统</w:t>
                  </w: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电气、控制系统</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bCs/>
                      <w:color w:val="000000" w:themeColor="text1"/>
                      <w:sz w:val="21"/>
                      <w:szCs w:val="21"/>
                      <w:highlight w:val="none"/>
                    </w:rPr>
                    <w:t>计算机硬件</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HP主控机</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2套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1套备用主机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bCs/>
                      <w:color w:val="000000" w:themeColor="text1"/>
                      <w:sz w:val="21"/>
                      <w:szCs w:val="21"/>
                      <w:highlight w:val="none"/>
                      <w:lang w:val="en-GB"/>
                    </w:rPr>
                    <w:t>控制软件</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Cybertronic 500</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意大利原装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操作室</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6m</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前操作台、后U型电柜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操作室空调</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挂壁式</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2台</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前后区域各一台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restart"/>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气动系统</w:t>
                  </w: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螺杆空压机</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功率</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5.6m</w:t>
                  </w:r>
                  <w:r>
                    <w:rPr>
                      <w:color w:val="000000" w:themeColor="text1"/>
                      <w:sz w:val="21"/>
                      <w:szCs w:val="21"/>
                      <w:highlight w:val="none"/>
                      <w:vertAlign w:val="superscript"/>
                    </w:rPr>
                    <w:t>3</w:t>
                  </w:r>
                  <w:r>
                    <w:rPr>
                      <w:color w:val="000000" w:themeColor="text1"/>
                      <w:sz w:val="21"/>
                      <w:szCs w:val="21"/>
                      <w:highlight w:val="none"/>
                    </w:rPr>
                    <w:t>/37</w:t>
                  </w:r>
                  <w:r>
                    <w:rPr>
                      <w:rFonts w:hint="eastAsia"/>
                      <w:color w:val="000000" w:themeColor="text1"/>
                      <w:sz w:val="21"/>
                      <w:szCs w:val="21"/>
                      <w:highlight w:val="none"/>
                    </w:rPr>
                    <w:t>k</w:t>
                  </w:r>
                  <w:r>
                    <w:rPr>
                      <w:color w:val="000000" w:themeColor="text1"/>
                      <w:sz w:val="21"/>
                      <w:szCs w:val="21"/>
                      <w:highlight w:val="none"/>
                    </w:rPr>
                    <w:t>W</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主设备及燃烧器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压缩空气储存罐</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300L</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2套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043" w:type="dxa"/>
                  <w:vMerge w:val="continue"/>
                  <w:shd w:val="clear" w:color="auto" w:fill="auto"/>
                  <w:vAlign w:val="center"/>
                </w:tcPr>
                <w:p>
                  <w:pPr>
                    <w:spacing w:line="240" w:lineRule="auto"/>
                    <w:ind w:firstLine="0" w:firstLineChars="0"/>
                    <w:jc w:val="center"/>
                    <w:rPr>
                      <w:color w:val="000000" w:themeColor="text1"/>
                      <w:sz w:val="21"/>
                      <w:szCs w:val="21"/>
                      <w:highlight w:val="none"/>
                    </w:rPr>
                  </w:pPr>
                </w:p>
              </w:tc>
              <w:tc>
                <w:tcPr>
                  <w:tcW w:w="1936"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气动管线及气动原件</w:t>
                  </w:r>
                </w:p>
              </w:tc>
              <w:tc>
                <w:tcPr>
                  <w:tcW w:w="1104"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w:t>
                  </w:r>
                </w:p>
              </w:tc>
              <w:tc>
                <w:tcPr>
                  <w:tcW w:w="1130"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0"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1套</w:t>
                  </w:r>
                </w:p>
              </w:tc>
              <w:tc>
                <w:tcPr>
                  <w:tcW w:w="1657"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bl>
          <w:p>
            <w:pPr>
              <w:pStyle w:val="63"/>
              <w:spacing w:before="120" w:beforeLines="50"/>
              <w:ind w:firstLine="482"/>
              <w:rPr>
                <w:rFonts w:ascii="Times New Roman" w:hAnsi="Times New Roman" w:cs="Times New Roman"/>
                <w:b/>
                <w:color w:val="000000" w:themeColor="text1"/>
                <w:szCs w:val="30"/>
                <w:highlight w:val="none"/>
              </w:rPr>
            </w:pPr>
            <w:r>
              <w:rPr>
                <w:rFonts w:hint="eastAsia" w:ascii="Times New Roman" w:hAnsi="Times New Roman" w:cs="Times New Roman"/>
                <w:b/>
                <w:color w:val="000000" w:themeColor="text1"/>
                <w:szCs w:val="30"/>
                <w:highlight w:val="none"/>
              </w:rPr>
              <w:t>4、主要产品及产能</w:t>
            </w:r>
          </w:p>
          <w:p>
            <w:pPr>
              <w:ind w:firstLine="480"/>
              <w:rPr>
                <w:color w:val="000000" w:themeColor="text1"/>
                <w:highlight w:val="none"/>
              </w:rPr>
            </w:pPr>
            <w:r>
              <w:rPr>
                <w:color w:val="000000" w:themeColor="text1"/>
                <w:highlight w:val="none"/>
              </w:rPr>
              <w:t>项目建成后，年产沥青</w:t>
            </w:r>
            <w:r>
              <w:rPr>
                <w:rFonts w:hint="eastAsia"/>
                <w:color w:val="000000" w:themeColor="text1"/>
                <w:highlight w:val="none"/>
              </w:rPr>
              <w:t>混合料10</w:t>
            </w:r>
            <w:r>
              <w:rPr>
                <w:color w:val="000000" w:themeColor="text1"/>
                <w:highlight w:val="none"/>
              </w:rPr>
              <w:t>万吨。</w:t>
            </w:r>
          </w:p>
          <w:p>
            <w:pPr>
              <w:pStyle w:val="63"/>
              <w:ind w:firstLine="482"/>
              <w:rPr>
                <w:rFonts w:ascii="Times New Roman" w:hAnsi="Times New Roman" w:cs="Times New Roman"/>
                <w:b/>
                <w:color w:val="000000" w:themeColor="text1"/>
                <w:szCs w:val="30"/>
                <w:highlight w:val="none"/>
              </w:rPr>
            </w:pPr>
            <w:r>
              <w:rPr>
                <w:rFonts w:hint="eastAsia" w:ascii="Times New Roman" w:hAnsi="Times New Roman" w:cs="Times New Roman"/>
                <w:b/>
                <w:color w:val="000000" w:themeColor="text1"/>
                <w:szCs w:val="30"/>
                <w:highlight w:val="none"/>
              </w:rPr>
              <w:t>5、劳动定员及工作制度</w:t>
            </w:r>
          </w:p>
          <w:p>
            <w:pPr>
              <w:ind w:firstLine="480"/>
              <w:rPr>
                <w:color w:val="000000" w:themeColor="text1"/>
                <w:highlight w:val="none"/>
              </w:rPr>
            </w:pPr>
            <w:r>
              <w:rPr>
                <w:rFonts w:hint="eastAsia"/>
                <w:color w:val="000000" w:themeColor="text1"/>
                <w:highlight w:val="none"/>
                <w:lang w:val="en-US" w:eastAsia="zh-CN"/>
              </w:rPr>
              <w:t>本项目不新增劳动定员，员工由承平高速LM1标项目经理部内部调剂</w:t>
            </w:r>
            <w:r>
              <w:rPr>
                <w:rFonts w:hint="eastAsia"/>
                <w:color w:val="000000" w:themeColor="text1"/>
                <w:highlight w:val="none"/>
              </w:rPr>
              <w:t>。导热油炉年运行90天，每天24小时运转，其余设备年运行90天，每天运转16小时，仅在昼间运转。</w:t>
            </w:r>
          </w:p>
          <w:p>
            <w:pPr>
              <w:widowControl/>
              <w:ind w:firstLine="482"/>
              <w:jc w:val="left"/>
              <w:rPr>
                <w:b/>
                <w:color w:val="000000" w:themeColor="text1"/>
                <w:highlight w:val="none"/>
              </w:rPr>
            </w:pPr>
            <w:r>
              <w:rPr>
                <w:rFonts w:hint="eastAsia"/>
                <w:b/>
                <w:color w:val="000000" w:themeColor="text1"/>
                <w:highlight w:val="none"/>
              </w:rPr>
              <w:t>6、</w:t>
            </w:r>
            <w:r>
              <w:rPr>
                <w:b/>
                <w:color w:val="000000" w:themeColor="text1"/>
                <w:highlight w:val="none"/>
              </w:rPr>
              <w:t>平面布置</w:t>
            </w:r>
          </w:p>
          <w:p>
            <w:pPr>
              <w:ind w:firstLine="480"/>
              <w:rPr>
                <w:color w:val="000000" w:themeColor="text1"/>
                <w:highlight w:val="none"/>
              </w:rPr>
            </w:pPr>
            <w:r>
              <w:rPr>
                <w:rFonts w:hint="eastAsia"/>
                <w:color w:val="000000" w:themeColor="text1"/>
                <w:highlight w:val="none"/>
              </w:rPr>
              <w:t>厂区总体呈多边形布置，入口出口均位于厂区东侧。厂区北部为原料库，南侧主要为沥青拌合料生产区。生产区自北向南依次布置有骨料上料仓、烘干滚筒、沥青储罐区，搅拌机、矿粉筒仓、导热油炉等，危废间位于厂区西南侧。</w:t>
            </w:r>
            <w:r>
              <w:rPr>
                <w:color w:val="000000" w:themeColor="text1"/>
                <w:highlight w:val="none"/>
              </w:rPr>
              <w:t>详见附图</w:t>
            </w:r>
            <w:r>
              <w:rPr>
                <w:rFonts w:hint="eastAsia"/>
                <w:color w:val="000000" w:themeColor="text1"/>
                <w:highlight w:val="none"/>
              </w:rPr>
              <w:t>2</w:t>
            </w:r>
            <w:r>
              <w:rPr>
                <w:color w:val="000000" w:themeColor="text1"/>
                <w:highlight w:val="none"/>
              </w:rPr>
              <w:t>项目平面布置图。</w:t>
            </w:r>
          </w:p>
          <w:p>
            <w:pPr>
              <w:widowControl/>
              <w:ind w:firstLine="482"/>
              <w:jc w:val="left"/>
              <w:rPr>
                <w:b/>
                <w:color w:val="000000" w:themeColor="text1"/>
                <w:highlight w:val="none"/>
              </w:rPr>
            </w:pPr>
            <w:r>
              <w:rPr>
                <w:rFonts w:hint="eastAsia"/>
                <w:b/>
                <w:color w:val="000000" w:themeColor="text1"/>
                <w:highlight w:val="none"/>
              </w:rPr>
              <w:t>7、水平衡情况</w:t>
            </w:r>
          </w:p>
          <w:p>
            <w:pPr>
              <w:ind w:firstLine="482"/>
              <w:rPr>
                <w:b/>
                <w:color w:val="000000" w:themeColor="text1"/>
                <w:highlight w:val="none"/>
              </w:rPr>
            </w:pPr>
            <w:r>
              <w:rPr>
                <w:rFonts w:hint="eastAsia"/>
                <w:b/>
                <w:color w:val="000000" w:themeColor="text1"/>
                <w:highlight w:val="none"/>
              </w:rPr>
              <w:t>给水</w:t>
            </w:r>
          </w:p>
          <w:p>
            <w:pPr>
              <w:ind w:firstLine="480"/>
              <w:rPr>
                <w:color w:val="000000" w:themeColor="text1"/>
                <w:highlight w:val="none"/>
              </w:rPr>
            </w:pPr>
            <w:r>
              <w:rPr>
                <w:rFonts w:hint="eastAsia"/>
                <w:color w:val="000000" w:themeColor="text1"/>
                <w:highlight w:val="none"/>
              </w:rPr>
              <w:t>项目用水由厂区自备水井提供，主要包括生产抑尘用水、道路抑尘用水和生活用水。项目设防渗旱厕一个定期清掏，用作农肥。</w:t>
            </w:r>
          </w:p>
          <w:p>
            <w:pPr>
              <w:ind w:firstLine="480"/>
              <w:rPr>
                <w:color w:val="000000" w:themeColor="text1"/>
                <w:highlight w:val="none"/>
              </w:rPr>
            </w:pPr>
            <w:r>
              <w:rPr>
                <w:rFonts w:hint="eastAsia"/>
                <w:color w:val="000000" w:themeColor="text1"/>
                <w:highlight w:val="none"/>
              </w:rPr>
              <w:t>（1）生产抑尘用水：原料库洒水降尘，入料仓设置水喷淋装置，按3</w:t>
            </w:r>
            <w:r>
              <w:rPr>
                <w:color w:val="000000" w:themeColor="text1"/>
                <w:highlight w:val="none"/>
              </w:rPr>
              <w:t>m</w:t>
            </w:r>
            <w:r>
              <w:rPr>
                <w:color w:val="000000" w:themeColor="text1"/>
                <w:highlight w:val="none"/>
                <w:vertAlign w:val="superscript"/>
              </w:rPr>
              <w:t>3</w:t>
            </w:r>
            <w:r>
              <w:rPr>
                <w:color w:val="000000" w:themeColor="text1"/>
                <w:highlight w:val="none"/>
              </w:rPr>
              <w:t>/d</w:t>
            </w:r>
            <w:r>
              <w:rPr>
                <w:rFonts w:hint="eastAsia"/>
                <w:color w:val="000000" w:themeColor="text1"/>
                <w:highlight w:val="none"/>
              </w:rPr>
              <w:t>计，用水量为270</w:t>
            </w:r>
            <w:r>
              <w:rPr>
                <w:color w:val="000000" w:themeColor="text1"/>
                <w:highlight w:val="none"/>
              </w:rPr>
              <w:t>m</w:t>
            </w:r>
            <w:r>
              <w:rPr>
                <w:color w:val="000000" w:themeColor="text1"/>
                <w:highlight w:val="none"/>
                <w:vertAlign w:val="superscript"/>
              </w:rPr>
              <w:t>3</w:t>
            </w:r>
            <w:r>
              <w:rPr>
                <w:color w:val="000000" w:themeColor="text1"/>
                <w:highlight w:val="none"/>
              </w:rPr>
              <w:t>/a</w:t>
            </w:r>
            <w:r>
              <w:rPr>
                <w:rFonts w:hint="eastAsia"/>
                <w:color w:val="000000" w:themeColor="text1"/>
                <w:highlight w:val="none"/>
              </w:rPr>
              <w:t>（3</w:t>
            </w:r>
            <w:r>
              <w:rPr>
                <w:color w:val="000000" w:themeColor="text1"/>
                <w:highlight w:val="none"/>
              </w:rPr>
              <w:t>m</w:t>
            </w:r>
            <w:r>
              <w:rPr>
                <w:color w:val="000000" w:themeColor="text1"/>
                <w:highlight w:val="none"/>
                <w:vertAlign w:val="superscript"/>
              </w:rPr>
              <w:t>3</w:t>
            </w:r>
            <w:r>
              <w:rPr>
                <w:color w:val="000000" w:themeColor="text1"/>
                <w:highlight w:val="none"/>
              </w:rPr>
              <w:t>/d</w:t>
            </w:r>
            <w:r>
              <w:rPr>
                <w:rFonts w:hint="eastAsia"/>
                <w:color w:val="000000" w:themeColor="text1"/>
                <w:highlight w:val="none"/>
              </w:rPr>
              <w:t>）；</w:t>
            </w:r>
          </w:p>
          <w:p>
            <w:pPr>
              <w:ind w:firstLine="480"/>
              <w:rPr>
                <w:color w:val="000000" w:themeColor="text1"/>
                <w:highlight w:val="none"/>
              </w:rPr>
            </w:pPr>
            <w:r>
              <w:rPr>
                <w:rFonts w:hint="eastAsia"/>
                <w:color w:val="000000" w:themeColor="text1"/>
                <w:highlight w:val="none"/>
              </w:rPr>
              <w:t>（2）厂区内运输道路抑尘用水：按0</w:t>
            </w:r>
            <w:r>
              <w:rPr>
                <w:color w:val="000000" w:themeColor="text1"/>
                <w:highlight w:val="none"/>
              </w:rPr>
              <w:t>.</w:t>
            </w:r>
            <w:r>
              <w:rPr>
                <w:rFonts w:hint="eastAsia"/>
                <w:color w:val="000000" w:themeColor="text1"/>
                <w:highlight w:val="none"/>
              </w:rPr>
              <w:t>6</w:t>
            </w:r>
            <w:r>
              <w:rPr>
                <w:color w:val="000000" w:themeColor="text1"/>
                <w:highlight w:val="none"/>
              </w:rPr>
              <w:t>L/m</w:t>
            </w:r>
            <w:r>
              <w:rPr>
                <w:color w:val="000000" w:themeColor="text1"/>
                <w:highlight w:val="none"/>
                <w:vertAlign w:val="superscript"/>
              </w:rPr>
              <w:t>2</w:t>
            </w:r>
            <w:r>
              <w:rPr>
                <w:rFonts w:hint="eastAsia"/>
                <w:color w:val="000000" w:themeColor="text1"/>
                <w:highlight w:val="none"/>
              </w:rPr>
              <w:t>·次计，项目道路按20</w:t>
            </w:r>
            <w:r>
              <w:rPr>
                <w:color w:val="000000" w:themeColor="text1"/>
                <w:highlight w:val="none"/>
              </w:rPr>
              <w:t>0m</w:t>
            </w:r>
            <w:r>
              <w:rPr>
                <w:rFonts w:hint="eastAsia"/>
                <w:color w:val="000000" w:themeColor="text1"/>
                <w:highlight w:val="none"/>
              </w:rPr>
              <w:t>计，平均宽度8</w:t>
            </w:r>
            <w:r>
              <w:rPr>
                <w:color w:val="000000" w:themeColor="text1"/>
                <w:highlight w:val="none"/>
              </w:rPr>
              <w:t>m</w:t>
            </w:r>
            <w:r>
              <w:rPr>
                <w:rFonts w:hint="eastAsia"/>
                <w:color w:val="000000" w:themeColor="text1"/>
                <w:highlight w:val="none"/>
              </w:rPr>
              <w:t>，平均每天降尘次数4次，则用水量为345.6</w:t>
            </w:r>
            <w:r>
              <w:rPr>
                <w:color w:val="000000" w:themeColor="text1"/>
                <w:highlight w:val="none"/>
              </w:rPr>
              <w:t>m</w:t>
            </w:r>
            <w:r>
              <w:rPr>
                <w:color w:val="000000" w:themeColor="text1"/>
                <w:highlight w:val="none"/>
                <w:vertAlign w:val="superscript"/>
              </w:rPr>
              <w:t>3</w:t>
            </w:r>
            <w:r>
              <w:rPr>
                <w:color w:val="000000" w:themeColor="text1"/>
                <w:highlight w:val="none"/>
              </w:rPr>
              <w:t>/a</w:t>
            </w:r>
            <w:r>
              <w:rPr>
                <w:rFonts w:hint="eastAsia"/>
                <w:color w:val="000000" w:themeColor="text1"/>
                <w:highlight w:val="none"/>
              </w:rPr>
              <w:t>（3.84</w:t>
            </w:r>
            <w:r>
              <w:rPr>
                <w:color w:val="000000" w:themeColor="text1"/>
                <w:highlight w:val="none"/>
              </w:rPr>
              <w:t>m</w:t>
            </w:r>
            <w:r>
              <w:rPr>
                <w:color w:val="000000" w:themeColor="text1"/>
                <w:highlight w:val="none"/>
                <w:vertAlign w:val="superscript"/>
              </w:rPr>
              <w:t>3</w:t>
            </w:r>
            <w:r>
              <w:rPr>
                <w:color w:val="000000" w:themeColor="text1"/>
                <w:highlight w:val="none"/>
              </w:rPr>
              <w:t>/d</w:t>
            </w:r>
            <w:r>
              <w:rPr>
                <w:rFonts w:hint="eastAsia"/>
                <w:color w:val="000000" w:themeColor="text1"/>
                <w:highlight w:val="none"/>
              </w:rPr>
              <w:t>）。</w:t>
            </w:r>
          </w:p>
          <w:p>
            <w:pPr>
              <w:ind w:firstLine="480"/>
              <w:rPr>
                <w:color w:val="000000" w:themeColor="text1"/>
                <w:highlight w:val="none"/>
              </w:rPr>
            </w:pPr>
            <w:r>
              <w:rPr>
                <w:rFonts w:hint="eastAsia"/>
                <w:color w:val="000000" w:themeColor="text1"/>
                <w:highlight w:val="none"/>
              </w:rPr>
              <w:t>（3）生活用水：</w:t>
            </w:r>
            <w:r>
              <w:rPr>
                <w:rFonts w:hint="eastAsia"/>
                <w:color w:val="000000" w:themeColor="text1"/>
                <w:highlight w:val="none"/>
                <w:lang w:val="en-US" w:eastAsia="zh-CN"/>
              </w:rPr>
              <w:t>本项目员工由承平高速LM1标项目经理部内部调剂，不新增劳动定员，无生活污水产生</w:t>
            </w:r>
            <w:r>
              <w:rPr>
                <w:color w:val="000000" w:themeColor="text1"/>
                <w:highlight w:val="none"/>
              </w:rPr>
              <w:t>。</w:t>
            </w:r>
          </w:p>
          <w:p>
            <w:pPr>
              <w:ind w:firstLine="480"/>
              <w:rPr>
                <w:color w:val="000000" w:themeColor="text1"/>
                <w:highlight w:val="none"/>
              </w:rPr>
            </w:pPr>
            <w:r>
              <w:rPr>
                <w:color w:val="000000" w:themeColor="text1"/>
                <w:highlight w:val="none"/>
              </w:rPr>
              <w:t>综上所述，项目投入运行后，</w:t>
            </w:r>
            <w:r>
              <w:rPr>
                <w:rFonts w:hint="eastAsia"/>
                <w:color w:val="000000" w:themeColor="text1"/>
                <w:highlight w:val="none"/>
              </w:rPr>
              <w:t>新鲜水</w:t>
            </w:r>
            <w:r>
              <w:rPr>
                <w:color w:val="000000" w:themeColor="text1"/>
                <w:highlight w:val="none"/>
              </w:rPr>
              <w:t>用水量为</w:t>
            </w:r>
            <w:r>
              <w:rPr>
                <w:rFonts w:hint="eastAsia"/>
                <w:color w:val="000000" w:themeColor="text1"/>
                <w:highlight w:val="none"/>
                <w:lang w:val="en-US" w:eastAsia="zh-CN"/>
              </w:rPr>
              <w:t>615.6</w:t>
            </w:r>
            <w:r>
              <w:rPr>
                <w:color w:val="000000" w:themeColor="text1"/>
                <w:highlight w:val="none"/>
              </w:rPr>
              <w:t>m</w:t>
            </w:r>
            <w:r>
              <w:rPr>
                <w:color w:val="000000" w:themeColor="text1"/>
                <w:highlight w:val="none"/>
                <w:vertAlign w:val="superscript"/>
              </w:rPr>
              <w:t>3</w:t>
            </w:r>
            <w:r>
              <w:rPr>
                <w:color w:val="000000" w:themeColor="text1"/>
                <w:highlight w:val="none"/>
              </w:rPr>
              <w:t>/a</w:t>
            </w:r>
            <w:r>
              <w:rPr>
                <w:rFonts w:hint="eastAsia"/>
                <w:color w:val="000000" w:themeColor="text1"/>
                <w:highlight w:val="none"/>
              </w:rPr>
              <w:t>（</w:t>
            </w:r>
            <w:r>
              <w:rPr>
                <w:rFonts w:hint="eastAsia"/>
                <w:color w:val="000000" w:themeColor="text1"/>
                <w:highlight w:val="none"/>
                <w:lang w:val="en-US" w:eastAsia="zh-CN"/>
              </w:rPr>
              <w:t>6.84</w:t>
            </w:r>
            <w:r>
              <w:rPr>
                <w:rFonts w:hint="eastAsia"/>
                <w:color w:val="000000" w:themeColor="text1"/>
                <w:highlight w:val="none"/>
              </w:rPr>
              <w:t>m</w:t>
            </w:r>
            <w:r>
              <w:rPr>
                <w:rFonts w:hint="eastAsia"/>
                <w:color w:val="000000" w:themeColor="text1"/>
                <w:highlight w:val="none"/>
                <w:vertAlign w:val="superscript"/>
              </w:rPr>
              <w:t>3</w:t>
            </w:r>
            <w:r>
              <w:rPr>
                <w:rFonts w:hint="eastAsia"/>
                <w:color w:val="000000" w:themeColor="text1"/>
                <w:highlight w:val="none"/>
              </w:rPr>
              <w:t>/d）</w:t>
            </w:r>
            <w:r>
              <w:rPr>
                <w:color w:val="000000" w:themeColor="text1"/>
                <w:highlight w:val="none"/>
              </w:rPr>
              <w:t>。</w:t>
            </w:r>
          </w:p>
          <w:p>
            <w:pPr>
              <w:ind w:firstLine="482"/>
              <w:rPr>
                <w:b/>
                <w:color w:val="000000" w:themeColor="text1"/>
                <w:highlight w:val="none"/>
              </w:rPr>
            </w:pPr>
            <w:r>
              <w:rPr>
                <w:rFonts w:hint="eastAsia"/>
                <w:b/>
                <w:color w:val="000000" w:themeColor="text1"/>
                <w:highlight w:val="none"/>
              </w:rPr>
              <w:t>排水</w:t>
            </w:r>
          </w:p>
          <w:p>
            <w:pPr>
              <w:ind w:firstLine="480"/>
              <w:rPr>
                <w:color w:val="000000" w:themeColor="text1"/>
                <w:highlight w:val="none"/>
              </w:rPr>
            </w:pPr>
            <w:r>
              <w:rPr>
                <w:rFonts w:hint="eastAsia"/>
                <w:color w:val="000000" w:themeColor="text1"/>
                <w:highlight w:val="none"/>
              </w:rPr>
              <w:t>（1）生产抑尘用水全部蒸发或损耗，不外排。</w:t>
            </w:r>
          </w:p>
          <w:p>
            <w:pPr>
              <w:ind w:firstLine="480"/>
              <w:rPr>
                <w:color w:val="000000" w:themeColor="text1"/>
                <w:highlight w:val="none"/>
              </w:rPr>
            </w:pPr>
            <w:r>
              <w:rPr>
                <w:rFonts w:hint="eastAsia"/>
                <w:color w:val="000000" w:themeColor="text1"/>
                <w:highlight w:val="none"/>
              </w:rPr>
              <w:t>（2）厂区内运输道路抑尘用水全部蒸发或损耗，不外排。</w:t>
            </w:r>
          </w:p>
          <w:p>
            <w:pPr>
              <w:ind w:firstLine="480"/>
              <w:rPr>
                <w:b/>
                <w:color w:val="000000" w:themeColor="text1"/>
                <w:highlight w:val="none"/>
              </w:rPr>
            </w:pPr>
            <w:r>
              <w:rPr>
                <w:rFonts w:hint="eastAsia"/>
                <w:color w:val="000000" w:themeColor="text1"/>
                <w:highlight w:val="none"/>
              </w:rPr>
              <w:t>（3）生活污水：</w:t>
            </w:r>
            <w:r>
              <w:rPr>
                <w:rFonts w:hint="eastAsia"/>
                <w:color w:val="000000" w:themeColor="text1"/>
                <w:highlight w:val="none"/>
                <w:lang w:val="en-US" w:eastAsia="zh-CN"/>
              </w:rPr>
              <w:t>本项目无生活污水排放</w:t>
            </w:r>
            <w:r>
              <w:rPr>
                <w:rFonts w:hint="eastAsia"/>
                <w:color w:val="000000" w:themeColor="text1"/>
                <w:highlight w:val="none"/>
              </w:rPr>
              <w:t>。</w:t>
            </w:r>
          </w:p>
          <w:p>
            <w:pPr>
              <w:ind w:firstLine="480"/>
              <w:rPr>
                <w:color w:val="000000" w:themeColor="text1"/>
                <w:highlight w:val="none"/>
              </w:rPr>
            </w:pPr>
            <w:r>
              <w:rPr>
                <w:color w:val="000000" w:themeColor="text1"/>
                <w:highlight w:val="none"/>
              </w:rPr>
              <w:t>综上所述，项目投入运行后，</w:t>
            </w:r>
            <w:r>
              <w:rPr>
                <w:rFonts w:hint="eastAsia"/>
                <w:color w:val="000000" w:themeColor="text1"/>
                <w:highlight w:val="none"/>
              </w:rPr>
              <w:t>无废水产生</w:t>
            </w:r>
            <w:r>
              <w:rPr>
                <w:color w:val="000000" w:themeColor="text1"/>
                <w:highlight w:val="none"/>
              </w:rPr>
              <w:t>。</w:t>
            </w:r>
          </w:p>
          <w:p>
            <w:pPr>
              <w:ind w:firstLine="480"/>
              <w:rPr>
                <w:color w:val="000000" w:themeColor="text1"/>
                <w:highlight w:val="none"/>
              </w:rPr>
            </w:pPr>
            <w:r>
              <w:rPr>
                <w:rFonts w:hint="eastAsia"/>
                <w:color w:val="000000" w:themeColor="text1"/>
                <w:highlight w:val="none"/>
              </w:rPr>
              <w:t>项目水平衡情况如下图所示：</w:t>
            </w:r>
          </w:p>
          <w:p>
            <w:pPr>
              <w:ind w:firstLine="0" w:firstLineChars="0"/>
              <w:jc w:val="center"/>
              <w:rPr>
                <w:b/>
                <w:bCs/>
                <w:color w:val="000000" w:themeColor="text1"/>
                <w:sz w:val="21"/>
                <w:highlight w:val="none"/>
              </w:rPr>
            </w:pPr>
            <w:r>
              <w:rPr>
                <w:color w:val="000000" w:themeColor="text1"/>
              </w:rPr>
              <w:pict>
                <v:shape id="_x0000_i1027" o:spt="75" type="#_x0000_t75" style="height:91.5pt;width:324.75pt;" filled="f" stroked="f" coordsize="21600,21600">
                  <v:path/>
                  <v:fill on="f" focussize="0,0"/>
                  <v:stroke on="f"/>
                  <v:imagedata r:id="rId18" o:title=""/>
                  <o:lock v:ext="edit" aspectratio="t"/>
                  <w10:wrap type="none"/>
                  <w10:anchorlock/>
                </v:shape>
              </w:pict>
            </w:r>
          </w:p>
          <w:p>
            <w:pPr>
              <w:ind w:firstLine="0" w:firstLineChars="0"/>
              <w:jc w:val="center"/>
              <w:rPr>
                <w:b/>
                <w:bCs/>
                <w:color w:val="000000" w:themeColor="text1"/>
                <w:sz w:val="21"/>
                <w:highlight w:val="none"/>
              </w:rPr>
            </w:pPr>
            <w:r>
              <w:rPr>
                <w:b/>
                <w:bCs/>
                <w:color w:val="000000" w:themeColor="text1"/>
                <w:sz w:val="21"/>
                <w:highlight w:val="none"/>
              </w:rPr>
              <w:t>图</w:t>
            </w:r>
            <w:r>
              <w:rPr>
                <w:rFonts w:hint="eastAsia"/>
                <w:b/>
                <w:bCs/>
                <w:color w:val="000000" w:themeColor="text1"/>
                <w:sz w:val="21"/>
                <w:highlight w:val="none"/>
              </w:rPr>
              <w:t>2-1</w:t>
            </w:r>
            <w:r>
              <w:rPr>
                <w:b/>
                <w:bCs/>
                <w:color w:val="000000" w:themeColor="text1"/>
                <w:sz w:val="21"/>
                <w:highlight w:val="none"/>
              </w:rPr>
              <w:t xml:space="preserve">  </w:t>
            </w:r>
            <w:r>
              <w:rPr>
                <w:rFonts w:hint="eastAsia"/>
                <w:b/>
                <w:bCs/>
                <w:color w:val="000000" w:themeColor="text1"/>
                <w:sz w:val="21"/>
                <w:highlight w:val="none"/>
              </w:rPr>
              <w:t>项目水平衡情况示意图（单位：m</w:t>
            </w:r>
            <w:r>
              <w:rPr>
                <w:rFonts w:hint="eastAsia"/>
                <w:b/>
                <w:bCs/>
                <w:color w:val="000000" w:themeColor="text1"/>
                <w:sz w:val="21"/>
                <w:highlight w:val="none"/>
                <w:vertAlign w:val="superscript"/>
              </w:rPr>
              <w:t>3</w:t>
            </w:r>
            <w:r>
              <w:rPr>
                <w:rFonts w:hint="eastAsia"/>
                <w:b/>
                <w:bCs/>
                <w:color w:val="000000" w:themeColor="text1"/>
                <w:sz w:val="21"/>
                <w:highlight w:val="none"/>
              </w:rPr>
              <w:t>/d）</w:t>
            </w:r>
          </w:p>
          <w:p>
            <w:pPr>
              <w:ind w:firstLine="0" w:firstLineChars="0"/>
              <w:jc w:val="center"/>
              <w:rPr>
                <w:b/>
                <w:bCs/>
                <w:color w:val="000000" w:themeColor="text1"/>
                <w:sz w:val="21"/>
                <w:highlight w:val="none"/>
              </w:rPr>
            </w:pPr>
          </w:p>
          <w:p>
            <w:pPr>
              <w:ind w:firstLine="0" w:firstLineChars="0"/>
              <w:jc w:val="center"/>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pStyle w:val="2"/>
              <w:rPr>
                <w:b/>
                <w:bCs/>
                <w:color w:val="000000" w:themeColor="text1"/>
                <w:sz w:val="21"/>
                <w:highlight w:val="none"/>
              </w:rPr>
            </w:pPr>
          </w:p>
          <w:p>
            <w:pPr>
              <w:ind w:firstLine="0" w:firstLineChars="0"/>
              <w:jc w:val="center"/>
              <w:rPr>
                <w:b/>
                <w:bCs/>
                <w:color w:val="000000" w:themeColor="text1"/>
                <w:sz w:val="21"/>
                <w:highlight w:val="none"/>
              </w:rPr>
            </w:pPr>
          </w:p>
          <w:p>
            <w:pPr>
              <w:ind w:firstLine="0" w:firstLineChars="0"/>
              <w:jc w:val="center"/>
              <w:rPr>
                <w:b/>
                <w:bCs/>
                <w:color w:val="000000" w:themeColor="text1"/>
                <w:sz w:val="21"/>
                <w:highlight w:val="none"/>
              </w:rPr>
            </w:pPr>
          </w:p>
          <w:p>
            <w:pPr>
              <w:ind w:firstLine="0" w:firstLineChars="0"/>
              <w:jc w:val="center"/>
              <w:rPr>
                <w:rFonts w:ascii="宋体" w:hAnsi="宋体" w:cs="宋体"/>
                <w:bCs/>
                <w:color w:val="000000" w:themeColor="text1"/>
                <w:kern w:val="21"/>
                <w:szCs w:val="21"/>
                <w:highlight w:val="none"/>
              </w:rPr>
            </w:pPr>
            <w:r>
              <w:rPr>
                <w:rFonts w:hint="eastAsia"/>
                <w:b/>
                <w:bCs/>
                <w:color w:val="000000" w:themeColor="text1"/>
                <w:sz w:val="21"/>
                <w:highlight w:val="non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9" w:hRule="atLeast"/>
          <w:jc w:val="center"/>
        </w:trPr>
        <w:tc>
          <w:tcPr>
            <w:tcW w:w="414" w:type="dxa"/>
            <w:noWrap/>
            <w:vAlign w:val="center"/>
          </w:tcPr>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r>
              <w:rPr>
                <w:rFonts w:hint="eastAsia" w:cs="宋体"/>
                <w:color w:val="000000" w:themeColor="text1"/>
                <w:kern w:val="21"/>
                <w:sz w:val="21"/>
                <w:szCs w:val="21"/>
                <w:highlight w:val="none"/>
              </w:rPr>
              <w:t>工艺流程和产排污环节</w:t>
            </w: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center"/>
              <w:rPr>
                <w:rFonts w:cs="宋体"/>
                <w:color w:val="000000" w:themeColor="text1"/>
                <w:kern w:val="21"/>
                <w:sz w:val="21"/>
                <w:szCs w:val="21"/>
                <w:highlight w:val="none"/>
              </w:rPr>
            </w:pPr>
          </w:p>
          <w:p>
            <w:pPr>
              <w:pStyle w:val="18"/>
              <w:spacing w:before="0" w:beforeAutospacing="0" w:after="0" w:afterAutospacing="0"/>
              <w:ind w:firstLine="0" w:firstLineChars="0"/>
              <w:jc w:val="both"/>
              <w:rPr>
                <w:rFonts w:cs="宋体"/>
                <w:color w:val="000000" w:themeColor="text1"/>
                <w:kern w:val="21"/>
                <w:sz w:val="21"/>
                <w:szCs w:val="21"/>
                <w:highlight w:val="none"/>
              </w:rPr>
            </w:pPr>
          </w:p>
        </w:tc>
        <w:tc>
          <w:tcPr>
            <w:tcW w:w="8646" w:type="dxa"/>
            <w:noWrap/>
            <w:vAlign w:val="center"/>
          </w:tcPr>
          <w:p>
            <w:pPr>
              <w:pStyle w:val="3"/>
              <w:spacing w:before="0" w:after="0" w:line="360" w:lineRule="auto"/>
              <w:ind w:left="0" w:firstLine="562"/>
              <w:rPr>
                <w:color w:val="000000" w:themeColor="text1"/>
                <w:sz w:val="24"/>
                <w:szCs w:val="24"/>
                <w:highlight w:val="none"/>
              </w:rPr>
            </w:pPr>
            <w:r>
              <w:rPr>
                <w:color w:val="000000" w:themeColor="text1"/>
                <w:sz w:val="28"/>
                <w:szCs w:val="28"/>
                <w:highlight w:val="none"/>
              </w:rPr>
              <w:t>工艺流程简述</w:t>
            </w:r>
            <w:r>
              <w:rPr>
                <w:color w:val="000000" w:themeColor="text1"/>
                <w:sz w:val="24"/>
                <w:szCs w:val="24"/>
                <w:highlight w:val="none"/>
              </w:rPr>
              <w:t>：</w:t>
            </w:r>
          </w:p>
          <w:p>
            <w:pPr>
              <w:pStyle w:val="8"/>
              <w:widowControl w:val="0"/>
              <w:spacing w:before="0" w:after="0" w:line="360" w:lineRule="auto"/>
              <w:ind w:right="0" w:firstLine="482"/>
              <w:rPr>
                <w:b/>
                <w:bCs/>
                <w:color w:val="000000" w:themeColor="text1"/>
                <w:sz w:val="24"/>
                <w:szCs w:val="24"/>
                <w:highlight w:val="none"/>
              </w:rPr>
            </w:pPr>
            <w:r>
              <w:rPr>
                <w:b/>
                <w:bCs/>
                <w:color w:val="000000" w:themeColor="text1"/>
                <w:sz w:val="24"/>
                <w:szCs w:val="24"/>
                <w:highlight w:val="none"/>
              </w:rPr>
              <w:t>1、施工期：</w:t>
            </w:r>
          </w:p>
          <w:p>
            <w:pPr>
              <w:ind w:firstLine="480"/>
              <w:rPr>
                <w:color w:val="000000" w:themeColor="text1"/>
                <w:highlight w:val="none"/>
              </w:rPr>
            </w:pPr>
            <w:r>
              <w:rPr>
                <w:color w:val="000000" w:themeColor="text1"/>
                <w:highlight w:val="none"/>
              </w:rPr>
              <w:t>施工期主要涉及</w:t>
            </w:r>
            <w:r>
              <w:rPr>
                <w:rFonts w:hint="eastAsia"/>
                <w:color w:val="000000" w:themeColor="text1"/>
                <w:highlight w:val="none"/>
              </w:rPr>
              <w:t>场地清理</w:t>
            </w:r>
            <w:r>
              <w:rPr>
                <w:color w:val="000000" w:themeColor="text1"/>
                <w:highlight w:val="none"/>
              </w:rPr>
              <w:t>、土方挖掘</w:t>
            </w:r>
            <w:r>
              <w:rPr>
                <w:rFonts w:hint="eastAsia"/>
                <w:color w:val="000000" w:themeColor="text1"/>
                <w:highlight w:val="none"/>
              </w:rPr>
              <w:t>、主体施工、配套设施施工、设备安装、主体装修</w:t>
            </w:r>
            <w:r>
              <w:rPr>
                <w:color w:val="000000" w:themeColor="text1"/>
                <w:highlight w:val="none"/>
              </w:rPr>
              <w:t>等工程。</w:t>
            </w:r>
            <w:r>
              <w:rPr>
                <w:rFonts w:hint="eastAsia"/>
                <w:color w:val="000000" w:themeColor="text1"/>
                <w:highlight w:val="none"/>
              </w:rPr>
              <w:t>工艺流程及产排污节点如下：</w:t>
            </w:r>
          </w:p>
          <w:p>
            <w:pPr>
              <w:spacing w:line="240" w:lineRule="auto"/>
              <w:ind w:firstLine="0" w:firstLineChars="0"/>
              <w:rPr>
                <w:bCs/>
                <w:color w:val="000000" w:themeColor="text1"/>
                <w:szCs w:val="32"/>
                <w:highlight w:val="none"/>
              </w:rPr>
            </w:pPr>
            <w:r>
              <w:rPr>
                <w:color w:val="000000" w:themeColor="text1"/>
                <w:highlight w:val="none"/>
              </w:rPr>
              <w:pict>
                <v:group id="组合 427" o:spid="_x0000_s1334" o:spt="203" style="height:102.35pt;width:412.7pt;" coordorigin="3174,259642" coordsize="8493,2094">
                  <o:lock v:ext="edit"/>
                  <v:shape id="Text Box 49" o:spid="_x0000_s1335" o:spt="202" type="#_x0000_t202" style="position:absolute;left:3209;top:260428;height:468;width:1260;" coordsize="21600,21600" o:gfxdata="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NRJ7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ind w:firstLine="480"/>
                            <w:rPr>
                              <w:rFonts w:ascii="宋体" w:hAnsi="宋体"/>
                            </w:rPr>
                          </w:pPr>
                          <w:r>
                            <w:rPr>
                              <w:rFonts w:hint="eastAsia" w:ascii="宋体" w:hAnsi="宋体"/>
                            </w:rPr>
                            <w:t>场地清理</w:t>
                          </w:r>
                        </w:p>
                      </w:txbxContent>
                    </v:textbox>
                  </v:shape>
                  <v:shape id="Text Box 48" o:spid="_x0000_s1336" o:spt="202" type="#_x0000_t202" style="position:absolute;left:5189;top:260428;height:468;width:1080;" coordsize="21600,21600" o:gfxdata="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E8r+/&#10;AAAA3AAAAA8AAAAAAAAAAQAgAAAAIgAAAGRycy9kb3ducmV2LnhtbFBLAQIUABQAAAAIAIdO4kAz&#10;LwWeOwAAADkAAAAQAAAAAAAAAAEAIAAAAA4BAABkcnMvc2hhcGV4bWwueG1sUEsFBgAAAAAGAAYA&#10;WwEAALgDAAAAAA==&#10;">
                    <v:path/>
                    <v:fill focussize="0,0"/>
                    <v:stroke joinstyle="miter"/>
                    <v:imagedata o:title=""/>
                    <o:lock v:ext="edit"/>
                    <v:textbox>
                      <w:txbxContent>
                        <w:p>
                          <w:pPr>
                            <w:ind w:firstLine="480"/>
                            <w:rPr>
                              <w:rFonts w:ascii="宋体" w:hAnsi="宋体"/>
                            </w:rPr>
                          </w:pPr>
                          <w:r>
                            <w:rPr>
                              <w:rFonts w:hint="eastAsia" w:ascii="宋体" w:hAnsi="宋体"/>
                            </w:rPr>
                            <w:t>土石方</w:t>
                          </w:r>
                        </w:p>
                      </w:txbxContent>
                    </v:textbox>
                  </v:shape>
                  <v:shape id="Text Box 47" o:spid="_x0000_s1337" o:spt="202" type="#_x0000_t202" style="position:absolute;left:6809;top:260428;height:468;width:1260;" coordsize="21600,21600" o:gfxdata="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Fck&#10;wAAAANwAAAAPAAAAAAAAAAEAIAAAACIAAABkcnMvZG93bnJldi54bWxQSwECFAAUAAAACACHTuJA&#10;My8FnjsAAAA5AAAAEAAAAAAAAAABACAAAAAPAQAAZHJzL3NoYXBleG1sLnhtbFBLBQYAAAAABgAG&#10;AFsBAAC5AwAAAAA=&#10;">
                    <v:path/>
                    <v:fill focussize="0,0"/>
                    <v:stroke joinstyle="miter"/>
                    <v:imagedata o:title=""/>
                    <o:lock v:ext="edit"/>
                    <v:textbox>
                      <w:txbxContent>
                        <w:p>
                          <w:pPr>
                            <w:ind w:firstLine="480"/>
                            <w:rPr>
                              <w:rFonts w:ascii="宋体" w:hAnsi="宋体"/>
                            </w:rPr>
                          </w:pPr>
                          <w:r>
                            <w:rPr>
                              <w:rFonts w:hint="eastAsia" w:ascii="宋体" w:hAnsi="宋体"/>
                            </w:rPr>
                            <w:t>基础工程</w:t>
                          </w:r>
                        </w:p>
                      </w:txbxContent>
                    </v:textbox>
                  </v:shape>
                  <v:shape id="Text Box 45" o:spid="_x0000_s1338" o:spt="202" type="#_x0000_t202" style="position:absolute;left:10407;top:260416;height:468;width:1260;" coordsize="21600,21600" o:gfxdata="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Xw1a8AAAA&#10;3AAAAA8AAAAAAAAAAQAgAAAAIgAAAGRycy9kb3ducmV2LnhtbFBLAQIUABQAAAAIAIdO4kAzLwWe&#10;OwAAADkAAAAQAAAAAAAAAAEAIAAAAAsBAABkcnMvc2hhcGV4bWwueG1sUEsFBgAAAAAGAAYAWwEA&#10;ALUDAAAAAA==&#10;">
                    <v:path/>
                    <v:fill focussize="0,0"/>
                    <v:stroke joinstyle="miter"/>
                    <v:imagedata o:title=""/>
                    <o:lock v:ext="edit"/>
                    <v:textbox>
                      <w:txbxContent>
                        <w:p>
                          <w:pPr>
                            <w:ind w:firstLine="480"/>
                            <w:rPr>
                              <w:rFonts w:ascii="宋体" w:hAnsi="宋体"/>
                            </w:rPr>
                          </w:pPr>
                          <w:r>
                            <w:rPr>
                              <w:rFonts w:hint="eastAsia" w:ascii="宋体" w:hAnsi="宋体"/>
                            </w:rPr>
                            <w:t>扫尾工程</w:t>
                          </w:r>
                        </w:p>
                      </w:txbxContent>
                    </v:textbox>
                  </v:shape>
                  <v:line id="Line 64" o:spid="_x0000_s1339" o:spt="20" style="position:absolute;left:6267;top:260655;height:0;width:540;" coordsize="21600,21600" o:gfxdata="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oo9C/&#10;AAAA3AAAAA8AAAAAAAAAAQAgAAAAIgAAAGRycy9kb3ducmV2LnhtbFBLAQIUABQAAAAIAIdO4kAz&#10;LwWeOwAAADkAAAAQAAAAAAAAAAEAIAAAAA4BAABkcnMvc2hhcGV4bWwueG1sUEsFBgAAAAAGAAYA&#10;WwEAALgDAAAAAA==&#10;">
                    <v:path arrowok="t"/>
                    <v:fill focussize="0,0"/>
                    <v:stroke endarrow="block"/>
                    <v:imagedata o:title=""/>
                    <o:lock v:ext="edit"/>
                  </v:line>
                  <v:line id="Line 63" o:spid="_x0000_s1340" o:spt="20" style="position:absolute;left:4467;top:260727;height:0;width:720;" coordsize="21600,21600" o:gfxdata="UEsDBAoAAAAAAIdO4kAAAAAAAAAAAAAAAAAEAAAAZHJzL1BLAwQUAAAACACHTuJAS3mQV7wAAADc&#10;AAAADwAAAGRycy9kb3ducmV2LnhtbEVPy2oCMRTdF/yHcIXuajIWyj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5kFe8AAAA&#10;3AAAAA8AAAAAAAAAAQAgAAAAIgAAAGRycy9kb3ducmV2LnhtbFBLAQIUABQAAAAIAIdO4kAzLwWe&#10;OwAAADkAAAAQAAAAAAAAAAEAIAAAAAsBAABkcnMvc2hhcGV4bWwueG1sUEsFBgAAAAAGAAYAWwEA&#10;ALUDAAAAAA==&#10;">
                    <v:path arrowok="t"/>
                    <v:fill focussize="0,0"/>
                    <v:stroke endarrow="block"/>
                    <v:imagedata o:title=""/>
                    <o:lock v:ext="edit"/>
                  </v:line>
                  <v:line id="Line 62" o:spid="_x0000_s1341" o:spt="20" style="position:absolute;left:9867;top:260727;height:0;width:540;" coordsize="21600,21600" o:gfxdata="UEsDBAoAAAAAAIdO4kAAAAAAAAAAAAAAAAAEAAAAZHJzL1BLAwQUAAAACACHTuJAJDU1zL8AAADc&#10;AAAADwAAAGRycy9kb3ducmV2LnhtbEWPQWsCMRSE7wX/Q3hCbzVZC7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1Ncy/&#10;AAAA3AAAAA8AAAAAAAAAAQAgAAAAIgAAAGRycy9kb3ducmV2LnhtbFBLAQIUABQAAAAIAIdO4kAz&#10;LwWeOwAAADkAAAAQAAAAAAAAAAEAIAAAAA4BAABkcnMvc2hhcGV4bWwueG1sUEsFBgAAAAAGAAYA&#10;WwEAALgDAAAAAA==&#10;">
                    <v:path arrowok="t"/>
                    <v:fill focussize="0,0"/>
                    <v:stroke endarrow="block"/>
                    <v:imagedata o:title=""/>
                    <o:lock v:ext="edit"/>
                  </v:line>
                  <v:line id="Line 43" o:spid="_x0000_s1342" o:spt="20" style="position:absolute;left:3927;top:259817;flip:y;height:924;width:3012;" coordsize="21600,21600" o:gfxdata="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ybz7sAAADc&#10;AAAADwAAAAAAAAABACAAAAAiAAAAZHJzL2Rvd25yZXYueG1sUEsBAhQAFAAAAAgAh07iQDMvBZ47&#10;AAAAOQAAABAAAAAAAAAAAQAgAAAACgEAAGRycy9zaGFwZXhtbC54bWxQSwUGAAAAAAYABgBbAQAA&#10;tAMAAAAA&#10;">
                    <v:path arrowok="t"/>
                    <v:fill focussize="0,0"/>
                    <v:stroke dashstyle="dash" endarrow="block"/>
                    <v:imagedata o:title=""/>
                    <o:lock v:ext="edit"/>
                  </v:line>
                  <v:line id="Line 61" o:spid="_x0000_s1343" o:spt="20" style="position:absolute;left:6267;top:260847;height:468;width:683;" coordsize="21600,21600" o:gfxdata="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WmRA&#10;wAAAANwAAAAPAAAAAAAAAAEAIAAAACIAAABkcnMvZG93bnJldi54bWxQSwECFAAUAAAACACHTuJA&#10;My8FnjsAAAA5AAAAEAAAAAAAAAABACAAAAAPAQAAZHJzL3NoYXBleG1sLnhtbFBLBQYAAAAABgAG&#10;AFsBAAC5AwAAAAA=&#10;">
                    <v:path arrowok="t"/>
                    <v:fill focussize="0,0"/>
                    <v:stroke dashstyle="dash" endarrow="block"/>
                    <v:imagedata o:title=""/>
                    <o:lock v:ext="edit"/>
                  </v:line>
                  <v:line id="Line 40" o:spid="_x0000_s1344" o:spt="20" style="position:absolute;left:7872;top:259838;flip:x y;height:588;width:2508;" coordsize="21600,21600" o:gfxdata="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Y9Oe8AAAA&#10;3AAAAA8AAAAAAAAAAQAgAAAAIgAAAGRycy9kb3ducmV2LnhtbFBLAQIUABQAAAAIAIdO4kAzLwWe&#10;OwAAADkAAAAQAAAAAAAAAAEAIAAAAAsBAABkcnMvc2hhcGV4bWwueG1sUEsFBgAAAAAGAAYAWwEA&#10;ALUDAAAAAA==&#10;">
                    <v:path arrowok="t"/>
                    <v:fill focussize="0,0"/>
                    <v:stroke dashstyle="dash" endarrow="block"/>
                    <v:imagedata o:title=""/>
                    <o:lock v:ext="edit"/>
                  </v:line>
                  <v:shape id="Text Box 54" o:spid="_x0000_s1345" o:spt="202" type="#_x0000_t202" style="position:absolute;left:3209;top:260428;height:468;width:1260;" coordsize="21600,21600"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path/>
                    <v:fill focussize="0,0"/>
                    <v:stroke joinstyle="miter"/>
                    <v:imagedata o:title=""/>
                    <o:lock v:ext="edit"/>
                    <v:textbox>
                      <w:txbxContent>
                        <w:p>
                          <w:pPr>
                            <w:spacing w:line="60" w:lineRule="atLeast"/>
                            <w:ind w:firstLine="0" w:firstLineChars="0"/>
                            <w:jc w:val="center"/>
                            <w:rPr>
                              <w:rFonts w:ascii="宋体" w:hAnsi="宋体"/>
                              <w:szCs w:val="21"/>
                            </w:rPr>
                          </w:pPr>
                          <w:r>
                            <w:rPr>
                              <w:rFonts w:hint="eastAsia" w:ascii="宋体" w:hAnsi="宋体"/>
                              <w:sz w:val="21"/>
                              <w:szCs w:val="21"/>
                            </w:rPr>
                            <w:t>场地清理</w:t>
                          </w:r>
                        </w:p>
                      </w:txbxContent>
                    </v:textbox>
                  </v:shape>
                  <v:shape id="Text Box 53" o:spid="_x0000_s1346" o:spt="202" type="#_x0000_t202" style="position:absolute;left:5189;top:260428;height:468;width:1080;" coordsize="21600,21600" o:gfxdata="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Jy/b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spacing w:line="60" w:lineRule="atLeast"/>
                            <w:ind w:firstLine="0" w:firstLineChars="0"/>
                            <w:jc w:val="center"/>
                            <w:rPr>
                              <w:rFonts w:ascii="宋体" w:hAnsi="宋体"/>
                              <w:sz w:val="21"/>
                              <w:szCs w:val="21"/>
                            </w:rPr>
                          </w:pPr>
                          <w:r>
                            <w:rPr>
                              <w:rFonts w:hint="eastAsia" w:ascii="宋体" w:hAnsi="宋体"/>
                              <w:sz w:val="21"/>
                              <w:szCs w:val="21"/>
                            </w:rPr>
                            <w:t>土石方</w:t>
                          </w:r>
                        </w:p>
                      </w:txbxContent>
                    </v:textbox>
                  </v:shape>
                  <v:shape id="Text Box 52" o:spid="_x0000_s1347" o:spt="202" type="#_x0000_t202" style="position:absolute;left:6809;top:260428;height:468;width:1260;" coordsize="21600,21600" o:gfxdata="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vqib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spacing w:line="60" w:lineRule="atLeast"/>
                            <w:ind w:firstLine="0" w:firstLineChars="0"/>
                            <w:jc w:val="center"/>
                            <w:rPr>
                              <w:rFonts w:ascii="宋体" w:hAnsi="宋体"/>
                              <w:sz w:val="21"/>
                            </w:rPr>
                          </w:pPr>
                          <w:r>
                            <w:rPr>
                              <w:rFonts w:hint="eastAsia" w:ascii="宋体" w:hAnsi="宋体"/>
                              <w:sz w:val="21"/>
                              <w:szCs w:val="21"/>
                            </w:rPr>
                            <w:t>主体工程</w:t>
                          </w:r>
                        </w:p>
                      </w:txbxContent>
                    </v:textbox>
                  </v:shape>
                  <v:shape id="Text Box 51" o:spid="_x0000_s1348" o:spt="202" type="#_x0000_t202" style="position:absolute;left:8625;top:260215;height:942;width:1260;" coordsize="21600,21600">
                    <v:path/>
                    <v:fill focussize="0,0"/>
                    <v:stroke joinstyle="miter"/>
                    <v:imagedata o:title=""/>
                    <o:lock v:ext="edit"/>
                    <v:textbox inset="2.54mm,1mm,2.54mm,1mm">
                      <w:txbxContent>
                        <w:p>
                          <w:pPr>
                            <w:spacing w:line="60" w:lineRule="atLeast"/>
                            <w:ind w:firstLine="0" w:firstLineChars="0"/>
                            <w:jc w:val="center"/>
                            <w:rPr>
                              <w:rFonts w:ascii="宋体" w:hAnsi="宋体"/>
                              <w:sz w:val="21"/>
                            </w:rPr>
                          </w:pPr>
                          <w:r>
                            <w:rPr>
                              <w:rFonts w:hint="eastAsia" w:ascii="宋体" w:hAnsi="宋体"/>
                              <w:sz w:val="21"/>
                              <w:szCs w:val="21"/>
                            </w:rPr>
                            <w:t>配套设施、主体设备</w:t>
                          </w:r>
                        </w:p>
                      </w:txbxContent>
                    </v:textbox>
                  </v:shape>
                  <v:shape id="Text Box 50" o:spid="_x0000_s1349" o:spt="202" type="#_x0000_t202" style="position:absolute;left:10407;top:260416;height:468;width:1260;" coordsize="21600,21600" o:gfxdata="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XRZb4A&#10;AADcAAAADwAAAAAAAAABACAAAAAiAAAAZHJzL2Rvd25yZXYueG1sUEsBAhQAFAAAAAgAh07iQDMv&#10;BZ47AAAAOQAAABAAAAAAAAAAAQAgAAAADQEAAGRycy9zaGFwZXhtbC54bWxQSwUGAAAAAAYABgBb&#10;AQAAtwMAAAAA&#10;">
                    <v:path/>
                    <v:fill focussize="0,0"/>
                    <v:stroke joinstyle="miter"/>
                    <v:imagedata o:title=""/>
                    <o:lock v:ext="edit"/>
                    <v:textbox>
                      <w:txbxContent>
                        <w:p>
                          <w:pPr>
                            <w:spacing w:line="60" w:lineRule="atLeast"/>
                            <w:ind w:firstLine="0" w:firstLineChars="0"/>
                            <w:jc w:val="center"/>
                            <w:rPr>
                              <w:rFonts w:ascii="宋体" w:hAnsi="宋体"/>
                              <w:sz w:val="21"/>
                            </w:rPr>
                          </w:pPr>
                          <w:r>
                            <w:rPr>
                              <w:rFonts w:hint="eastAsia" w:ascii="宋体" w:hAnsi="宋体"/>
                              <w:sz w:val="21"/>
                              <w:szCs w:val="21"/>
                            </w:rPr>
                            <w:t>主体装修</w:t>
                          </w:r>
                        </w:p>
                      </w:txbxContent>
                    </v:textbox>
                  </v:shape>
                  <v:line id="Line 69" o:spid="_x0000_s1350" o:spt="20" style="position:absolute;left:8067;top:260655;height:0;width:540;" coordsize="21600,21600" o:gfxdata="UEsDBAoAAAAAAIdO4kAAAAAAAAAAAAAAAAAEAAAAZHJzL1BLAwQUAAAACACHTuJAUvqx48AAAADc&#10;AAAADwAAAGRycy9kb3ducmV2LnhtbEWPT2vCQBTE74LfYXmF3nSTtmh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Hj&#10;wAAAANwAAAAPAAAAAAAAAAEAIAAAACIAAABkcnMvZG93bnJldi54bWxQSwECFAAUAAAACACHTuJA&#10;My8FnjsAAAA5AAAAEAAAAAAAAAABACAAAAAPAQAAZHJzL3NoYXBleG1sLnhtbFBLBQYAAAAABgAG&#10;AFsBAAC5AwAAAAA=&#10;">
                    <v:path arrowok="t"/>
                    <v:fill focussize="0,0"/>
                    <v:stroke endarrow="block"/>
                    <v:imagedata o:title=""/>
                    <o:lock v:ext="edit"/>
                  </v:line>
                  <v:line id="Line 67" o:spid="_x0000_s1351" o:spt="20" style="position:absolute;left:4467;top:260727;height:0;width:720;" coordsize="21600,21600" o:gfxdata="UEsDBAoAAAAAAIdO4kAAAAAAAAAAAAAAAAAEAAAAZHJzL1BLAwQUAAAACACHTuJAI2Ulkb0AAADc&#10;AAAADwAAAGRycy9kb3ducmV2LnhtbEVPz2vCMBS+C/sfwhO8ado5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SWRvQAA&#10;ANwAAAAPAAAAAAAAAAEAIAAAACIAAABkcnMvZG93bnJldi54bWxQSwECFAAUAAAACACHTuJAMy8F&#10;njsAAAA5AAAAEAAAAAAAAAABACAAAAAMAQAAZHJzL3NoYXBleG1sLnhtbFBLBQYAAAAABgAGAFsB&#10;AAC2AwAAAAA=&#10;">
                    <v:path arrowok="t"/>
                    <v:fill focussize="0,0"/>
                    <v:stroke endarrow="block"/>
                    <v:imagedata o:title=""/>
                    <o:lock v:ext="edit"/>
                  </v:line>
                  <v:line id="Line 66" o:spid="_x0000_s1352" o:spt="20" style="position:absolute;left:9867;top:260727;height:0;width:540;" coordsize="21600,21600" o:gfxdata="UEsDBAoAAAAAAIdO4kAAAAAAAAAAAAAAAAAEAAAAZHJzL1BLAwQUAAAACACHTuJATCmACsAAAADc&#10;AAAADwAAAGRycy9kb3ducmV2LnhtbEWPT2vCQBTE74LfYXmF3nQTWyS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KYAK&#10;wAAAANwAAAAPAAAAAAAAAAEAIAAAACIAAABkcnMvZG93bnJldi54bWxQSwECFAAUAAAACACHTuJA&#10;My8FnjsAAAA5AAAAEAAAAAAAAAABACAAAAAPAQAAZHJzL3NoYXBleG1sLnhtbFBLBQYAAAAABgAG&#10;AFsBAAC5AwAAAAA=&#10;">
                    <v:path arrowok="t"/>
                    <v:fill focussize="0,0"/>
                    <v:stroke endarrow="block"/>
                    <v:imagedata o:title=""/>
                    <o:lock v:ext="edit"/>
                  </v:line>
                  <v:shape id="Text Box 75" o:spid="_x0000_s1353" o:spt="202" type="#_x0000_t202" style="position:absolute;left:3174;top:261352;height:384;width:1149;" stroked="f" coordsize="21600,21600">
                    <v:path/>
                    <v:fill focussize="0,0"/>
                    <v:stroke on="f" joinstyle="miter"/>
                    <v:imagedata o:title=""/>
                    <o:lock v:ext="edit"/>
                    <v:textbox inset="1.5mm,0.5mm,1.5mm,0.5mm">
                      <w:txbxContent>
                        <w:p>
                          <w:pPr>
                            <w:spacing w:line="60" w:lineRule="atLeast"/>
                            <w:ind w:firstLine="0" w:firstLineChars="0"/>
                            <w:rPr>
                              <w:rFonts w:ascii="宋体" w:hAnsi="宋体"/>
                              <w:iCs/>
                              <w:sz w:val="21"/>
                              <w:szCs w:val="21"/>
                            </w:rPr>
                          </w:pPr>
                          <w:r>
                            <w:rPr>
                              <w:rFonts w:hint="eastAsia" w:ascii="宋体" w:hAnsi="宋体"/>
                              <w:iCs/>
                              <w:sz w:val="21"/>
                              <w:szCs w:val="21"/>
                            </w:rPr>
                            <w:t>固体废物</w:t>
                          </w:r>
                        </w:p>
                      </w:txbxContent>
                    </v:textbox>
                  </v:shape>
                  <v:shape id="Text Box 74" o:spid="_x0000_s1354" o:spt="202" type="#_x0000_t202" style="position:absolute;left:10463;top:261364;height:360;width:1204;" stroked="f" coordsize="21600,21600" o:gfxdata="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0Mdr4A&#10;AADcAAAADwAAAAAAAAABACAAAAAiAAAAZHJzL2Rvd25yZXYueG1sUEsBAhQAFAAAAAgAh07iQDMv&#10;BZ47AAAAOQAAABAAAAAAAAAAAQAgAAAADQEAAGRycy9zaGFwZXhtbC54bWxQSwUGAAAAAAYABgBb&#10;AQAAtwMAAAAA&#10;">
                    <v:path/>
                    <v:fill focussize="0,0"/>
                    <v:stroke on="f" joinstyle="miter"/>
                    <v:imagedata o:title=""/>
                    <o:lock v:ext="edit"/>
                    <v:textbox inset="2.54mm,0.5mm,2.54mm,0.5mm">
                      <w:txbxContent>
                        <w:p>
                          <w:pPr>
                            <w:spacing w:line="60" w:lineRule="atLeast"/>
                            <w:ind w:firstLine="0" w:firstLineChars="0"/>
                            <w:rPr>
                              <w:rFonts w:ascii="宋体" w:hAnsi="宋体"/>
                              <w:iCs/>
                              <w:sz w:val="21"/>
                            </w:rPr>
                          </w:pPr>
                          <w:r>
                            <w:rPr>
                              <w:rFonts w:hint="eastAsia" w:ascii="宋体" w:hAnsi="宋体"/>
                              <w:iCs/>
                              <w:sz w:val="21"/>
                            </w:rPr>
                            <w:t>固体废物</w:t>
                          </w:r>
                        </w:p>
                      </w:txbxContent>
                    </v:textbox>
                  </v:shape>
                  <v:shape id="Text Box 73" o:spid="_x0000_s1355" o:spt="202" type="#_x0000_t202" style="position:absolute;left:6987;top:261280;height:348;width:900;" stroked="f" coordsize="21600,21600" o:gfxdata="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qTb4A&#10;AADcAAAADwAAAAAAAAABACAAAAAiAAAAZHJzL2Rvd25yZXYueG1sUEsBAhQAFAAAAAgAh07iQDMv&#10;BZ47AAAAOQAAABAAAAAAAAAAAQAgAAAADQEAAGRycy9zaGFwZXhtbC54bWxQSwUGAAAAAAYABgBb&#10;AQAAtwMAAAAA&#10;">
                    <v:path/>
                    <v:fill focussize="0,0"/>
                    <v:stroke on="f" joinstyle="miter"/>
                    <v:imagedata o:title=""/>
                    <o:lock v:ext="edit"/>
                    <v:textbox inset="2.54mm,0.5mm,2.54mm,0.5mm">
                      <w:txbxContent>
                        <w:p>
                          <w:pPr>
                            <w:spacing w:line="60" w:lineRule="atLeast"/>
                            <w:ind w:firstLine="0" w:firstLineChars="0"/>
                            <w:jc w:val="center"/>
                            <w:rPr>
                              <w:rFonts w:ascii="宋体" w:hAnsi="宋体"/>
                              <w:iCs/>
                              <w:sz w:val="21"/>
                            </w:rPr>
                          </w:pPr>
                          <w:r>
                            <w:rPr>
                              <w:rFonts w:hint="eastAsia" w:ascii="宋体" w:hAnsi="宋体"/>
                              <w:iCs/>
                              <w:sz w:val="21"/>
                              <w:szCs w:val="21"/>
                            </w:rPr>
                            <w:t>噪</w:t>
                          </w:r>
                          <w:r>
                            <w:rPr>
                              <w:rFonts w:hint="eastAsia" w:ascii="宋体" w:hAnsi="宋体"/>
                              <w:iCs/>
                              <w:sz w:val="21"/>
                            </w:rPr>
                            <w:t>声</w:t>
                          </w:r>
                        </w:p>
                      </w:txbxContent>
                    </v:textbox>
                  </v:shape>
                  <v:line id="Line 59" o:spid="_x0000_s1356" o:spt="20" style="position:absolute;left:3791;top:260887;height:468;width:1;" coordsize="21600,21600" o:gfxdata="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66QK/&#10;AAAA3AAAAA8AAAAAAAAAAQAgAAAAIgAAAGRycy9kb3ducmV2LnhtbFBLAQIUABQAAAAIAIdO4kAz&#10;LwWeOwAAADkAAAAQAAAAAAAAAAEAIAAAAA4BAABkcnMvc2hhcGV4bWwueG1sUEsFBgAAAAAGAAYA&#10;WwEAALgDAAAAAA==&#10;">
                    <v:path arrowok="t"/>
                    <v:fill focussize="0,0"/>
                    <v:stroke dashstyle="dash" endarrow="block"/>
                    <v:imagedata o:title=""/>
                    <o:lock v:ext="edit"/>
                  </v:line>
                  <v:line id="Line 60" o:spid="_x0000_s1357" o:spt="20" style="position:absolute;left:4425;top:260920;height:468;width:2568;" coordsize="21600,21600" o:gfxdata="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BkIwvQAA&#10;ANwAAAAPAAAAAAAAAAEAIAAAACIAAABkcnMvZG93bnJldi54bWxQSwECFAAUAAAACACHTuJAMy8F&#10;njsAAAA5AAAAEAAAAAAAAAABACAAAAAMAQAAZHJzL3NoYXBleG1sLnhtbFBLBQYAAAAABgAGAFsB&#10;AAC2AwAAAAA=&#10;">
                    <v:path arrowok="t"/>
                    <v:fill focussize="0,0"/>
                    <v:stroke dashstyle="dash" endarrow="block"/>
                    <v:imagedata o:title=""/>
                    <o:lock v:ext="edit"/>
                  </v:line>
                  <v:line id="Line 58" o:spid="_x0000_s1358" o:spt="20" style="position:absolute;left:7391;top:260896;height:384;width:1;" coordsize="21600,21600" o:gfxdata="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HncvQAA&#10;ANwAAAAPAAAAAAAAAAEAIAAAACIAAABkcnMvZG93bnJldi54bWxQSwECFAAUAAAACACHTuJAMy8F&#10;njsAAAA5AAAAEAAAAAAAAAABACAAAAAMAQAAZHJzL3NoYXBleG1sLnhtbFBLBQYAAAAABgAGAFsB&#10;AAC2AwAAAAA=&#10;">
                    <v:path arrowok="t"/>
                    <v:fill focussize="0,0"/>
                    <v:stroke dashstyle="dash" endarrow="block"/>
                    <v:imagedata o:title=""/>
                    <o:lock v:ext="edit"/>
                  </v:line>
                  <v:line id="Line 57" o:spid="_x0000_s1359" o:spt="20" style="position:absolute;left:7876;top:260950;flip:x;height:360;width:912;" coordsize="21600,21600" o:gfxdata="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WAULsAAADc&#10;AAAADwAAAAAAAAABACAAAAAiAAAAZHJzL2Rvd25yZXYueG1sUEsBAhQAFAAAAAgAh07iQDMvBZ47&#10;AAAAOQAAABAAAAAAAAAAAQAgAAAACgEAAGRycy9zaGFwZXhtbC54bWxQSwUGAAAAAAYABgBbAQAA&#10;tAMAAAAA&#10;">
                    <v:path arrowok="t"/>
                    <v:fill focussize="0,0"/>
                    <v:stroke dashstyle="dash" endarrow="block"/>
                    <v:imagedata o:title=""/>
                    <o:lock v:ext="edit"/>
                  </v:line>
                  <v:line id="Line 56" o:spid="_x0000_s1360" o:spt="20" style="position:absolute;left:7924;top:260899;flip:x;height:480;width:2508;" coordsize="21600,21600" o:gfxdata="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uSXLugAAANwA&#10;AAAPAAAAAAAAAAEAIAAAACIAAABkcnMvZG93bnJldi54bWxQSwECFAAUAAAACACHTuJAMy8FnjsA&#10;AAA5AAAAEAAAAAAAAAABACAAAAAJAQAAZHJzL3NoYXBleG1sLnhtbFBLBQYAAAAABgAGAFsBAACz&#10;AwAAAAA=&#10;">
                    <v:path arrowok="t"/>
                    <v:fill focussize="0,0"/>
                    <v:stroke dashstyle="dash" endarrow="block"/>
                    <v:imagedata o:title=""/>
                    <o:lock v:ext="edit"/>
                  </v:line>
                  <v:line id="Line 55" o:spid="_x0000_s1361" o:spt="20" style="position:absolute;left:11036;top:260896;height:468;width:1;" coordsize="21600,21600" o:gfxdata="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zr&#10;rcEAAADcAAAADwAAAAAAAAABACAAAAAiAAAAZHJzL2Rvd25yZXYueG1sUEsBAhQAFAAAAAgAh07i&#10;QDMvBZ47AAAAOQAAABAAAAAAAAAAAQAgAAAAEAEAAGRycy9zaGFwZXhtbC54bWxQSwUGAAAAAAYA&#10;BgBbAQAAugMAAAAA&#10;">
                    <v:path arrowok="t"/>
                    <v:fill focussize="0,0"/>
                    <v:stroke dashstyle="dash" endarrow="block"/>
                    <v:imagedata o:title=""/>
                    <o:lock v:ext="edit"/>
                  </v:line>
                  <v:line id="Line 42" o:spid="_x0000_s1362" o:spt="20" style="position:absolute;left:7379;top:259979;flip:x y;height:469;width:11;" coordsize="21600,21600" o:gfxdata="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tG5bsAAADc&#10;AAAADwAAAAAAAAABACAAAAAiAAAAZHJzL2Rvd25yZXYueG1sUEsBAhQAFAAAAAgAh07iQDMvBZ47&#10;AAAAOQAAABAAAAAAAAAAAQAgAAAACgEAAGRycy9zaGFwZXhtbC54bWxQSwUGAAAAAAYABgBbAQAA&#10;tAMAAAAA&#10;">
                    <v:path arrowok="t"/>
                    <v:fill focussize="0,0"/>
                    <v:stroke dashstyle="dash" endarrow="block"/>
                    <v:imagedata o:title=""/>
                    <o:lock v:ext="edit"/>
                  </v:line>
                  <v:line id="Line 44" o:spid="_x0000_s1363" o:spt="20" style="position:absolute;left:6242;top:259929;flip:y;height:480;width:733;" coordsize="21600,21600" o:gfxdata="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77Lm7UAAADcAAAADwAA&#10;AAAAAAABACAAAAAiAAAAZHJzL2Rvd25yZXYueG1sUEsBAhQAFAAAAAgAh07iQDMvBZ47AAAAOQAA&#10;ABAAAAAAAAAAAQAgAAAABAEAAGRycy9zaGFwZXhtbC54bWxQSwUGAAAAAAYABgBbAQAArgMAAAAA&#10;">
                    <v:path arrowok="t"/>
                    <v:fill focussize="0,0"/>
                    <v:stroke dashstyle="dash" endarrow="block"/>
                    <v:imagedata o:title=""/>
                    <o:lock v:ext="edit"/>
                  </v:line>
                  <v:line id="Line 41" o:spid="_x0000_s1364" o:spt="20" style="position:absolute;left:7869;top:259986;flip:x y;height:468;width:756;" coordsize="21600,21600" o:gfxdata="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zzHugAAANwA&#10;AAAPAAAAAAAAAAEAIAAAACIAAABkcnMvZG93bnJldi54bWxQSwECFAAUAAAACACHTuJAMy8FnjsA&#10;AAA5AAAAEAAAAAAAAAABACAAAAAJAQAAZHJzL3NoYXBleG1sLnhtbFBLBQYAAAAABgAGAFsBAACz&#10;AwAAAAA=&#10;">
                    <v:path arrowok="t"/>
                    <v:fill focussize="0,0"/>
                    <v:stroke dashstyle="dash" endarrow="block"/>
                    <v:imagedata o:title=""/>
                    <o:lock v:ext="edit"/>
                  </v:line>
                  <v:shape id="Text Box 39" o:spid="_x0000_s1365" o:spt="202" type="#_x0000_t202" style="position:absolute;left:6957;top:259642;height:348;width:898;" stroked="f" coordsize="21600,21600" o:gfxdata="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xzP7sAAADc&#10;AAAADwAAAAAAAAABACAAAAAiAAAAZHJzL2Rvd25yZXYueG1sUEsBAhQAFAAAAAgAh07iQDMvBZ47&#10;AAAAOQAAABAAAAAAAAAAAQAgAAAACgEAAGRycy9zaGFwZXhtbC54bWxQSwUGAAAAAAYABgBbAQAA&#10;tAMAAAAA&#10;">
                    <v:path/>
                    <v:fill focussize="0,0"/>
                    <v:stroke on="f" joinstyle="miter"/>
                    <v:imagedata o:title=""/>
                    <o:lock v:ext="edit"/>
                    <v:textbox inset="2.54mm,0.5mm,2.54mm,0.5mm">
                      <w:txbxContent>
                        <w:p>
                          <w:pPr>
                            <w:spacing w:line="60" w:lineRule="atLeast"/>
                            <w:ind w:firstLine="0" w:firstLineChars="0"/>
                            <w:rPr>
                              <w:rFonts w:ascii="宋体" w:hAnsi="宋体"/>
                              <w:iCs/>
                              <w:sz w:val="21"/>
                              <w:szCs w:val="21"/>
                            </w:rPr>
                          </w:pPr>
                          <w:r>
                            <w:rPr>
                              <w:rFonts w:hint="eastAsia" w:ascii="宋体" w:hAnsi="宋体"/>
                              <w:iCs/>
                              <w:sz w:val="21"/>
                              <w:szCs w:val="21"/>
                            </w:rPr>
                            <w:t>扬尘</w:t>
                          </w:r>
                        </w:p>
                      </w:txbxContent>
                    </v:textbox>
                  </v:shape>
                  <w10:wrap type="none"/>
                  <w10:anchorlock/>
                </v:group>
              </w:pict>
            </w:r>
          </w:p>
          <w:p>
            <w:pPr>
              <w:ind w:firstLine="480"/>
              <w:rPr>
                <w:bCs/>
                <w:color w:val="000000" w:themeColor="text1"/>
                <w:szCs w:val="32"/>
                <w:highlight w:val="none"/>
              </w:rPr>
            </w:pPr>
          </w:p>
          <w:p>
            <w:pPr>
              <w:ind w:firstLine="0" w:firstLineChars="0"/>
              <w:jc w:val="center"/>
              <w:rPr>
                <w:b/>
                <w:bCs/>
                <w:color w:val="000000" w:themeColor="text1"/>
                <w:sz w:val="21"/>
                <w:highlight w:val="none"/>
              </w:rPr>
            </w:pPr>
            <w:r>
              <w:rPr>
                <w:b/>
                <w:bCs/>
                <w:color w:val="000000" w:themeColor="text1"/>
                <w:sz w:val="21"/>
                <w:highlight w:val="none"/>
              </w:rPr>
              <w:t>图</w:t>
            </w:r>
            <w:r>
              <w:rPr>
                <w:rFonts w:hint="eastAsia"/>
                <w:b/>
                <w:bCs/>
                <w:color w:val="000000" w:themeColor="text1"/>
                <w:sz w:val="21"/>
                <w:highlight w:val="none"/>
              </w:rPr>
              <w:t>2-2</w:t>
            </w:r>
            <w:r>
              <w:rPr>
                <w:b/>
                <w:bCs/>
                <w:color w:val="000000" w:themeColor="text1"/>
                <w:sz w:val="21"/>
                <w:highlight w:val="none"/>
              </w:rPr>
              <w:t xml:space="preserve">  施工期工艺流程图</w:t>
            </w:r>
          </w:p>
          <w:p>
            <w:pPr>
              <w:pStyle w:val="8"/>
              <w:widowControl w:val="0"/>
              <w:spacing w:before="0" w:after="0" w:line="360" w:lineRule="auto"/>
              <w:ind w:right="0" w:firstLine="482"/>
              <w:rPr>
                <w:b/>
                <w:bCs/>
                <w:color w:val="000000" w:themeColor="text1"/>
                <w:sz w:val="24"/>
                <w:szCs w:val="24"/>
                <w:highlight w:val="none"/>
              </w:rPr>
            </w:pPr>
            <w:r>
              <w:rPr>
                <w:b/>
                <w:bCs/>
                <w:color w:val="000000" w:themeColor="text1"/>
                <w:sz w:val="24"/>
                <w:szCs w:val="24"/>
                <w:highlight w:val="none"/>
              </w:rPr>
              <w:t>2、运营期：</w:t>
            </w:r>
          </w:p>
          <w:p>
            <w:pPr>
              <w:ind w:firstLine="482"/>
              <w:rPr>
                <w:rFonts w:ascii="宋体" w:hAnsi="宋体" w:cs="宋体"/>
                <w:b/>
                <w:bCs/>
                <w:color w:val="000000" w:themeColor="text1"/>
                <w:highlight w:val="none"/>
              </w:rPr>
            </w:pPr>
            <w:r>
              <w:rPr>
                <w:rFonts w:hint="eastAsia" w:ascii="宋体" w:hAnsi="宋体" w:cs="宋体"/>
                <w:b/>
                <w:bCs/>
                <w:color w:val="000000" w:themeColor="text1"/>
                <w:highlight w:val="none"/>
              </w:rPr>
              <w:t>工艺流程简述：</w:t>
            </w:r>
          </w:p>
          <w:p>
            <w:pPr>
              <w:ind w:firstLine="480"/>
              <w:rPr>
                <w:color w:val="000000" w:themeColor="text1"/>
                <w:highlight w:val="none"/>
              </w:rPr>
            </w:pPr>
            <w:r>
              <w:rPr>
                <w:rFonts w:hint="eastAsia"/>
                <w:color w:val="000000" w:themeColor="text1"/>
                <w:highlight w:val="none"/>
              </w:rPr>
              <w:t>沥青混合料</w:t>
            </w:r>
            <w:r>
              <w:rPr>
                <w:color w:val="000000" w:themeColor="text1"/>
                <w:highlight w:val="none"/>
              </w:rPr>
              <w:t>由</w:t>
            </w:r>
            <w:r>
              <w:rPr>
                <w:rFonts w:hint="eastAsia"/>
                <w:color w:val="000000" w:themeColor="text1"/>
                <w:highlight w:val="none"/>
              </w:rPr>
              <w:t>沥青、</w:t>
            </w:r>
            <w:r>
              <w:rPr>
                <w:color w:val="000000" w:themeColor="text1"/>
                <w:highlight w:val="none"/>
              </w:rPr>
              <w:t>骨料</w:t>
            </w:r>
            <w:r>
              <w:rPr>
                <w:rFonts w:hint="eastAsia"/>
                <w:color w:val="000000" w:themeColor="text1"/>
                <w:highlight w:val="none"/>
              </w:rPr>
              <w:t>、矿粉</w:t>
            </w:r>
            <w:r>
              <w:rPr>
                <w:color w:val="000000" w:themeColor="text1"/>
                <w:highlight w:val="none"/>
              </w:rPr>
              <w:t>混合拌制而成</w:t>
            </w:r>
            <w:r>
              <w:rPr>
                <w:rFonts w:hint="eastAsia"/>
                <w:color w:val="000000" w:themeColor="text1"/>
                <w:highlight w:val="none"/>
              </w:rPr>
              <w:t>，生产工艺包括</w:t>
            </w:r>
            <w:r>
              <w:rPr>
                <w:color w:val="000000" w:themeColor="text1"/>
                <w:highlight w:val="none"/>
              </w:rPr>
              <w:t>骨料预处理</w:t>
            </w:r>
            <w:r>
              <w:rPr>
                <w:rFonts w:hint="eastAsia"/>
                <w:color w:val="000000" w:themeColor="text1"/>
                <w:highlight w:val="none"/>
              </w:rPr>
              <w:t>系统、</w:t>
            </w:r>
            <w:r>
              <w:rPr>
                <w:color w:val="000000" w:themeColor="text1"/>
                <w:highlight w:val="none"/>
              </w:rPr>
              <w:t>沥青预处理</w:t>
            </w:r>
            <w:r>
              <w:rPr>
                <w:rFonts w:hint="eastAsia"/>
                <w:color w:val="000000" w:themeColor="text1"/>
                <w:highlight w:val="none"/>
              </w:rPr>
              <w:t>系统、拌合工序。</w:t>
            </w:r>
          </w:p>
          <w:p>
            <w:pPr>
              <w:ind w:firstLine="480"/>
              <w:rPr>
                <w:color w:val="000000" w:themeColor="text1"/>
                <w:highlight w:val="none"/>
              </w:rPr>
            </w:pPr>
            <w:r>
              <w:rPr>
                <w:rFonts w:hint="eastAsia"/>
                <w:color w:val="000000" w:themeColor="text1"/>
                <w:highlight w:val="none"/>
              </w:rPr>
              <w:t>①</w:t>
            </w:r>
            <w:r>
              <w:rPr>
                <w:color w:val="000000" w:themeColor="text1"/>
                <w:highlight w:val="none"/>
              </w:rPr>
              <w:t>骨料预处理</w:t>
            </w:r>
          </w:p>
          <w:p>
            <w:pPr>
              <w:ind w:firstLine="480"/>
              <w:rPr>
                <w:color w:val="000000" w:themeColor="text1"/>
                <w:highlight w:val="none"/>
              </w:rPr>
            </w:pPr>
            <w:r>
              <w:rPr>
                <w:rFonts w:hint="eastAsia"/>
                <w:color w:val="000000" w:themeColor="text1"/>
                <w:highlight w:val="none"/>
              </w:rPr>
              <w:t>外购的</w:t>
            </w:r>
            <w:r>
              <w:rPr>
                <w:color w:val="000000" w:themeColor="text1"/>
                <w:highlight w:val="none"/>
              </w:rPr>
              <w:t>骨料</w:t>
            </w:r>
            <w:r>
              <w:rPr>
                <w:rFonts w:hint="eastAsia"/>
                <w:color w:val="000000" w:themeColor="text1"/>
                <w:highlight w:val="none"/>
              </w:rPr>
              <w:t>进入原料库暂存，由</w:t>
            </w:r>
            <w:r>
              <w:rPr>
                <w:color w:val="000000" w:themeColor="text1"/>
                <w:highlight w:val="none"/>
              </w:rPr>
              <w:t>斗车</w:t>
            </w:r>
            <w:r>
              <w:rPr>
                <w:rFonts w:hint="eastAsia"/>
                <w:color w:val="000000" w:themeColor="text1"/>
                <w:highlight w:val="none"/>
              </w:rPr>
              <w:t>运至入料仓</w:t>
            </w:r>
            <w:r>
              <w:rPr>
                <w:color w:val="000000" w:themeColor="text1"/>
                <w:highlight w:val="none"/>
              </w:rPr>
              <w:t>，</w:t>
            </w:r>
            <w:r>
              <w:rPr>
                <w:rFonts w:hint="eastAsia"/>
                <w:color w:val="000000" w:themeColor="text1"/>
                <w:highlight w:val="none"/>
              </w:rPr>
              <w:t>经冷料给料机</w:t>
            </w:r>
            <w:r>
              <w:rPr>
                <w:color w:val="000000" w:themeColor="text1"/>
                <w:highlight w:val="none"/>
              </w:rPr>
              <w:t>自动进料</w:t>
            </w:r>
            <w:r>
              <w:rPr>
                <w:rFonts w:hint="eastAsia"/>
                <w:color w:val="000000" w:themeColor="text1"/>
                <w:highlight w:val="none"/>
              </w:rPr>
              <w:t>至</w:t>
            </w:r>
            <w:r>
              <w:rPr>
                <w:color w:val="000000" w:themeColor="text1"/>
                <w:highlight w:val="none"/>
              </w:rPr>
              <w:t>烘干</w:t>
            </w:r>
            <w:r>
              <w:rPr>
                <w:rFonts w:hint="eastAsia"/>
                <w:color w:val="000000" w:themeColor="text1"/>
                <w:highlight w:val="none"/>
              </w:rPr>
              <w:t>滚筒进行</w:t>
            </w:r>
            <w:r>
              <w:rPr>
                <w:rFonts w:hint="eastAsia"/>
                <w:color w:val="000000" w:themeColor="text1"/>
                <w:highlight w:val="none"/>
                <w:lang w:val="en-US" w:eastAsia="zh-CN"/>
              </w:rPr>
              <w:t>预热</w:t>
            </w:r>
            <w:r>
              <w:rPr>
                <w:color w:val="000000" w:themeColor="text1"/>
                <w:highlight w:val="none"/>
              </w:rPr>
              <w:t>，</w:t>
            </w:r>
            <w:r>
              <w:rPr>
                <w:rFonts w:hint="eastAsia"/>
                <w:color w:val="000000" w:themeColor="text1"/>
                <w:highlight w:val="none"/>
                <w:lang w:val="en-US" w:eastAsia="zh-CN"/>
              </w:rPr>
              <w:t>预热</w:t>
            </w:r>
            <w:r>
              <w:rPr>
                <w:rFonts w:hint="eastAsia"/>
                <w:color w:val="000000" w:themeColor="text1"/>
                <w:highlight w:val="none"/>
              </w:rPr>
              <w:t>温度180</w:t>
            </w:r>
            <w:r>
              <w:rPr>
                <w:color w:val="000000" w:themeColor="text1"/>
                <w:highlight w:val="none"/>
              </w:rPr>
              <w:t>℃</w:t>
            </w:r>
            <w:r>
              <w:rPr>
                <w:rFonts w:hint="eastAsia"/>
                <w:color w:val="000000" w:themeColor="text1"/>
                <w:highlight w:val="none"/>
              </w:rPr>
              <w:t>，</w:t>
            </w:r>
            <w:r>
              <w:rPr>
                <w:color w:val="000000" w:themeColor="text1"/>
                <w:highlight w:val="none"/>
              </w:rPr>
              <w:t>烘干</w:t>
            </w:r>
            <w:r>
              <w:rPr>
                <w:rFonts w:hint="eastAsia"/>
                <w:color w:val="000000" w:themeColor="text1"/>
                <w:highlight w:val="none"/>
              </w:rPr>
              <w:t>滚筒</w:t>
            </w:r>
            <w:r>
              <w:rPr>
                <w:color w:val="000000" w:themeColor="text1"/>
                <w:highlight w:val="none"/>
              </w:rPr>
              <w:t>以</w:t>
            </w:r>
            <w:r>
              <w:rPr>
                <w:rFonts w:hint="eastAsia"/>
                <w:color w:val="000000" w:themeColor="text1"/>
                <w:highlight w:val="none"/>
              </w:rPr>
              <w:t>天然气</w:t>
            </w:r>
            <w:r>
              <w:rPr>
                <w:color w:val="000000" w:themeColor="text1"/>
                <w:highlight w:val="none"/>
              </w:rPr>
              <w:t>为燃料</w:t>
            </w:r>
            <w:r>
              <w:rPr>
                <w:rFonts w:hint="eastAsia"/>
                <w:color w:val="000000" w:themeColor="text1"/>
                <w:highlight w:val="none"/>
                <w:lang w:eastAsia="zh-CN"/>
              </w:rPr>
              <w:t>，</w:t>
            </w:r>
            <w:r>
              <w:rPr>
                <w:rFonts w:hint="eastAsia"/>
                <w:color w:val="000000" w:themeColor="text1"/>
                <w:highlight w:val="none"/>
                <w:lang w:val="en-US" w:eastAsia="zh-CN"/>
              </w:rPr>
              <w:t>产生的热气在烘干滚筒内对骨料进行直接预热</w:t>
            </w:r>
            <w:r>
              <w:rPr>
                <w:color w:val="000000" w:themeColor="text1"/>
                <w:highlight w:val="none"/>
              </w:rPr>
              <w:t>。</w:t>
            </w:r>
          </w:p>
          <w:p>
            <w:pPr>
              <w:ind w:firstLine="480"/>
              <w:rPr>
                <w:color w:val="000000" w:themeColor="text1"/>
                <w:highlight w:val="none"/>
              </w:rPr>
            </w:pPr>
            <w:r>
              <w:rPr>
                <w:rFonts w:hint="eastAsia"/>
                <w:color w:val="000000" w:themeColor="text1"/>
                <w:highlight w:val="none"/>
              </w:rPr>
              <w:t>②</w:t>
            </w:r>
            <w:r>
              <w:rPr>
                <w:color w:val="000000" w:themeColor="text1"/>
                <w:highlight w:val="none"/>
              </w:rPr>
              <w:t>沥青预处理</w:t>
            </w:r>
          </w:p>
          <w:p>
            <w:pPr>
              <w:ind w:firstLine="480"/>
              <w:rPr>
                <w:color w:val="000000" w:themeColor="text1"/>
                <w:highlight w:val="none"/>
              </w:rPr>
            </w:pPr>
            <w:r>
              <w:rPr>
                <w:color w:val="000000" w:themeColor="text1"/>
                <w:highlight w:val="none"/>
              </w:rPr>
              <w:t>沥青是石油气工厂热解石油气原料时得到的副产品，进厂时由专用沥青运输车通过</w:t>
            </w:r>
            <w:r>
              <w:rPr>
                <w:rFonts w:hint="eastAsia"/>
                <w:color w:val="000000" w:themeColor="text1"/>
                <w:highlight w:val="none"/>
              </w:rPr>
              <w:t>真空泵抽至沥青</w:t>
            </w:r>
            <w:r>
              <w:rPr>
                <w:rFonts w:hint="eastAsia"/>
                <w:color w:val="000000" w:themeColor="text1"/>
                <w:highlight w:val="none"/>
                <w:lang w:val="en-US" w:eastAsia="zh-CN"/>
              </w:rPr>
              <w:t>卸料池，经沥青卸料池进一步加热后由</w:t>
            </w:r>
            <w:r>
              <w:rPr>
                <w:rFonts w:hint="eastAsia"/>
                <w:color w:val="000000" w:themeColor="text1"/>
                <w:highlight w:val="none"/>
              </w:rPr>
              <w:t>真空泵</w:t>
            </w:r>
            <w:r>
              <w:rPr>
                <w:rFonts w:hint="eastAsia"/>
                <w:color w:val="000000" w:themeColor="text1"/>
                <w:highlight w:val="none"/>
                <w:lang w:val="en-US" w:eastAsia="zh-CN"/>
              </w:rPr>
              <w:t>抽运至沥青储罐，</w:t>
            </w:r>
            <w:r>
              <w:rPr>
                <w:rFonts w:hint="eastAsia"/>
                <w:color w:val="000000" w:themeColor="text1"/>
                <w:highlight w:val="none"/>
              </w:rPr>
              <w:t>沥青罐兼做加热罐，</w:t>
            </w:r>
            <w:r>
              <w:rPr>
                <w:color w:val="000000" w:themeColor="text1"/>
                <w:highlight w:val="none"/>
              </w:rPr>
              <w:t>使用导热油炉将其间接加热</w:t>
            </w:r>
            <w:r>
              <w:rPr>
                <w:rFonts w:hint="eastAsia"/>
                <w:color w:val="000000" w:themeColor="text1"/>
                <w:highlight w:val="none"/>
              </w:rPr>
              <w:t>使温度保持在130</w:t>
            </w:r>
            <w:r>
              <w:rPr>
                <w:color w:val="000000" w:themeColor="text1"/>
                <w:highlight w:val="none"/>
              </w:rPr>
              <w:t>℃</w:t>
            </w:r>
            <w:r>
              <w:rPr>
                <w:rFonts w:hint="eastAsia"/>
                <w:color w:val="000000" w:themeColor="text1"/>
                <w:highlight w:val="none"/>
              </w:rPr>
              <w:t>左右，</w:t>
            </w:r>
            <w:r>
              <w:rPr>
                <w:color w:val="000000" w:themeColor="text1"/>
                <w:highlight w:val="none"/>
              </w:rPr>
              <w:t>导热油炉以</w:t>
            </w:r>
            <w:r>
              <w:rPr>
                <w:rFonts w:hint="eastAsia"/>
                <w:color w:val="000000" w:themeColor="text1"/>
                <w:highlight w:val="none"/>
              </w:rPr>
              <w:t>天然气</w:t>
            </w:r>
            <w:r>
              <w:rPr>
                <w:color w:val="000000" w:themeColor="text1"/>
                <w:highlight w:val="none"/>
              </w:rPr>
              <w:t>为燃料</w:t>
            </w:r>
            <w:r>
              <w:rPr>
                <w:rFonts w:hint="eastAsia"/>
                <w:color w:val="000000" w:themeColor="text1"/>
                <w:highlight w:val="none"/>
              </w:rPr>
              <w:t>。</w:t>
            </w:r>
          </w:p>
          <w:p>
            <w:pPr>
              <w:ind w:firstLine="480"/>
              <w:rPr>
                <w:color w:val="000000" w:themeColor="text1"/>
                <w:highlight w:val="none"/>
              </w:rPr>
            </w:pPr>
            <w:r>
              <w:rPr>
                <w:rFonts w:hint="eastAsia"/>
                <w:color w:val="000000" w:themeColor="text1"/>
                <w:highlight w:val="none"/>
              </w:rPr>
              <w:t>③拌合</w:t>
            </w:r>
            <w:r>
              <w:rPr>
                <w:color w:val="000000" w:themeColor="text1"/>
                <w:highlight w:val="none"/>
              </w:rPr>
              <w:t>工序</w:t>
            </w:r>
          </w:p>
          <w:p>
            <w:pPr>
              <w:ind w:firstLine="480"/>
              <w:jc w:val="left"/>
              <w:rPr>
                <w:color w:val="000000" w:themeColor="text1"/>
                <w:highlight w:val="none"/>
              </w:rPr>
            </w:pPr>
            <w:r>
              <w:rPr>
                <w:rFonts w:hint="eastAsia"/>
                <w:color w:val="000000" w:themeColor="text1"/>
                <w:highlight w:val="none"/>
                <w:lang w:val="en-US" w:eastAsia="zh-CN"/>
              </w:rPr>
              <w:t>预热</w:t>
            </w:r>
            <w:r>
              <w:rPr>
                <w:color w:val="000000" w:themeColor="text1"/>
                <w:highlight w:val="none"/>
              </w:rPr>
              <w:t>后的骨料通过骨料提升机送到振动筛分工段，</w:t>
            </w:r>
            <w:r>
              <w:rPr>
                <w:rFonts w:hint="eastAsia"/>
                <w:color w:val="000000" w:themeColor="text1"/>
                <w:highlight w:val="none"/>
              </w:rPr>
              <w:t>筛上不符合规格的骨料收集后暂存于原料库房，</w:t>
            </w:r>
            <w:r>
              <w:rPr>
                <w:rFonts w:hint="eastAsia" w:ascii="宋体" w:hAnsi="宋体" w:cs="宋体"/>
                <w:color w:val="000000" w:themeColor="text1"/>
                <w:kern w:val="0"/>
                <w:highlight w:val="none"/>
                <w:lang w:bidi="ar"/>
              </w:rPr>
              <w:t>由</w:t>
            </w:r>
            <w:r>
              <w:rPr>
                <w:rFonts w:hint="eastAsia"/>
                <w:highlight w:val="none"/>
                <w:lang w:val="en-US" w:eastAsia="zh-CN"/>
              </w:rPr>
              <w:t>三河市徐达路桥建设有限公司前苇塘水稳站项目作为原料用于生产</w:t>
            </w:r>
            <w:r>
              <w:rPr>
                <w:rFonts w:hint="eastAsia"/>
                <w:color w:val="000000" w:themeColor="text1"/>
                <w:highlight w:val="none"/>
              </w:rPr>
              <w:t>，筛下符合规格的骨料</w:t>
            </w:r>
            <w:r>
              <w:rPr>
                <w:color w:val="000000" w:themeColor="text1"/>
                <w:highlight w:val="none"/>
              </w:rPr>
              <w:t>经计量后按照配比要求送入</w:t>
            </w:r>
            <w:r>
              <w:rPr>
                <w:rFonts w:hint="eastAsia"/>
                <w:color w:val="000000" w:themeColor="text1"/>
                <w:highlight w:val="none"/>
              </w:rPr>
              <w:t>搅拌器；加热后的</w:t>
            </w:r>
            <w:r>
              <w:rPr>
                <w:color w:val="000000" w:themeColor="text1"/>
                <w:highlight w:val="none"/>
              </w:rPr>
              <w:t>沥青泵</w:t>
            </w:r>
            <w:r>
              <w:rPr>
                <w:rFonts w:hint="eastAsia"/>
                <w:color w:val="000000" w:themeColor="text1"/>
                <w:highlight w:val="none"/>
              </w:rPr>
              <w:t>至</w:t>
            </w:r>
            <w:r>
              <w:rPr>
                <w:color w:val="000000" w:themeColor="text1"/>
                <w:highlight w:val="none"/>
              </w:rPr>
              <w:t>沥青计量器，按配比</w:t>
            </w:r>
            <w:r>
              <w:rPr>
                <w:rFonts w:hint="eastAsia"/>
                <w:color w:val="000000" w:themeColor="text1"/>
                <w:highlight w:val="none"/>
              </w:rPr>
              <w:t>要求由</w:t>
            </w:r>
            <w:r>
              <w:rPr>
                <w:color w:val="000000" w:themeColor="text1"/>
                <w:highlight w:val="none"/>
              </w:rPr>
              <w:t>专门管道</w:t>
            </w:r>
            <w:r>
              <w:rPr>
                <w:rFonts w:hint="eastAsia"/>
                <w:color w:val="000000" w:themeColor="text1"/>
                <w:highlight w:val="none"/>
              </w:rPr>
              <w:t>泵至搅拌器；矿粉仓内的矿粉经</w:t>
            </w:r>
            <w:r>
              <w:rPr>
                <w:color w:val="000000" w:themeColor="text1"/>
                <w:highlight w:val="none"/>
              </w:rPr>
              <w:t>计量后按照配比要求送入</w:t>
            </w:r>
            <w:r>
              <w:rPr>
                <w:rFonts w:hint="eastAsia"/>
                <w:color w:val="000000" w:themeColor="text1"/>
                <w:highlight w:val="none"/>
              </w:rPr>
              <w:t>搅拌器</w:t>
            </w:r>
            <w:r>
              <w:rPr>
                <w:color w:val="000000" w:themeColor="text1"/>
                <w:highlight w:val="none"/>
              </w:rPr>
              <w:t>。进入搅拌</w:t>
            </w:r>
            <w:r>
              <w:rPr>
                <w:rFonts w:hint="eastAsia"/>
                <w:color w:val="000000" w:themeColor="text1"/>
                <w:highlight w:val="none"/>
              </w:rPr>
              <w:t>器</w:t>
            </w:r>
            <w:r>
              <w:rPr>
                <w:color w:val="000000" w:themeColor="text1"/>
                <w:highlight w:val="none"/>
              </w:rPr>
              <w:t>的热骨料、</w:t>
            </w:r>
            <w:r>
              <w:rPr>
                <w:rFonts w:hint="eastAsia"/>
                <w:color w:val="000000" w:themeColor="text1"/>
                <w:highlight w:val="none"/>
              </w:rPr>
              <w:t>热沥青和矿</w:t>
            </w:r>
            <w:r>
              <w:rPr>
                <w:color w:val="000000" w:themeColor="text1"/>
                <w:highlight w:val="none"/>
              </w:rPr>
              <w:t>粉料（不需预热）</w:t>
            </w:r>
            <w:r>
              <w:rPr>
                <w:rFonts w:hint="eastAsia"/>
                <w:color w:val="000000" w:themeColor="text1"/>
                <w:highlight w:val="none"/>
              </w:rPr>
              <w:t>搅拌得到</w:t>
            </w:r>
            <w:r>
              <w:rPr>
                <w:color w:val="000000" w:themeColor="text1"/>
                <w:highlight w:val="none"/>
              </w:rPr>
              <w:t>成品</w:t>
            </w:r>
            <w:r>
              <w:rPr>
                <w:rFonts w:hint="eastAsia"/>
                <w:color w:val="000000" w:themeColor="text1"/>
                <w:highlight w:val="none"/>
              </w:rPr>
              <w:t>沥青混合料</w:t>
            </w:r>
            <w:r>
              <w:rPr>
                <w:color w:val="000000" w:themeColor="text1"/>
                <w:highlight w:val="none"/>
              </w:rPr>
              <w:t>，整个过程都在密闭系统中进行</w:t>
            </w:r>
            <w:r>
              <w:rPr>
                <w:rFonts w:hint="eastAsia"/>
                <w:color w:val="000000" w:themeColor="text1"/>
                <w:highlight w:val="none"/>
              </w:rPr>
              <w:t>，出料由</w:t>
            </w:r>
            <w:r>
              <w:rPr>
                <w:color w:val="000000" w:themeColor="text1"/>
                <w:highlight w:val="none"/>
              </w:rPr>
              <w:t>运输车</w:t>
            </w:r>
            <w:r>
              <w:rPr>
                <w:rFonts w:hint="eastAsia"/>
                <w:color w:val="000000" w:themeColor="text1"/>
                <w:highlight w:val="none"/>
              </w:rPr>
              <w:t>直接运走</w:t>
            </w:r>
            <w:r>
              <w:rPr>
                <w:color w:val="000000" w:themeColor="text1"/>
                <w:highlight w:val="none"/>
              </w:rPr>
              <w:t>。</w:t>
            </w:r>
            <w:r>
              <w:rPr>
                <w:rFonts w:hint="eastAsia"/>
                <w:color w:val="000000" w:themeColor="text1"/>
                <w:highlight w:val="none"/>
              </w:rPr>
              <w:t>沥青混合料生产</w:t>
            </w:r>
            <w:r>
              <w:rPr>
                <w:color w:val="000000" w:themeColor="text1"/>
                <w:highlight w:val="none"/>
              </w:rPr>
              <w:t>工艺</w:t>
            </w:r>
            <w:r>
              <w:rPr>
                <w:rFonts w:hint="eastAsia"/>
                <w:color w:val="000000" w:themeColor="text1"/>
                <w:highlight w:val="none"/>
              </w:rPr>
              <w:t>及排污节点如下图所示：</w:t>
            </w:r>
            <w:r>
              <w:rPr>
                <w:color w:val="000000" w:themeColor="text1"/>
                <w:highlight w:val="none"/>
              </w:rPr>
              <w:pict>
                <v:shape id="_x0000_i1028" o:spt="75" type="#_x0000_t75" style="height:225.1pt;width:421.2pt;" filled="f" stroked="f" coordsize="21600,21600">
                  <v:path/>
                  <v:fill on="f" focussize="0,0"/>
                  <v:stroke on="f"/>
                  <v:imagedata r:id="rId19" o:title=""/>
                  <o:lock v:ext="edit" aspectratio="t"/>
                  <w10:wrap type="none"/>
                  <w10:anchorlock/>
                </v:shape>
              </w:pict>
            </w:r>
          </w:p>
          <w:p>
            <w:pPr>
              <w:ind w:firstLine="0" w:firstLineChars="0"/>
              <w:jc w:val="center"/>
              <w:rPr>
                <w:b/>
                <w:bCs/>
                <w:color w:val="000000" w:themeColor="text1"/>
                <w:sz w:val="21"/>
                <w:highlight w:val="none"/>
              </w:rPr>
            </w:pPr>
            <w:bookmarkStart w:id="2" w:name="_Hlk499493673"/>
            <w:r>
              <w:rPr>
                <w:rFonts w:hint="eastAsia"/>
                <w:b/>
                <w:bCs/>
                <w:color w:val="000000" w:themeColor="text1"/>
                <w:sz w:val="21"/>
                <w:szCs w:val="21"/>
                <w:highlight w:val="none"/>
              </w:rPr>
              <w:t>图</w:t>
            </w:r>
            <w:r>
              <w:rPr>
                <w:b/>
                <w:bCs/>
                <w:color w:val="000000" w:themeColor="text1"/>
                <w:sz w:val="21"/>
                <w:highlight w:val="none"/>
              </w:rPr>
              <w:t>2-</w:t>
            </w:r>
            <w:r>
              <w:rPr>
                <w:rFonts w:hint="eastAsia"/>
                <w:b/>
                <w:bCs/>
                <w:color w:val="000000" w:themeColor="text1"/>
                <w:sz w:val="21"/>
                <w:highlight w:val="none"/>
              </w:rPr>
              <w:t>3</w:t>
            </w:r>
            <w:r>
              <w:rPr>
                <w:b/>
                <w:bCs/>
                <w:color w:val="000000" w:themeColor="text1"/>
                <w:sz w:val="21"/>
                <w:highlight w:val="none"/>
              </w:rPr>
              <w:t xml:space="preserve">  </w:t>
            </w:r>
            <w:r>
              <w:rPr>
                <w:rFonts w:hint="eastAsia"/>
                <w:b/>
                <w:bCs/>
                <w:color w:val="000000" w:themeColor="text1"/>
                <w:sz w:val="21"/>
                <w:highlight w:val="none"/>
              </w:rPr>
              <w:t>沥青混合料</w:t>
            </w:r>
            <w:r>
              <w:rPr>
                <w:b/>
                <w:bCs/>
                <w:color w:val="000000" w:themeColor="text1"/>
                <w:sz w:val="21"/>
                <w:highlight w:val="none"/>
              </w:rPr>
              <w:t>工艺流程及排污节点图（G废气、N噪声、S固废）</w:t>
            </w:r>
          </w:p>
          <w:bookmarkEnd w:id="2"/>
          <w:p>
            <w:pPr>
              <w:pStyle w:val="57"/>
              <w:ind w:firstLine="0" w:firstLineChars="0"/>
              <w:rPr>
                <w:color w:val="000000" w:themeColor="text1"/>
                <w:sz w:val="21"/>
                <w:szCs w:val="18"/>
                <w:highlight w:val="none"/>
              </w:rPr>
            </w:pPr>
            <w:r>
              <w:rPr>
                <w:color w:val="000000" w:themeColor="text1"/>
                <w:sz w:val="21"/>
                <w:szCs w:val="18"/>
                <w:highlight w:val="none"/>
              </w:rPr>
              <w:t>表</w:t>
            </w:r>
            <w:r>
              <w:rPr>
                <w:rFonts w:hint="eastAsia"/>
                <w:color w:val="000000" w:themeColor="text1"/>
                <w:sz w:val="21"/>
                <w:szCs w:val="18"/>
                <w:highlight w:val="none"/>
              </w:rPr>
              <w:t>2-7</w:t>
            </w:r>
            <w:r>
              <w:rPr>
                <w:color w:val="000000" w:themeColor="text1"/>
                <w:sz w:val="21"/>
                <w:szCs w:val="18"/>
                <w:highlight w:val="none"/>
              </w:rPr>
              <w:t xml:space="preserve">  主要排污节点一览表</w:t>
            </w:r>
          </w:p>
          <w:tbl>
            <w:tblPr>
              <w:tblStyle w:val="22"/>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3"/>
              <w:gridCol w:w="525"/>
              <w:gridCol w:w="1020"/>
              <w:gridCol w:w="1455"/>
              <w:gridCol w:w="1320"/>
              <w:gridCol w:w="645"/>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类别</w:t>
                  </w:r>
                </w:p>
              </w:tc>
              <w:tc>
                <w:tcPr>
                  <w:tcW w:w="525" w:type="dxa"/>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序号</w:t>
                  </w:r>
                </w:p>
              </w:tc>
              <w:tc>
                <w:tcPr>
                  <w:tcW w:w="1020" w:type="dxa"/>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排污节点</w:t>
                  </w:r>
                </w:p>
              </w:tc>
              <w:tc>
                <w:tcPr>
                  <w:tcW w:w="1455" w:type="dxa"/>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污染物</w:t>
                  </w:r>
                </w:p>
              </w:tc>
              <w:tc>
                <w:tcPr>
                  <w:tcW w:w="1320" w:type="dxa"/>
                  <w:noWrap/>
                  <w:vAlign w:val="center"/>
                </w:tcPr>
                <w:p>
                  <w:pPr>
                    <w:spacing w:line="240" w:lineRule="auto"/>
                    <w:ind w:firstLine="0" w:firstLineChars="0"/>
                    <w:jc w:val="center"/>
                    <w:rPr>
                      <w:b/>
                      <w:color w:val="000000" w:themeColor="text1"/>
                      <w:sz w:val="21"/>
                      <w:szCs w:val="21"/>
                      <w:highlight w:val="none"/>
                    </w:rPr>
                  </w:pPr>
                  <w:r>
                    <w:rPr>
                      <w:b/>
                      <w:bCs/>
                      <w:color w:val="000000" w:themeColor="text1"/>
                      <w:sz w:val="21"/>
                      <w:szCs w:val="21"/>
                      <w:highlight w:val="none"/>
                    </w:rPr>
                    <w:t>污染因子</w:t>
                  </w:r>
                </w:p>
              </w:tc>
              <w:tc>
                <w:tcPr>
                  <w:tcW w:w="645" w:type="dxa"/>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产生特征</w:t>
                  </w:r>
                </w:p>
              </w:tc>
              <w:tc>
                <w:tcPr>
                  <w:tcW w:w="2698" w:type="dxa"/>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restart"/>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废气</w:t>
                  </w: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G1</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原料库</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扬尘</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颗粒物</w:t>
                  </w:r>
                </w:p>
              </w:tc>
              <w:tc>
                <w:tcPr>
                  <w:tcW w:w="645" w:type="dxa"/>
                  <w:noWrap/>
                  <w:vAlign w:val="center"/>
                </w:tcPr>
                <w:p>
                  <w:pPr>
                    <w:spacing w:line="240" w:lineRule="auto"/>
                    <w:ind w:firstLine="0" w:firstLineChars="0"/>
                    <w:jc w:val="center"/>
                    <w:rPr>
                      <w:bCs/>
                      <w:color w:val="000000" w:themeColor="text1"/>
                      <w:sz w:val="21"/>
                      <w:szCs w:val="21"/>
                      <w:highlight w:val="none"/>
                    </w:rPr>
                  </w:pPr>
                  <w:r>
                    <w:rPr>
                      <w:rFonts w:hint="eastAsia"/>
                      <w:color w:val="000000" w:themeColor="text1"/>
                      <w:sz w:val="21"/>
                      <w:szCs w:val="21"/>
                      <w:highlight w:val="none"/>
                    </w:rPr>
                    <w:t>连续</w:t>
                  </w:r>
                </w:p>
              </w:tc>
              <w:tc>
                <w:tcPr>
                  <w:tcW w:w="2698" w:type="dxa"/>
                  <w:noWrap/>
                  <w:vAlign w:val="center"/>
                </w:tcPr>
                <w:p>
                  <w:pPr>
                    <w:spacing w:line="240" w:lineRule="auto"/>
                    <w:ind w:firstLine="0" w:firstLineChars="0"/>
                    <w:jc w:val="center"/>
                    <w:rPr>
                      <w:bCs/>
                      <w:color w:val="000000" w:themeColor="text1"/>
                      <w:sz w:val="21"/>
                      <w:szCs w:val="21"/>
                      <w:highlight w:val="none"/>
                    </w:rPr>
                  </w:pPr>
                  <w:r>
                    <w:rPr>
                      <w:rFonts w:hint="eastAsia"/>
                      <w:color w:val="000000" w:themeColor="text1"/>
                      <w:sz w:val="21"/>
                      <w:szCs w:val="21"/>
                      <w:highlight w:val="none"/>
                    </w:rPr>
                    <w:t>原料库封闭，洒水降尘，粉尘无组织排放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G2</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入料仓</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扬尘</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颗粒物</w:t>
                  </w:r>
                </w:p>
              </w:tc>
              <w:tc>
                <w:tcPr>
                  <w:tcW w:w="645" w:type="dxa"/>
                  <w:noWrap/>
                  <w:vAlign w:val="center"/>
                </w:tcPr>
                <w:p>
                  <w:pPr>
                    <w:spacing w:line="240" w:lineRule="auto"/>
                    <w:ind w:firstLine="0" w:firstLineChars="0"/>
                    <w:jc w:val="center"/>
                    <w:rPr>
                      <w:bCs/>
                      <w:color w:val="000000" w:themeColor="text1"/>
                      <w:sz w:val="21"/>
                      <w:szCs w:val="21"/>
                      <w:highlight w:val="none"/>
                    </w:rPr>
                  </w:pPr>
                  <w:r>
                    <w:rPr>
                      <w:rFonts w:hint="eastAsia"/>
                      <w:color w:val="000000" w:themeColor="text1"/>
                      <w:sz w:val="21"/>
                      <w:szCs w:val="21"/>
                      <w:highlight w:val="none"/>
                    </w:rPr>
                    <w:t>间断</w:t>
                  </w:r>
                </w:p>
              </w:tc>
              <w:tc>
                <w:tcPr>
                  <w:tcW w:w="2698"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入料仓设置软帘封闭和水喷淋抑尘装置、运输皮带封闭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G3</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烘干滚筒</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NO</w:t>
                  </w:r>
                  <w:r>
                    <w:rPr>
                      <w:rFonts w:hint="eastAsia"/>
                      <w:bCs/>
                      <w:color w:val="000000" w:themeColor="text1"/>
                      <w:sz w:val="21"/>
                      <w:szCs w:val="21"/>
                      <w:highlight w:val="none"/>
                      <w:vertAlign w:val="subscript"/>
                    </w:rPr>
                    <w:t>X</w:t>
                  </w:r>
                  <w:r>
                    <w:rPr>
                      <w:rFonts w:hint="eastAsia"/>
                      <w:bCs/>
                      <w:color w:val="000000" w:themeColor="text1"/>
                      <w:sz w:val="21"/>
                      <w:szCs w:val="21"/>
                      <w:highlight w:val="none"/>
                    </w:rPr>
                    <w:t>、SO</w:t>
                  </w:r>
                  <w:r>
                    <w:rPr>
                      <w:rFonts w:hint="eastAsia"/>
                      <w:bCs/>
                      <w:color w:val="000000" w:themeColor="text1"/>
                      <w:sz w:val="21"/>
                      <w:szCs w:val="21"/>
                      <w:highlight w:val="none"/>
                      <w:vertAlign w:val="subscript"/>
                    </w:rPr>
                    <w:t>2</w:t>
                  </w:r>
                  <w:r>
                    <w:rPr>
                      <w:rFonts w:hint="eastAsia"/>
                      <w:bCs/>
                      <w:color w:val="000000" w:themeColor="text1"/>
                      <w:sz w:val="21"/>
                      <w:szCs w:val="21"/>
                      <w:highlight w:val="none"/>
                    </w:rPr>
                    <w:t>、颗粒物、烟气黑度</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NO</w:t>
                  </w:r>
                  <w:r>
                    <w:rPr>
                      <w:rFonts w:hint="eastAsia"/>
                      <w:bCs/>
                      <w:color w:val="000000" w:themeColor="text1"/>
                      <w:sz w:val="21"/>
                      <w:szCs w:val="21"/>
                      <w:highlight w:val="none"/>
                      <w:vertAlign w:val="subscript"/>
                    </w:rPr>
                    <w:t>X</w:t>
                  </w:r>
                  <w:r>
                    <w:rPr>
                      <w:rFonts w:hint="eastAsia"/>
                      <w:bCs/>
                      <w:color w:val="000000" w:themeColor="text1"/>
                      <w:sz w:val="21"/>
                      <w:szCs w:val="21"/>
                      <w:highlight w:val="none"/>
                    </w:rPr>
                    <w:t>、SO</w:t>
                  </w:r>
                  <w:r>
                    <w:rPr>
                      <w:rFonts w:hint="eastAsia"/>
                      <w:bCs/>
                      <w:color w:val="000000" w:themeColor="text1"/>
                      <w:sz w:val="21"/>
                      <w:szCs w:val="21"/>
                      <w:highlight w:val="none"/>
                      <w:vertAlign w:val="subscript"/>
                    </w:rPr>
                    <w:t>2</w:t>
                  </w:r>
                  <w:r>
                    <w:rPr>
                      <w:rFonts w:hint="eastAsia"/>
                      <w:bCs/>
                      <w:color w:val="000000" w:themeColor="text1"/>
                      <w:sz w:val="21"/>
                      <w:szCs w:val="21"/>
                      <w:highlight w:val="none"/>
                    </w:rPr>
                    <w:t>、颗粒物、烟气黑度</w:t>
                  </w:r>
                </w:p>
              </w:tc>
              <w:tc>
                <w:tcPr>
                  <w:tcW w:w="645" w:type="dxa"/>
                  <w:noWrap/>
                  <w:vAlign w:val="center"/>
                </w:tcPr>
                <w:p>
                  <w:pPr>
                    <w:spacing w:line="240" w:lineRule="auto"/>
                    <w:ind w:firstLine="0" w:firstLineChars="0"/>
                    <w:jc w:val="center"/>
                    <w:rPr>
                      <w:color w:val="000000" w:themeColor="text1"/>
                      <w:sz w:val="21"/>
                      <w:szCs w:val="21"/>
                      <w:highlight w:val="none"/>
                    </w:rPr>
                  </w:pPr>
                  <w:r>
                    <w:rPr>
                      <w:rFonts w:hint="eastAsia"/>
                      <w:bCs/>
                      <w:color w:val="000000" w:themeColor="text1"/>
                      <w:sz w:val="21"/>
                      <w:szCs w:val="21"/>
                      <w:highlight w:val="none"/>
                    </w:rPr>
                    <w:t>连续</w:t>
                  </w:r>
                </w:p>
              </w:tc>
              <w:tc>
                <w:tcPr>
                  <w:tcW w:w="2698" w:type="dxa"/>
                  <w:vMerge w:val="restar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烘干滚筒安装低氮燃烧器1台，燃烧废气与筛分粉尘一起引入布袋除尘器处理，净化后经1根15m高排气筒（DA001）排放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G4</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筛分</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粉尘</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颗粒物</w:t>
                  </w:r>
                </w:p>
              </w:tc>
              <w:tc>
                <w:tcPr>
                  <w:tcW w:w="645" w:type="dxa"/>
                  <w:noWrap/>
                  <w:vAlign w:val="center"/>
                </w:tcPr>
                <w:p>
                  <w:pPr>
                    <w:spacing w:line="240" w:lineRule="auto"/>
                    <w:ind w:firstLine="0" w:firstLineChars="0"/>
                    <w:jc w:val="center"/>
                    <w:rPr>
                      <w:color w:val="000000" w:themeColor="text1"/>
                      <w:sz w:val="21"/>
                      <w:szCs w:val="21"/>
                      <w:highlight w:val="none"/>
                    </w:rPr>
                  </w:pPr>
                  <w:r>
                    <w:rPr>
                      <w:rFonts w:hint="eastAsia"/>
                      <w:bCs/>
                      <w:color w:val="000000" w:themeColor="text1"/>
                      <w:sz w:val="21"/>
                      <w:szCs w:val="21"/>
                      <w:highlight w:val="none"/>
                    </w:rPr>
                    <w:t>连续</w:t>
                  </w:r>
                </w:p>
              </w:tc>
              <w:tc>
                <w:tcPr>
                  <w:tcW w:w="2698" w:type="dxa"/>
                  <w:vMerge w:val="continue"/>
                  <w:noWrap/>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G5</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lang w:eastAsia="zh-CN"/>
                    </w:rPr>
                    <w:t>搅拌机</w:t>
                  </w:r>
                  <w:r>
                    <w:rPr>
                      <w:rFonts w:hint="eastAsia"/>
                      <w:bCs/>
                      <w:color w:val="000000" w:themeColor="text1"/>
                      <w:sz w:val="21"/>
                      <w:szCs w:val="21"/>
                      <w:highlight w:val="none"/>
                    </w:rPr>
                    <w:t>呼吸口</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沥青烟、</w:t>
                  </w:r>
                  <w:r>
                    <w:rPr>
                      <w:color w:val="000000" w:themeColor="text1"/>
                      <w:sz w:val="21"/>
                      <w:szCs w:val="21"/>
                      <w:highlight w:val="none"/>
                    </w:rPr>
                    <w:t>苯并[a]芘</w:t>
                  </w:r>
                  <w:r>
                    <w:rPr>
                      <w:rFonts w:hint="eastAsia"/>
                      <w:color w:val="000000" w:themeColor="text1"/>
                      <w:sz w:val="21"/>
                      <w:szCs w:val="21"/>
                      <w:highlight w:val="none"/>
                    </w:rPr>
                    <w:t>、非甲烷总烃、颗粒物</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沥青烟、</w:t>
                  </w:r>
                  <w:r>
                    <w:rPr>
                      <w:color w:val="000000" w:themeColor="text1"/>
                      <w:sz w:val="21"/>
                      <w:szCs w:val="21"/>
                      <w:highlight w:val="none"/>
                    </w:rPr>
                    <w:t>苯并[a]芘</w:t>
                  </w:r>
                  <w:r>
                    <w:rPr>
                      <w:rFonts w:hint="eastAsia"/>
                      <w:color w:val="000000" w:themeColor="text1"/>
                      <w:sz w:val="21"/>
                      <w:szCs w:val="21"/>
                      <w:highlight w:val="none"/>
                    </w:rPr>
                    <w:t>、非甲烷总烃、颗粒物</w:t>
                  </w:r>
                </w:p>
              </w:tc>
              <w:tc>
                <w:tcPr>
                  <w:tcW w:w="645" w:type="dxa"/>
                  <w:noWrap/>
                  <w:vAlign w:val="center"/>
                </w:tcPr>
                <w:p>
                  <w:pPr>
                    <w:spacing w:line="240" w:lineRule="auto"/>
                    <w:ind w:firstLine="0" w:firstLineChars="0"/>
                    <w:jc w:val="center"/>
                    <w:rPr>
                      <w:color w:val="000000" w:themeColor="text1"/>
                      <w:sz w:val="21"/>
                      <w:szCs w:val="21"/>
                      <w:highlight w:val="none"/>
                    </w:rPr>
                  </w:pPr>
                  <w:r>
                    <w:rPr>
                      <w:rFonts w:hint="eastAsia"/>
                      <w:bCs/>
                      <w:color w:val="000000" w:themeColor="text1"/>
                      <w:sz w:val="21"/>
                      <w:szCs w:val="21"/>
                      <w:highlight w:val="none"/>
                    </w:rPr>
                    <w:t>连续</w:t>
                  </w:r>
                </w:p>
              </w:tc>
              <w:tc>
                <w:tcPr>
                  <w:tcW w:w="2698" w:type="dxa"/>
                  <w:vMerge w:val="restar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储罐呼吸口接入吸风管道，将沥青储罐呼吸废气引入“两级活性炭吸附”装置；</w:t>
                  </w:r>
                  <w:r>
                    <w:rPr>
                      <w:rFonts w:hint="eastAsia"/>
                      <w:color w:val="000000" w:themeColor="text1"/>
                      <w:sz w:val="21"/>
                      <w:szCs w:val="21"/>
                      <w:highlight w:val="none"/>
                      <w:lang w:eastAsia="zh-CN"/>
                    </w:rPr>
                    <w:t>搅拌机</w:t>
                  </w:r>
                  <w:r>
                    <w:rPr>
                      <w:rFonts w:hint="eastAsia"/>
                      <w:color w:val="000000" w:themeColor="text1"/>
                      <w:sz w:val="21"/>
                      <w:szCs w:val="21"/>
                      <w:highlight w:val="none"/>
                    </w:rPr>
                    <w:t>卸料口设置侧吸式集气罩与</w:t>
                  </w:r>
                  <w:r>
                    <w:rPr>
                      <w:rFonts w:hint="eastAsia"/>
                      <w:color w:val="000000" w:themeColor="text1"/>
                      <w:sz w:val="21"/>
                      <w:szCs w:val="21"/>
                      <w:highlight w:val="none"/>
                      <w:lang w:eastAsia="zh-CN"/>
                    </w:rPr>
                    <w:t>搅拌机</w:t>
                  </w:r>
                  <w:r>
                    <w:rPr>
                      <w:rFonts w:hint="eastAsia"/>
                      <w:color w:val="000000" w:themeColor="text1"/>
                      <w:sz w:val="21"/>
                      <w:szCs w:val="21"/>
                      <w:highlight w:val="none"/>
                    </w:rPr>
                    <w:t>呼吸口废气一同接入一台布袋除尘器，废气经除尘器处理后接入“两级活性炭吸附”装置；以上废气经净化后由一根17m高排气筒（DA002）排放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G6</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lang w:eastAsia="zh-CN"/>
                    </w:rPr>
                    <w:t>搅拌机</w:t>
                  </w:r>
                  <w:r>
                    <w:rPr>
                      <w:rFonts w:hint="eastAsia"/>
                      <w:bCs/>
                      <w:color w:val="000000" w:themeColor="text1"/>
                      <w:sz w:val="21"/>
                      <w:szCs w:val="21"/>
                      <w:highlight w:val="none"/>
                    </w:rPr>
                    <w:t>卸料</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沥青烟、</w:t>
                  </w:r>
                  <w:r>
                    <w:rPr>
                      <w:color w:val="000000" w:themeColor="text1"/>
                      <w:sz w:val="21"/>
                      <w:szCs w:val="21"/>
                      <w:highlight w:val="none"/>
                    </w:rPr>
                    <w:t>苯并[a]芘</w:t>
                  </w:r>
                  <w:r>
                    <w:rPr>
                      <w:rFonts w:hint="eastAsia"/>
                      <w:color w:val="000000" w:themeColor="text1"/>
                      <w:sz w:val="21"/>
                      <w:szCs w:val="21"/>
                      <w:highlight w:val="none"/>
                    </w:rPr>
                    <w:t>、非甲烷总烃、颗粒物</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沥青烟、</w:t>
                  </w:r>
                  <w:r>
                    <w:rPr>
                      <w:color w:val="000000" w:themeColor="text1"/>
                      <w:sz w:val="21"/>
                      <w:szCs w:val="21"/>
                      <w:highlight w:val="none"/>
                    </w:rPr>
                    <w:t>苯并[a]芘</w:t>
                  </w:r>
                  <w:r>
                    <w:rPr>
                      <w:rFonts w:hint="eastAsia"/>
                      <w:color w:val="000000" w:themeColor="text1"/>
                      <w:sz w:val="21"/>
                      <w:szCs w:val="21"/>
                      <w:highlight w:val="none"/>
                    </w:rPr>
                    <w:t>、非甲烷总烃、颗粒物</w:t>
                  </w:r>
                </w:p>
              </w:tc>
              <w:tc>
                <w:tcPr>
                  <w:tcW w:w="645"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间断</w:t>
                  </w:r>
                </w:p>
              </w:tc>
              <w:tc>
                <w:tcPr>
                  <w:tcW w:w="2698" w:type="dxa"/>
                  <w:vMerge w:val="continue"/>
                  <w:noWrap/>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G8</w:t>
                  </w:r>
                </w:p>
              </w:tc>
              <w:tc>
                <w:tcPr>
                  <w:tcW w:w="1020" w:type="dxa"/>
                  <w:noWrap/>
                  <w:vAlign w:val="center"/>
                </w:tcPr>
                <w:p>
                  <w:pPr>
                    <w:spacing w:line="240" w:lineRule="auto"/>
                    <w:ind w:firstLine="0" w:firstLineChars="0"/>
                    <w:jc w:val="center"/>
                    <w:rPr>
                      <w:rFonts w:hint="default" w:eastAsia="宋体"/>
                      <w:bCs/>
                      <w:color w:val="000000" w:themeColor="text1"/>
                      <w:sz w:val="21"/>
                      <w:szCs w:val="21"/>
                      <w:highlight w:val="none"/>
                      <w:lang w:val="en-US" w:eastAsia="zh-CN"/>
                    </w:rPr>
                  </w:pPr>
                  <w:r>
                    <w:rPr>
                      <w:rFonts w:hint="eastAsia"/>
                      <w:bCs/>
                      <w:color w:val="000000" w:themeColor="text1"/>
                      <w:sz w:val="21"/>
                      <w:szCs w:val="21"/>
                      <w:highlight w:val="none"/>
                    </w:rPr>
                    <w:t>沥青罐呼吸口</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沥青烟、</w:t>
                  </w:r>
                  <w:r>
                    <w:rPr>
                      <w:color w:val="000000" w:themeColor="text1"/>
                      <w:sz w:val="21"/>
                      <w:szCs w:val="21"/>
                      <w:highlight w:val="none"/>
                    </w:rPr>
                    <w:t>苯并[a]芘</w:t>
                  </w:r>
                  <w:r>
                    <w:rPr>
                      <w:rFonts w:hint="eastAsia"/>
                      <w:color w:val="000000" w:themeColor="text1"/>
                      <w:sz w:val="21"/>
                      <w:szCs w:val="21"/>
                      <w:highlight w:val="none"/>
                    </w:rPr>
                    <w:t>、非甲烷总烃</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沥青烟、</w:t>
                  </w:r>
                  <w:r>
                    <w:rPr>
                      <w:color w:val="000000" w:themeColor="text1"/>
                      <w:sz w:val="21"/>
                      <w:szCs w:val="21"/>
                      <w:highlight w:val="none"/>
                    </w:rPr>
                    <w:t>苯并[a]芘</w:t>
                  </w:r>
                  <w:r>
                    <w:rPr>
                      <w:rFonts w:hint="eastAsia"/>
                      <w:color w:val="000000" w:themeColor="text1"/>
                      <w:sz w:val="21"/>
                      <w:szCs w:val="21"/>
                      <w:highlight w:val="none"/>
                    </w:rPr>
                    <w:t>、非甲烷总烃</w:t>
                  </w:r>
                </w:p>
              </w:tc>
              <w:tc>
                <w:tcPr>
                  <w:tcW w:w="64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连续</w:t>
                  </w:r>
                </w:p>
              </w:tc>
              <w:tc>
                <w:tcPr>
                  <w:tcW w:w="2698" w:type="dxa"/>
                  <w:vMerge w:val="continue"/>
                  <w:noWrap/>
                  <w:vAlign w:val="center"/>
                </w:tcPr>
                <w:p>
                  <w:pPr>
                    <w:spacing w:line="240" w:lineRule="auto"/>
                    <w:ind w:firstLine="0" w:firstLineChars="0"/>
                    <w:jc w:val="center"/>
                    <w:rPr>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G7</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矿粉筒仓</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粉尘</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颗粒物</w:t>
                  </w:r>
                </w:p>
              </w:tc>
              <w:tc>
                <w:tcPr>
                  <w:tcW w:w="645" w:type="dxa"/>
                  <w:noWrap/>
                  <w:vAlign w:val="center"/>
                </w:tcPr>
                <w:p>
                  <w:pPr>
                    <w:spacing w:line="240" w:lineRule="auto"/>
                    <w:ind w:firstLine="0" w:firstLineChars="0"/>
                    <w:jc w:val="center"/>
                    <w:rPr>
                      <w:bCs/>
                      <w:color w:val="000000" w:themeColor="text1"/>
                      <w:sz w:val="21"/>
                      <w:szCs w:val="21"/>
                      <w:highlight w:val="none"/>
                    </w:rPr>
                  </w:pPr>
                  <w:r>
                    <w:rPr>
                      <w:rFonts w:hint="eastAsia"/>
                      <w:color w:val="000000" w:themeColor="text1"/>
                      <w:sz w:val="21"/>
                      <w:szCs w:val="21"/>
                      <w:highlight w:val="none"/>
                    </w:rPr>
                    <w:t>间断</w:t>
                  </w:r>
                </w:p>
              </w:tc>
              <w:tc>
                <w:tcPr>
                  <w:tcW w:w="2698"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仓顶自带布袋除尘器，处理后的粉尘由筒仓17m高排口（DA004）排放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G9</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导热油炉</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NO</w:t>
                  </w:r>
                  <w:r>
                    <w:rPr>
                      <w:rFonts w:hint="eastAsia"/>
                      <w:bCs/>
                      <w:color w:val="000000" w:themeColor="text1"/>
                      <w:sz w:val="21"/>
                      <w:szCs w:val="21"/>
                      <w:highlight w:val="none"/>
                      <w:vertAlign w:val="subscript"/>
                    </w:rPr>
                    <w:t>X</w:t>
                  </w:r>
                  <w:r>
                    <w:rPr>
                      <w:rFonts w:hint="eastAsia"/>
                      <w:bCs/>
                      <w:color w:val="000000" w:themeColor="text1"/>
                      <w:sz w:val="21"/>
                      <w:szCs w:val="21"/>
                      <w:highlight w:val="none"/>
                    </w:rPr>
                    <w:t>、SO</w:t>
                  </w:r>
                  <w:r>
                    <w:rPr>
                      <w:rFonts w:hint="eastAsia"/>
                      <w:bCs/>
                      <w:color w:val="000000" w:themeColor="text1"/>
                      <w:sz w:val="21"/>
                      <w:szCs w:val="21"/>
                      <w:highlight w:val="none"/>
                      <w:vertAlign w:val="subscript"/>
                    </w:rPr>
                    <w:t>2</w:t>
                  </w:r>
                  <w:r>
                    <w:rPr>
                      <w:rFonts w:hint="eastAsia"/>
                      <w:bCs/>
                      <w:color w:val="000000" w:themeColor="text1"/>
                      <w:sz w:val="21"/>
                      <w:szCs w:val="21"/>
                      <w:highlight w:val="none"/>
                    </w:rPr>
                    <w:t>、颗粒物、烟气黑度</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NO</w:t>
                  </w:r>
                  <w:r>
                    <w:rPr>
                      <w:rFonts w:hint="eastAsia"/>
                      <w:bCs/>
                      <w:color w:val="000000" w:themeColor="text1"/>
                      <w:sz w:val="21"/>
                      <w:szCs w:val="21"/>
                      <w:highlight w:val="none"/>
                      <w:vertAlign w:val="subscript"/>
                    </w:rPr>
                    <w:t>X</w:t>
                  </w:r>
                  <w:r>
                    <w:rPr>
                      <w:rFonts w:hint="eastAsia"/>
                      <w:bCs/>
                      <w:color w:val="000000" w:themeColor="text1"/>
                      <w:sz w:val="21"/>
                      <w:szCs w:val="21"/>
                      <w:highlight w:val="none"/>
                    </w:rPr>
                    <w:t>、SO</w:t>
                  </w:r>
                  <w:r>
                    <w:rPr>
                      <w:rFonts w:hint="eastAsia"/>
                      <w:bCs/>
                      <w:color w:val="000000" w:themeColor="text1"/>
                      <w:sz w:val="21"/>
                      <w:szCs w:val="21"/>
                      <w:highlight w:val="none"/>
                      <w:vertAlign w:val="subscript"/>
                    </w:rPr>
                    <w:t>2</w:t>
                  </w:r>
                  <w:r>
                    <w:rPr>
                      <w:rFonts w:hint="eastAsia"/>
                      <w:bCs/>
                      <w:color w:val="000000" w:themeColor="text1"/>
                      <w:sz w:val="21"/>
                      <w:szCs w:val="21"/>
                      <w:highlight w:val="none"/>
                    </w:rPr>
                    <w:t>、颗粒物、烟气黑度</w:t>
                  </w:r>
                </w:p>
              </w:tc>
              <w:tc>
                <w:tcPr>
                  <w:tcW w:w="64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连续</w:t>
                  </w:r>
                </w:p>
              </w:tc>
              <w:tc>
                <w:tcPr>
                  <w:tcW w:w="2698" w:type="dxa"/>
                  <w:noWrap/>
                  <w:vAlign w:val="center"/>
                </w:tcPr>
                <w:p>
                  <w:pPr>
                    <w:spacing w:line="240" w:lineRule="auto"/>
                    <w:ind w:firstLine="0" w:firstLineChars="0"/>
                    <w:jc w:val="center"/>
                    <w:rPr>
                      <w:bCs/>
                      <w:color w:val="000000" w:themeColor="text1"/>
                      <w:sz w:val="21"/>
                      <w:szCs w:val="21"/>
                      <w:highlight w:val="none"/>
                    </w:rPr>
                  </w:pPr>
                  <w:r>
                    <w:rPr>
                      <w:rFonts w:hint="eastAsia"/>
                      <w:color w:val="000000" w:themeColor="text1"/>
                      <w:sz w:val="21"/>
                      <w:szCs w:val="21"/>
                      <w:highlight w:val="none"/>
                    </w:rPr>
                    <w:t>配套安装1台低氮燃烧器，导热油炉废气经1根15m高排气筒（DA003）排放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rFonts w:hint="default" w:eastAsia="宋体"/>
                      <w:bCs/>
                      <w:color w:val="000000" w:themeColor="text1"/>
                      <w:sz w:val="21"/>
                      <w:szCs w:val="21"/>
                      <w:highlight w:val="none"/>
                      <w:lang w:val="en-US" w:eastAsia="zh-CN"/>
                    </w:rPr>
                  </w:pPr>
                  <w:r>
                    <w:rPr>
                      <w:rFonts w:hint="eastAsia"/>
                      <w:bCs/>
                      <w:color w:val="000000" w:themeColor="text1"/>
                      <w:sz w:val="21"/>
                      <w:szCs w:val="21"/>
                      <w:highlight w:val="none"/>
                    </w:rPr>
                    <w:t>G</w:t>
                  </w:r>
                  <w:r>
                    <w:rPr>
                      <w:rFonts w:hint="eastAsia"/>
                      <w:bCs/>
                      <w:color w:val="000000" w:themeColor="text1"/>
                      <w:sz w:val="21"/>
                      <w:szCs w:val="21"/>
                      <w:highlight w:val="none"/>
                      <w:lang w:val="en-US" w:eastAsia="zh-CN"/>
                    </w:rPr>
                    <w:t>10</w:t>
                  </w:r>
                </w:p>
              </w:tc>
              <w:tc>
                <w:tcPr>
                  <w:tcW w:w="1020" w:type="dxa"/>
                  <w:noWrap/>
                  <w:vAlign w:val="center"/>
                </w:tcPr>
                <w:p>
                  <w:pPr>
                    <w:spacing w:line="240" w:lineRule="auto"/>
                    <w:ind w:firstLine="0" w:firstLineChars="0"/>
                    <w:jc w:val="center"/>
                    <w:rPr>
                      <w:rFonts w:hint="default" w:eastAsia="宋体"/>
                      <w:bCs/>
                      <w:color w:val="000000" w:themeColor="text1"/>
                      <w:sz w:val="21"/>
                      <w:szCs w:val="21"/>
                      <w:highlight w:val="none"/>
                      <w:lang w:val="en-US" w:eastAsia="zh-CN"/>
                    </w:rPr>
                  </w:pPr>
                  <w:r>
                    <w:rPr>
                      <w:rFonts w:hint="eastAsia"/>
                      <w:bCs/>
                      <w:color w:val="000000" w:themeColor="text1"/>
                      <w:sz w:val="21"/>
                      <w:szCs w:val="21"/>
                      <w:highlight w:val="none"/>
                      <w:lang w:val="en-US" w:eastAsia="zh-CN"/>
                    </w:rPr>
                    <w:t>导热油储罐</w:t>
                  </w:r>
                </w:p>
              </w:tc>
              <w:tc>
                <w:tcPr>
                  <w:tcW w:w="1455" w:type="dxa"/>
                  <w:noWrap/>
                  <w:vAlign w:val="center"/>
                </w:tcPr>
                <w:p>
                  <w:pPr>
                    <w:spacing w:line="240" w:lineRule="auto"/>
                    <w:ind w:firstLine="0" w:firstLineChars="0"/>
                    <w:jc w:val="center"/>
                    <w:rPr>
                      <w:rFonts w:hint="eastAsia"/>
                      <w:bCs/>
                      <w:color w:val="000000" w:themeColor="text1"/>
                      <w:sz w:val="21"/>
                      <w:szCs w:val="21"/>
                      <w:highlight w:val="none"/>
                    </w:rPr>
                  </w:pPr>
                  <w:r>
                    <w:rPr>
                      <w:rFonts w:hint="eastAsia"/>
                      <w:color w:val="000000" w:themeColor="text1"/>
                      <w:sz w:val="21"/>
                      <w:szCs w:val="21"/>
                      <w:highlight w:val="none"/>
                    </w:rPr>
                    <w:t>非甲烷总烃</w:t>
                  </w:r>
                </w:p>
              </w:tc>
              <w:tc>
                <w:tcPr>
                  <w:tcW w:w="1320" w:type="dxa"/>
                  <w:noWrap/>
                  <w:vAlign w:val="center"/>
                </w:tcPr>
                <w:p>
                  <w:pPr>
                    <w:spacing w:line="240" w:lineRule="auto"/>
                    <w:ind w:firstLine="0" w:firstLineChars="0"/>
                    <w:jc w:val="center"/>
                    <w:rPr>
                      <w:rFonts w:hint="eastAsia"/>
                      <w:bCs/>
                      <w:color w:val="000000" w:themeColor="text1"/>
                      <w:sz w:val="21"/>
                      <w:szCs w:val="21"/>
                      <w:highlight w:val="none"/>
                    </w:rPr>
                  </w:pPr>
                  <w:r>
                    <w:rPr>
                      <w:rFonts w:hint="eastAsia"/>
                      <w:color w:val="000000" w:themeColor="text1"/>
                      <w:sz w:val="21"/>
                      <w:szCs w:val="21"/>
                      <w:highlight w:val="none"/>
                    </w:rPr>
                    <w:t>非甲烷总烃</w:t>
                  </w:r>
                </w:p>
              </w:tc>
              <w:tc>
                <w:tcPr>
                  <w:tcW w:w="645" w:type="dxa"/>
                  <w:noWrap/>
                  <w:vAlign w:val="center"/>
                </w:tcPr>
                <w:p>
                  <w:pPr>
                    <w:spacing w:line="240" w:lineRule="auto"/>
                    <w:ind w:firstLine="0" w:firstLineChars="0"/>
                    <w:jc w:val="center"/>
                    <w:rPr>
                      <w:rFonts w:hint="eastAsia"/>
                      <w:bCs/>
                      <w:color w:val="000000" w:themeColor="text1"/>
                      <w:sz w:val="21"/>
                      <w:szCs w:val="21"/>
                      <w:highlight w:val="none"/>
                    </w:rPr>
                  </w:pPr>
                  <w:r>
                    <w:rPr>
                      <w:rFonts w:hint="eastAsia"/>
                      <w:color w:val="000000" w:themeColor="text1"/>
                      <w:sz w:val="21"/>
                      <w:szCs w:val="21"/>
                      <w:highlight w:val="none"/>
                    </w:rPr>
                    <w:t>间断</w:t>
                  </w:r>
                </w:p>
              </w:tc>
              <w:tc>
                <w:tcPr>
                  <w:tcW w:w="2698" w:type="dxa"/>
                  <w:noWrap/>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经导热油储罐呼吸口无组织排放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rFonts w:hint="eastAsia" w:eastAsia="宋体"/>
                      <w:bCs/>
                      <w:color w:val="000000" w:themeColor="text1"/>
                      <w:sz w:val="21"/>
                      <w:szCs w:val="21"/>
                      <w:highlight w:val="none"/>
                      <w:lang w:val="en-US" w:eastAsia="zh-CN"/>
                    </w:rPr>
                  </w:pPr>
                  <w:r>
                    <w:rPr>
                      <w:rFonts w:hint="eastAsia"/>
                      <w:bCs/>
                      <w:color w:val="000000" w:themeColor="text1"/>
                      <w:sz w:val="21"/>
                      <w:szCs w:val="21"/>
                      <w:highlight w:val="none"/>
                    </w:rPr>
                    <w:t>G1</w:t>
                  </w:r>
                  <w:r>
                    <w:rPr>
                      <w:rFonts w:hint="eastAsia"/>
                      <w:bCs/>
                      <w:color w:val="000000" w:themeColor="text1"/>
                      <w:sz w:val="21"/>
                      <w:szCs w:val="21"/>
                      <w:highlight w:val="none"/>
                      <w:lang w:val="en-US" w:eastAsia="zh-CN"/>
                    </w:rPr>
                    <w:t>1</w:t>
                  </w:r>
                </w:p>
              </w:tc>
              <w:tc>
                <w:tcPr>
                  <w:tcW w:w="1020" w:type="dxa"/>
                  <w:noWrap/>
                  <w:vAlign w:val="center"/>
                </w:tcPr>
                <w:p>
                  <w:pPr>
                    <w:spacing w:line="240" w:lineRule="auto"/>
                    <w:ind w:firstLine="0" w:firstLineChars="0"/>
                    <w:jc w:val="center"/>
                    <w:rPr>
                      <w:rFonts w:hint="eastAsia" w:eastAsia="宋体"/>
                      <w:bCs/>
                      <w:color w:val="000000" w:themeColor="text1"/>
                      <w:sz w:val="21"/>
                      <w:szCs w:val="21"/>
                      <w:highlight w:val="none"/>
                      <w:lang w:val="en-US" w:eastAsia="zh-CN"/>
                    </w:rPr>
                  </w:pPr>
                  <w:r>
                    <w:rPr>
                      <w:rFonts w:hint="eastAsia"/>
                      <w:bCs/>
                      <w:color w:val="000000" w:themeColor="text1"/>
                      <w:sz w:val="21"/>
                      <w:szCs w:val="21"/>
                      <w:highlight w:val="none"/>
                      <w:lang w:val="en-US" w:eastAsia="zh-CN"/>
                    </w:rPr>
                    <w:t>卸料池</w:t>
                  </w:r>
                </w:p>
              </w:tc>
              <w:tc>
                <w:tcPr>
                  <w:tcW w:w="1455" w:type="dxa"/>
                  <w:noWrap/>
                  <w:vAlign w:val="center"/>
                </w:tcPr>
                <w:p>
                  <w:pPr>
                    <w:spacing w:line="240" w:lineRule="auto"/>
                    <w:ind w:firstLine="0" w:firstLineChars="0"/>
                    <w:jc w:val="center"/>
                    <w:rPr>
                      <w:rFonts w:hint="eastAsia"/>
                      <w:bCs/>
                      <w:color w:val="000000" w:themeColor="text1"/>
                      <w:sz w:val="21"/>
                      <w:szCs w:val="21"/>
                      <w:highlight w:val="none"/>
                    </w:rPr>
                  </w:pPr>
                  <w:r>
                    <w:rPr>
                      <w:rFonts w:hint="eastAsia"/>
                      <w:bCs/>
                      <w:color w:val="000000" w:themeColor="text1"/>
                      <w:sz w:val="21"/>
                      <w:szCs w:val="21"/>
                      <w:highlight w:val="none"/>
                    </w:rPr>
                    <w:t>沥青烟、</w:t>
                  </w:r>
                  <w:r>
                    <w:rPr>
                      <w:color w:val="000000" w:themeColor="text1"/>
                      <w:sz w:val="21"/>
                      <w:szCs w:val="21"/>
                      <w:highlight w:val="none"/>
                    </w:rPr>
                    <w:t>苯并[a]芘</w:t>
                  </w:r>
                  <w:r>
                    <w:rPr>
                      <w:rFonts w:hint="eastAsia"/>
                      <w:color w:val="000000" w:themeColor="text1"/>
                      <w:sz w:val="21"/>
                      <w:szCs w:val="21"/>
                      <w:highlight w:val="none"/>
                    </w:rPr>
                    <w:t>、非甲烷总烃</w:t>
                  </w:r>
                </w:p>
              </w:tc>
              <w:tc>
                <w:tcPr>
                  <w:tcW w:w="1320" w:type="dxa"/>
                  <w:noWrap/>
                  <w:vAlign w:val="center"/>
                </w:tcPr>
                <w:p>
                  <w:pPr>
                    <w:spacing w:line="240" w:lineRule="auto"/>
                    <w:ind w:firstLine="0" w:firstLineChars="0"/>
                    <w:jc w:val="center"/>
                    <w:rPr>
                      <w:rFonts w:hint="eastAsia"/>
                      <w:bCs/>
                      <w:color w:val="000000" w:themeColor="text1"/>
                      <w:sz w:val="21"/>
                      <w:szCs w:val="21"/>
                      <w:highlight w:val="none"/>
                    </w:rPr>
                  </w:pPr>
                  <w:r>
                    <w:rPr>
                      <w:rFonts w:hint="eastAsia"/>
                      <w:bCs/>
                      <w:color w:val="000000" w:themeColor="text1"/>
                      <w:sz w:val="21"/>
                      <w:szCs w:val="21"/>
                      <w:highlight w:val="none"/>
                    </w:rPr>
                    <w:t>沥青烟、</w:t>
                  </w:r>
                  <w:r>
                    <w:rPr>
                      <w:color w:val="000000" w:themeColor="text1"/>
                      <w:sz w:val="21"/>
                      <w:szCs w:val="21"/>
                      <w:highlight w:val="none"/>
                    </w:rPr>
                    <w:t>苯并[a]芘</w:t>
                  </w:r>
                  <w:r>
                    <w:rPr>
                      <w:rFonts w:hint="eastAsia"/>
                      <w:color w:val="000000" w:themeColor="text1"/>
                      <w:sz w:val="21"/>
                      <w:szCs w:val="21"/>
                      <w:highlight w:val="none"/>
                    </w:rPr>
                    <w:t>、非甲烷总烃</w:t>
                  </w:r>
                </w:p>
              </w:tc>
              <w:tc>
                <w:tcPr>
                  <w:tcW w:w="645" w:type="dxa"/>
                  <w:noWrap/>
                  <w:vAlign w:val="center"/>
                </w:tcPr>
                <w:p>
                  <w:pPr>
                    <w:spacing w:line="240" w:lineRule="auto"/>
                    <w:ind w:firstLine="0" w:firstLineChars="0"/>
                    <w:jc w:val="center"/>
                    <w:rPr>
                      <w:rFonts w:hint="eastAsia"/>
                      <w:bCs/>
                      <w:color w:val="000000" w:themeColor="text1"/>
                      <w:sz w:val="21"/>
                      <w:szCs w:val="21"/>
                      <w:highlight w:val="none"/>
                    </w:rPr>
                  </w:pPr>
                  <w:r>
                    <w:rPr>
                      <w:rFonts w:hint="eastAsia"/>
                      <w:bCs/>
                      <w:color w:val="000000" w:themeColor="text1"/>
                      <w:sz w:val="21"/>
                      <w:szCs w:val="21"/>
                      <w:highlight w:val="none"/>
                    </w:rPr>
                    <w:t>连续</w:t>
                  </w:r>
                </w:p>
              </w:tc>
              <w:tc>
                <w:tcPr>
                  <w:tcW w:w="2698" w:type="dxa"/>
                  <w:noWrap/>
                  <w:vAlign w:val="center"/>
                </w:tcPr>
                <w:p>
                  <w:pPr>
                    <w:spacing w:line="240" w:lineRule="auto"/>
                    <w:ind w:firstLine="0" w:firstLineChars="0"/>
                    <w:jc w:val="center"/>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卸料池废气与储罐呼吸口废气一同引入</w:t>
                  </w:r>
                  <w:r>
                    <w:rPr>
                      <w:rFonts w:hint="eastAsia"/>
                      <w:color w:val="000000" w:themeColor="text1"/>
                      <w:sz w:val="21"/>
                      <w:szCs w:val="21"/>
                      <w:highlight w:val="none"/>
                    </w:rPr>
                    <w:t>“两级活性炭吸附”装置</w:t>
                  </w:r>
                  <w:r>
                    <w:rPr>
                      <w:rFonts w:hint="eastAsia"/>
                      <w:color w:val="000000" w:themeColor="text1"/>
                      <w:sz w:val="21"/>
                      <w:szCs w:val="21"/>
                      <w:highlight w:val="none"/>
                      <w:lang w:eastAsia="zh-CN"/>
                    </w:rPr>
                    <w:t>，</w:t>
                  </w:r>
                  <w:r>
                    <w:rPr>
                      <w:rFonts w:hint="eastAsia"/>
                      <w:color w:val="000000" w:themeColor="text1"/>
                      <w:sz w:val="21"/>
                      <w:szCs w:val="21"/>
                      <w:highlight w:val="none"/>
                    </w:rPr>
                    <w:t>净化后由17m高排气筒（DA002）排放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rFonts w:hint="eastAsia" w:eastAsia="宋体"/>
                      <w:bCs/>
                      <w:color w:val="000000" w:themeColor="text1"/>
                      <w:sz w:val="21"/>
                      <w:szCs w:val="21"/>
                      <w:highlight w:val="none"/>
                      <w:lang w:val="en-US" w:eastAsia="zh-CN"/>
                    </w:rPr>
                  </w:pPr>
                  <w:r>
                    <w:rPr>
                      <w:rFonts w:hint="eastAsia"/>
                      <w:bCs/>
                      <w:color w:val="000000" w:themeColor="text1"/>
                      <w:sz w:val="21"/>
                      <w:szCs w:val="21"/>
                      <w:highlight w:val="none"/>
                    </w:rPr>
                    <w:t>G1</w:t>
                  </w:r>
                  <w:r>
                    <w:rPr>
                      <w:rFonts w:hint="eastAsia"/>
                      <w:bCs/>
                      <w:color w:val="000000" w:themeColor="text1"/>
                      <w:sz w:val="21"/>
                      <w:szCs w:val="21"/>
                      <w:highlight w:val="none"/>
                      <w:lang w:val="en-US" w:eastAsia="zh-CN"/>
                    </w:rPr>
                    <w:t>2</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运输车辆</w:t>
                  </w:r>
                </w:p>
              </w:tc>
              <w:tc>
                <w:tcPr>
                  <w:tcW w:w="145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扬尘</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颗粒物</w:t>
                  </w:r>
                </w:p>
              </w:tc>
              <w:tc>
                <w:tcPr>
                  <w:tcW w:w="64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间断</w:t>
                  </w:r>
                </w:p>
              </w:tc>
              <w:tc>
                <w:tcPr>
                  <w:tcW w:w="2698"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道路硬化，洒水降尘，减速慢行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restart"/>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噪声</w:t>
                  </w:r>
                </w:p>
              </w:tc>
              <w:tc>
                <w:tcPr>
                  <w:tcW w:w="52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N</w:t>
                  </w:r>
                  <w:r>
                    <w:rPr>
                      <w:rFonts w:hint="eastAsia"/>
                      <w:bCs/>
                      <w:color w:val="000000" w:themeColor="text1"/>
                      <w:sz w:val="21"/>
                      <w:szCs w:val="21"/>
                      <w:highlight w:val="none"/>
                    </w:rPr>
                    <w:t>1</w:t>
                  </w:r>
                </w:p>
              </w:tc>
              <w:tc>
                <w:tcPr>
                  <w:tcW w:w="1020"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烘干滚筒</w:t>
                  </w:r>
                </w:p>
              </w:tc>
              <w:tc>
                <w:tcPr>
                  <w:tcW w:w="1455" w:type="dxa"/>
                  <w:noWrap/>
                  <w:vAlign w:val="center"/>
                </w:tcPr>
                <w:p>
                  <w:pPr>
                    <w:spacing w:line="240" w:lineRule="auto"/>
                    <w:ind w:firstLine="0" w:firstLineChars="0"/>
                    <w:jc w:val="center"/>
                    <w:rPr>
                      <w:bCs/>
                      <w:color w:val="000000" w:themeColor="text1"/>
                      <w:sz w:val="21"/>
                      <w:szCs w:val="21"/>
                      <w:highlight w:val="none"/>
                    </w:rPr>
                  </w:pPr>
                  <w:r>
                    <w:rPr>
                      <w:color w:val="000000" w:themeColor="text1"/>
                      <w:sz w:val="21"/>
                      <w:szCs w:val="21"/>
                      <w:highlight w:val="none"/>
                    </w:rPr>
                    <w:t>设备噪声</w:t>
                  </w:r>
                </w:p>
              </w:tc>
              <w:tc>
                <w:tcPr>
                  <w:tcW w:w="1320" w:type="dxa"/>
                  <w:noWrap/>
                  <w:vAlign w:val="center"/>
                </w:tcPr>
                <w:p>
                  <w:pPr>
                    <w:pStyle w:val="53"/>
                    <w:spacing w:line="260" w:lineRule="exact"/>
                    <w:rPr>
                      <w:bCs/>
                      <w:color w:val="000000" w:themeColor="text1"/>
                      <w:highlight w:val="none"/>
                    </w:rPr>
                  </w:pPr>
                  <w:r>
                    <w:rPr>
                      <w:color w:val="000000" w:themeColor="text1"/>
                      <w:highlight w:val="none"/>
                    </w:rPr>
                    <w:t>Leq(A)</w:t>
                  </w:r>
                </w:p>
              </w:tc>
              <w:tc>
                <w:tcPr>
                  <w:tcW w:w="645" w:type="dxa"/>
                  <w:noWrap/>
                  <w:vAlign w:val="center"/>
                </w:tcPr>
                <w:p>
                  <w:pPr>
                    <w:pStyle w:val="53"/>
                    <w:spacing w:line="260" w:lineRule="exact"/>
                    <w:rPr>
                      <w:bCs/>
                      <w:color w:val="000000" w:themeColor="text1"/>
                      <w:highlight w:val="none"/>
                    </w:rPr>
                  </w:pPr>
                  <w:r>
                    <w:rPr>
                      <w:color w:val="000000" w:themeColor="text1"/>
                      <w:highlight w:val="none"/>
                    </w:rPr>
                    <w:t>连续</w:t>
                  </w:r>
                </w:p>
              </w:tc>
              <w:tc>
                <w:tcPr>
                  <w:tcW w:w="2698"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选用低噪声设备</w:t>
                  </w:r>
                  <w:r>
                    <w:rPr>
                      <w:rFonts w:hint="eastAsia"/>
                      <w:bCs/>
                      <w:color w:val="000000" w:themeColor="text1"/>
                      <w:sz w:val="21"/>
                      <w:szCs w:val="21"/>
                      <w:highlight w:val="none"/>
                    </w:rPr>
                    <w:t>，基础减震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N</w:t>
                  </w:r>
                  <w:r>
                    <w:rPr>
                      <w:rFonts w:hint="eastAsia"/>
                      <w:bCs/>
                      <w:color w:val="000000" w:themeColor="text1"/>
                      <w:sz w:val="21"/>
                      <w:szCs w:val="21"/>
                      <w:highlight w:val="none"/>
                    </w:rPr>
                    <w:t>2</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筛分设备</w:t>
                  </w:r>
                </w:p>
              </w:tc>
              <w:tc>
                <w:tcPr>
                  <w:tcW w:w="14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设备噪声</w:t>
                  </w:r>
                </w:p>
              </w:tc>
              <w:tc>
                <w:tcPr>
                  <w:tcW w:w="1320" w:type="dxa"/>
                  <w:noWrap/>
                  <w:vAlign w:val="center"/>
                </w:tcPr>
                <w:p>
                  <w:pPr>
                    <w:pStyle w:val="53"/>
                    <w:spacing w:line="260" w:lineRule="exact"/>
                    <w:rPr>
                      <w:color w:val="000000" w:themeColor="text1"/>
                      <w:highlight w:val="none"/>
                    </w:rPr>
                  </w:pPr>
                  <w:r>
                    <w:rPr>
                      <w:color w:val="000000" w:themeColor="text1"/>
                      <w:highlight w:val="none"/>
                    </w:rPr>
                    <w:t>Leq(A)</w:t>
                  </w:r>
                </w:p>
              </w:tc>
              <w:tc>
                <w:tcPr>
                  <w:tcW w:w="645" w:type="dxa"/>
                  <w:noWrap/>
                  <w:vAlign w:val="center"/>
                </w:tcPr>
                <w:p>
                  <w:pPr>
                    <w:pStyle w:val="53"/>
                    <w:spacing w:line="260" w:lineRule="exact"/>
                    <w:rPr>
                      <w:color w:val="000000" w:themeColor="text1"/>
                      <w:highlight w:val="none"/>
                    </w:rPr>
                  </w:pPr>
                  <w:r>
                    <w:rPr>
                      <w:color w:val="000000" w:themeColor="text1"/>
                      <w:highlight w:val="none"/>
                    </w:rPr>
                    <w:t>连续</w:t>
                  </w:r>
                </w:p>
              </w:tc>
              <w:tc>
                <w:tcPr>
                  <w:tcW w:w="2698" w:type="dxa"/>
                  <w:vMerge w:val="restart"/>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位于封闭的设备间内，选用低噪声设备</w:t>
                  </w:r>
                  <w:r>
                    <w:rPr>
                      <w:rFonts w:hint="eastAsia"/>
                      <w:bCs/>
                      <w:color w:val="000000" w:themeColor="text1"/>
                      <w:sz w:val="21"/>
                      <w:szCs w:val="21"/>
                      <w:highlight w:val="none"/>
                    </w:rPr>
                    <w:t>，基础减震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N</w:t>
                  </w:r>
                  <w:r>
                    <w:rPr>
                      <w:rFonts w:hint="eastAsia"/>
                      <w:bCs/>
                      <w:color w:val="000000" w:themeColor="text1"/>
                      <w:sz w:val="21"/>
                      <w:szCs w:val="21"/>
                      <w:highlight w:val="none"/>
                    </w:rPr>
                    <w:t>3</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导热油炉</w:t>
                  </w:r>
                </w:p>
              </w:tc>
              <w:tc>
                <w:tcPr>
                  <w:tcW w:w="14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设备噪声</w:t>
                  </w:r>
                </w:p>
              </w:tc>
              <w:tc>
                <w:tcPr>
                  <w:tcW w:w="1320" w:type="dxa"/>
                  <w:noWrap/>
                  <w:vAlign w:val="center"/>
                </w:tcPr>
                <w:p>
                  <w:pPr>
                    <w:pStyle w:val="53"/>
                    <w:spacing w:line="260" w:lineRule="exact"/>
                    <w:rPr>
                      <w:color w:val="000000" w:themeColor="text1"/>
                      <w:highlight w:val="none"/>
                    </w:rPr>
                  </w:pPr>
                  <w:r>
                    <w:rPr>
                      <w:color w:val="000000" w:themeColor="text1"/>
                      <w:highlight w:val="none"/>
                    </w:rPr>
                    <w:t>Leq(A)</w:t>
                  </w:r>
                </w:p>
              </w:tc>
              <w:tc>
                <w:tcPr>
                  <w:tcW w:w="645" w:type="dxa"/>
                  <w:noWrap/>
                  <w:vAlign w:val="center"/>
                </w:tcPr>
                <w:p>
                  <w:pPr>
                    <w:pStyle w:val="53"/>
                    <w:spacing w:line="260" w:lineRule="exact"/>
                    <w:rPr>
                      <w:color w:val="000000" w:themeColor="text1"/>
                      <w:highlight w:val="none"/>
                    </w:rPr>
                  </w:pPr>
                  <w:r>
                    <w:rPr>
                      <w:color w:val="000000" w:themeColor="text1"/>
                      <w:highlight w:val="none"/>
                    </w:rPr>
                    <w:t>连续</w:t>
                  </w:r>
                </w:p>
              </w:tc>
              <w:tc>
                <w:tcPr>
                  <w:tcW w:w="2698" w:type="dxa"/>
                  <w:vMerge w:val="continue"/>
                  <w:noWrap/>
                  <w:vAlign w:val="center"/>
                </w:tcPr>
                <w:p>
                  <w:pPr>
                    <w:spacing w:line="240" w:lineRule="auto"/>
                    <w:ind w:firstLine="0" w:firstLineChars="0"/>
                    <w:jc w:val="center"/>
                    <w:rPr>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N</w:t>
                  </w:r>
                  <w:r>
                    <w:rPr>
                      <w:rFonts w:hint="eastAsia"/>
                      <w:bCs/>
                      <w:color w:val="000000" w:themeColor="text1"/>
                      <w:sz w:val="21"/>
                      <w:szCs w:val="21"/>
                      <w:highlight w:val="none"/>
                    </w:rPr>
                    <w:t>4</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气化设备</w:t>
                  </w:r>
                </w:p>
              </w:tc>
              <w:tc>
                <w:tcPr>
                  <w:tcW w:w="14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设备噪声</w:t>
                  </w:r>
                </w:p>
              </w:tc>
              <w:tc>
                <w:tcPr>
                  <w:tcW w:w="1320" w:type="dxa"/>
                  <w:noWrap/>
                  <w:vAlign w:val="center"/>
                </w:tcPr>
                <w:p>
                  <w:pPr>
                    <w:pStyle w:val="53"/>
                    <w:spacing w:line="260" w:lineRule="exact"/>
                    <w:rPr>
                      <w:color w:val="000000" w:themeColor="text1"/>
                      <w:highlight w:val="none"/>
                    </w:rPr>
                  </w:pPr>
                  <w:r>
                    <w:rPr>
                      <w:color w:val="000000" w:themeColor="text1"/>
                      <w:highlight w:val="none"/>
                    </w:rPr>
                    <w:t>Leq(A)</w:t>
                  </w:r>
                </w:p>
              </w:tc>
              <w:tc>
                <w:tcPr>
                  <w:tcW w:w="645" w:type="dxa"/>
                  <w:noWrap/>
                  <w:vAlign w:val="center"/>
                </w:tcPr>
                <w:p>
                  <w:pPr>
                    <w:pStyle w:val="53"/>
                    <w:spacing w:line="260" w:lineRule="exact"/>
                    <w:rPr>
                      <w:color w:val="000000" w:themeColor="text1"/>
                      <w:highlight w:val="none"/>
                    </w:rPr>
                  </w:pPr>
                  <w:r>
                    <w:rPr>
                      <w:color w:val="000000" w:themeColor="text1"/>
                      <w:highlight w:val="none"/>
                    </w:rPr>
                    <w:t>连续</w:t>
                  </w:r>
                </w:p>
              </w:tc>
              <w:tc>
                <w:tcPr>
                  <w:tcW w:w="2698"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选</w:t>
                  </w:r>
                  <w:r>
                    <w:rPr>
                      <w:bCs/>
                      <w:color w:val="000000" w:themeColor="text1"/>
                      <w:sz w:val="21"/>
                      <w:szCs w:val="21"/>
                      <w:highlight w:val="none"/>
                    </w:rPr>
                    <w:t>用低噪声设备</w:t>
                  </w:r>
                  <w:r>
                    <w:rPr>
                      <w:rFonts w:hint="eastAsia"/>
                      <w:bCs/>
                      <w:color w:val="000000" w:themeColor="text1"/>
                      <w:sz w:val="21"/>
                      <w:szCs w:val="21"/>
                      <w:highlight w:val="none"/>
                    </w:rPr>
                    <w:t>，基础减震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N</w:t>
                  </w:r>
                  <w:r>
                    <w:rPr>
                      <w:rFonts w:hint="eastAsia"/>
                      <w:bCs/>
                      <w:color w:val="000000" w:themeColor="text1"/>
                      <w:sz w:val="21"/>
                      <w:szCs w:val="21"/>
                      <w:highlight w:val="none"/>
                    </w:rPr>
                    <w:t>5</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搅拌机</w:t>
                  </w:r>
                </w:p>
              </w:tc>
              <w:tc>
                <w:tcPr>
                  <w:tcW w:w="14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设备噪声</w:t>
                  </w:r>
                </w:p>
              </w:tc>
              <w:tc>
                <w:tcPr>
                  <w:tcW w:w="1320" w:type="dxa"/>
                  <w:noWrap/>
                  <w:vAlign w:val="center"/>
                </w:tcPr>
                <w:p>
                  <w:pPr>
                    <w:pStyle w:val="53"/>
                    <w:spacing w:line="260" w:lineRule="exact"/>
                    <w:rPr>
                      <w:color w:val="000000" w:themeColor="text1"/>
                      <w:highlight w:val="none"/>
                    </w:rPr>
                  </w:pPr>
                  <w:r>
                    <w:rPr>
                      <w:color w:val="000000" w:themeColor="text1"/>
                      <w:highlight w:val="none"/>
                    </w:rPr>
                    <w:t>Leq(A)</w:t>
                  </w:r>
                </w:p>
              </w:tc>
              <w:tc>
                <w:tcPr>
                  <w:tcW w:w="645" w:type="dxa"/>
                  <w:noWrap/>
                  <w:vAlign w:val="center"/>
                </w:tcPr>
                <w:p>
                  <w:pPr>
                    <w:pStyle w:val="53"/>
                    <w:spacing w:line="260" w:lineRule="exact"/>
                    <w:rPr>
                      <w:color w:val="000000" w:themeColor="text1"/>
                      <w:highlight w:val="none"/>
                    </w:rPr>
                  </w:pPr>
                  <w:r>
                    <w:rPr>
                      <w:color w:val="000000" w:themeColor="text1"/>
                      <w:highlight w:val="none"/>
                    </w:rPr>
                    <w:t>连续</w:t>
                  </w:r>
                </w:p>
              </w:tc>
              <w:tc>
                <w:tcPr>
                  <w:tcW w:w="2698"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位于封闭的设备间内，选用低噪声设备</w:t>
                  </w:r>
                  <w:r>
                    <w:rPr>
                      <w:rFonts w:hint="eastAsia"/>
                      <w:bCs/>
                      <w:color w:val="000000" w:themeColor="text1"/>
                      <w:sz w:val="21"/>
                      <w:szCs w:val="21"/>
                      <w:highlight w:val="none"/>
                    </w:rPr>
                    <w:t>，基础减震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N</w:t>
                  </w:r>
                  <w:r>
                    <w:rPr>
                      <w:rFonts w:hint="eastAsia"/>
                      <w:bCs/>
                      <w:color w:val="000000" w:themeColor="text1"/>
                      <w:sz w:val="21"/>
                      <w:szCs w:val="21"/>
                      <w:highlight w:val="none"/>
                    </w:rPr>
                    <w:t>6</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卸料</w:t>
                  </w:r>
                </w:p>
              </w:tc>
              <w:tc>
                <w:tcPr>
                  <w:tcW w:w="14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设备噪声</w:t>
                  </w:r>
                </w:p>
              </w:tc>
              <w:tc>
                <w:tcPr>
                  <w:tcW w:w="1320" w:type="dxa"/>
                  <w:noWrap/>
                  <w:vAlign w:val="center"/>
                </w:tcPr>
                <w:p>
                  <w:pPr>
                    <w:pStyle w:val="53"/>
                    <w:spacing w:line="260" w:lineRule="exact"/>
                    <w:rPr>
                      <w:color w:val="000000" w:themeColor="text1"/>
                      <w:highlight w:val="none"/>
                    </w:rPr>
                  </w:pPr>
                  <w:r>
                    <w:rPr>
                      <w:color w:val="000000" w:themeColor="text1"/>
                      <w:highlight w:val="none"/>
                    </w:rPr>
                    <w:t>Leq(A)</w:t>
                  </w:r>
                </w:p>
              </w:tc>
              <w:tc>
                <w:tcPr>
                  <w:tcW w:w="645" w:type="dxa"/>
                  <w:noWrap/>
                  <w:vAlign w:val="center"/>
                </w:tcPr>
                <w:p>
                  <w:pPr>
                    <w:pStyle w:val="53"/>
                    <w:spacing w:line="260" w:lineRule="exact"/>
                    <w:rPr>
                      <w:color w:val="000000" w:themeColor="text1"/>
                      <w:highlight w:val="none"/>
                    </w:rPr>
                  </w:pPr>
                  <w:r>
                    <w:rPr>
                      <w:color w:val="000000" w:themeColor="text1"/>
                      <w:highlight w:val="none"/>
                    </w:rPr>
                    <w:t>连续</w:t>
                  </w:r>
                </w:p>
              </w:tc>
              <w:tc>
                <w:tcPr>
                  <w:tcW w:w="2698"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选用低噪声设备</w:t>
                  </w:r>
                  <w:r>
                    <w:rPr>
                      <w:rFonts w:hint="eastAsia"/>
                      <w:bCs/>
                      <w:color w:val="000000" w:themeColor="text1"/>
                      <w:sz w:val="21"/>
                      <w:szCs w:val="21"/>
                      <w:highlight w:val="none"/>
                    </w:rPr>
                    <w:t>，基础减震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N7</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运输车辆</w:t>
                  </w:r>
                </w:p>
              </w:tc>
              <w:tc>
                <w:tcPr>
                  <w:tcW w:w="1455"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车辆噪声</w:t>
                  </w:r>
                </w:p>
              </w:tc>
              <w:tc>
                <w:tcPr>
                  <w:tcW w:w="1320" w:type="dxa"/>
                  <w:noWrap/>
                  <w:vAlign w:val="center"/>
                </w:tcPr>
                <w:p>
                  <w:pPr>
                    <w:pStyle w:val="53"/>
                    <w:spacing w:line="260" w:lineRule="exact"/>
                    <w:rPr>
                      <w:color w:val="000000" w:themeColor="text1"/>
                      <w:highlight w:val="none"/>
                    </w:rPr>
                  </w:pPr>
                  <w:r>
                    <w:rPr>
                      <w:color w:val="000000" w:themeColor="text1"/>
                      <w:highlight w:val="none"/>
                    </w:rPr>
                    <w:t>Leq(A)</w:t>
                  </w:r>
                </w:p>
              </w:tc>
              <w:tc>
                <w:tcPr>
                  <w:tcW w:w="645" w:type="dxa"/>
                  <w:noWrap/>
                  <w:vAlign w:val="center"/>
                </w:tcPr>
                <w:p>
                  <w:pPr>
                    <w:pStyle w:val="53"/>
                    <w:spacing w:line="260" w:lineRule="exact"/>
                    <w:rPr>
                      <w:color w:val="000000" w:themeColor="text1"/>
                      <w:highlight w:val="none"/>
                    </w:rPr>
                  </w:pPr>
                  <w:r>
                    <w:rPr>
                      <w:rFonts w:hint="eastAsia"/>
                      <w:color w:val="000000" w:themeColor="text1"/>
                      <w:highlight w:val="none"/>
                    </w:rPr>
                    <w:t>间断</w:t>
                  </w:r>
                </w:p>
              </w:tc>
              <w:tc>
                <w:tcPr>
                  <w:tcW w:w="2698"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减速慢行，禁止鸣笛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restart"/>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固废</w:t>
                  </w:r>
                </w:p>
              </w:tc>
              <w:tc>
                <w:tcPr>
                  <w:tcW w:w="52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S1</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lang w:val="en-US" w:eastAsia="zh-CN"/>
                    </w:rPr>
                    <w:t>骨料筛分</w:t>
                  </w:r>
                </w:p>
              </w:tc>
              <w:tc>
                <w:tcPr>
                  <w:tcW w:w="1455"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筛分废料</w:t>
                  </w:r>
                </w:p>
              </w:tc>
              <w:tc>
                <w:tcPr>
                  <w:tcW w:w="1320" w:type="dxa"/>
                  <w:noWrap/>
                  <w:vAlign w:val="center"/>
                </w:tcPr>
                <w:p>
                  <w:pPr>
                    <w:spacing w:line="240" w:lineRule="auto"/>
                    <w:ind w:firstLine="0" w:firstLineChars="0"/>
                    <w:jc w:val="center"/>
                    <w:rPr>
                      <w:bCs/>
                      <w:color w:val="000000" w:themeColor="text1"/>
                      <w:sz w:val="21"/>
                      <w:szCs w:val="21"/>
                      <w:highlight w:val="none"/>
                    </w:rPr>
                  </w:pPr>
                  <w:r>
                    <w:rPr>
                      <w:rFonts w:hint="eastAsia"/>
                      <w:color w:val="000000" w:themeColor="text1"/>
                      <w:sz w:val="21"/>
                      <w:szCs w:val="21"/>
                      <w:highlight w:val="none"/>
                    </w:rPr>
                    <w:t>筛分废料</w:t>
                  </w:r>
                </w:p>
              </w:tc>
              <w:tc>
                <w:tcPr>
                  <w:tcW w:w="64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间断</w:t>
                  </w:r>
                </w:p>
              </w:tc>
              <w:tc>
                <w:tcPr>
                  <w:tcW w:w="2698" w:type="dxa"/>
                  <w:noWrap/>
                  <w:vAlign w:val="center"/>
                </w:tcPr>
                <w:p>
                  <w:pPr>
                    <w:spacing w:line="240" w:lineRule="auto"/>
                    <w:ind w:firstLine="0" w:firstLineChars="0"/>
                    <w:jc w:val="center"/>
                    <w:rPr>
                      <w:bCs/>
                      <w:color w:val="000000" w:themeColor="text1"/>
                      <w:sz w:val="21"/>
                      <w:szCs w:val="21"/>
                      <w:highlight w:val="none"/>
                    </w:rPr>
                  </w:pPr>
                  <w:r>
                    <w:rPr>
                      <w:rFonts w:hint="eastAsia"/>
                      <w:color w:val="000000" w:themeColor="text1"/>
                      <w:sz w:val="21"/>
                      <w:szCs w:val="21"/>
                      <w:highlight w:val="none"/>
                    </w:rPr>
                    <w:t>收集后暂存于原料库房，</w:t>
                  </w:r>
                  <w:r>
                    <w:rPr>
                      <w:rFonts w:hint="eastAsia" w:ascii="宋体" w:hAnsi="宋体" w:cs="宋体"/>
                      <w:color w:val="000000" w:themeColor="text1"/>
                      <w:kern w:val="0"/>
                      <w:sz w:val="21"/>
                      <w:szCs w:val="21"/>
                      <w:highlight w:val="none"/>
                      <w:lang w:bidi="ar"/>
                    </w:rPr>
                    <w:t>由</w:t>
                  </w:r>
                  <w:r>
                    <w:rPr>
                      <w:rFonts w:hint="eastAsia"/>
                      <w:sz w:val="21"/>
                      <w:szCs w:val="21"/>
                      <w:highlight w:val="none"/>
                      <w:lang w:val="en-US" w:eastAsia="zh-CN"/>
                    </w:rPr>
                    <w:t>三河市徐达路桥建设有限公司前苇塘水稳站项目作为原料用于生产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S2</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烘干滚筒除尘器</w:t>
                  </w:r>
                </w:p>
              </w:tc>
              <w:tc>
                <w:tcPr>
                  <w:tcW w:w="1455"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除尘灰</w:t>
                  </w:r>
                </w:p>
              </w:tc>
              <w:tc>
                <w:tcPr>
                  <w:tcW w:w="1320" w:type="dxa"/>
                  <w:noWrap/>
                  <w:vAlign w:val="center"/>
                </w:tcPr>
                <w:p>
                  <w:pPr>
                    <w:pStyle w:val="53"/>
                    <w:spacing w:line="260" w:lineRule="exact"/>
                    <w:rPr>
                      <w:color w:val="000000" w:themeColor="text1"/>
                      <w:highlight w:val="none"/>
                    </w:rPr>
                  </w:pPr>
                  <w:r>
                    <w:rPr>
                      <w:color w:val="000000" w:themeColor="text1"/>
                      <w:highlight w:val="none"/>
                    </w:rPr>
                    <w:t>除尘灰</w:t>
                  </w:r>
                </w:p>
              </w:tc>
              <w:tc>
                <w:tcPr>
                  <w:tcW w:w="645" w:type="dxa"/>
                  <w:noWrap/>
                  <w:vAlign w:val="center"/>
                </w:tcPr>
                <w:p>
                  <w:pPr>
                    <w:pStyle w:val="53"/>
                    <w:spacing w:line="260" w:lineRule="exact"/>
                    <w:rPr>
                      <w:color w:val="000000" w:themeColor="text1"/>
                      <w:highlight w:val="none"/>
                    </w:rPr>
                  </w:pPr>
                  <w:r>
                    <w:rPr>
                      <w:color w:val="000000" w:themeColor="text1"/>
                      <w:highlight w:val="none"/>
                    </w:rPr>
                    <w:t>连续</w:t>
                  </w:r>
                </w:p>
              </w:tc>
              <w:tc>
                <w:tcPr>
                  <w:tcW w:w="2698" w:type="dxa"/>
                  <w:noWrap/>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作为原料回用于生产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S3</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矿粉筒仓除尘器</w:t>
                  </w:r>
                </w:p>
              </w:tc>
              <w:tc>
                <w:tcPr>
                  <w:tcW w:w="1455"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除尘灰</w:t>
                  </w:r>
                </w:p>
              </w:tc>
              <w:tc>
                <w:tcPr>
                  <w:tcW w:w="1320" w:type="dxa"/>
                  <w:noWrap/>
                  <w:vAlign w:val="center"/>
                </w:tcPr>
                <w:p>
                  <w:pPr>
                    <w:pStyle w:val="53"/>
                    <w:spacing w:line="260" w:lineRule="exact"/>
                    <w:rPr>
                      <w:color w:val="000000" w:themeColor="text1"/>
                      <w:highlight w:val="none"/>
                    </w:rPr>
                  </w:pPr>
                  <w:r>
                    <w:rPr>
                      <w:color w:val="000000" w:themeColor="text1"/>
                      <w:highlight w:val="none"/>
                    </w:rPr>
                    <w:t>除尘灰</w:t>
                  </w:r>
                </w:p>
              </w:tc>
              <w:tc>
                <w:tcPr>
                  <w:tcW w:w="645" w:type="dxa"/>
                  <w:noWrap/>
                  <w:vAlign w:val="center"/>
                </w:tcPr>
                <w:p>
                  <w:pPr>
                    <w:pStyle w:val="53"/>
                    <w:spacing w:line="260" w:lineRule="exact"/>
                    <w:rPr>
                      <w:color w:val="000000" w:themeColor="text1"/>
                      <w:highlight w:val="none"/>
                    </w:rPr>
                  </w:pPr>
                  <w:r>
                    <w:rPr>
                      <w:color w:val="000000" w:themeColor="text1"/>
                      <w:highlight w:val="none"/>
                    </w:rPr>
                    <w:t>连续</w:t>
                  </w:r>
                </w:p>
              </w:tc>
              <w:tc>
                <w:tcPr>
                  <w:tcW w:w="2698" w:type="dxa"/>
                  <w:noWrap/>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振打落入料仓作为原料使用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S4</w:t>
                  </w:r>
                </w:p>
              </w:tc>
              <w:tc>
                <w:tcPr>
                  <w:tcW w:w="1020" w:type="dxa"/>
                  <w:noWrap/>
                  <w:vAlign w:val="center"/>
                </w:tcPr>
                <w:p>
                  <w:pPr>
                    <w:spacing w:line="280" w:lineRule="exact"/>
                    <w:ind w:firstLine="0" w:firstLineChars="0"/>
                    <w:jc w:val="center"/>
                    <w:rPr>
                      <w:color w:val="000000" w:themeColor="text1"/>
                      <w:sz w:val="21"/>
                      <w:szCs w:val="21"/>
                      <w:highlight w:val="none"/>
                    </w:rPr>
                  </w:pPr>
                  <w:r>
                    <w:rPr>
                      <w:rFonts w:hint="eastAsia"/>
                      <w:color w:val="000000" w:themeColor="text1"/>
                      <w:sz w:val="21"/>
                      <w:szCs w:val="21"/>
                      <w:highlight w:val="none"/>
                    </w:rPr>
                    <w:t>导热油炉</w:t>
                  </w:r>
                </w:p>
              </w:tc>
              <w:tc>
                <w:tcPr>
                  <w:tcW w:w="1455" w:type="dxa"/>
                  <w:noWrap/>
                  <w:vAlign w:val="center"/>
                </w:tcPr>
                <w:p>
                  <w:pPr>
                    <w:spacing w:line="280" w:lineRule="exact"/>
                    <w:ind w:firstLine="0" w:firstLineChars="0"/>
                    <w:jc w:val="center"/>
                    <w:rPr>
                      <w:color w:val="000000" w:themeColor="text1"/>
                      <w:sz w:val="21"/>
                      <w:szCs w:val="21"/>
                      <w:highlight w:val="none"/>
                    </w:rPr>
                  </w:pPr>
                  <w:r>
                    <w:rPr>
                      <w:rFonts w:hint="eastAsia"/>
                      <w:color w:val="000000" w:themeColor="text1"/>
                      <w:sz w:val="21"/>
                      <w:szCs w:val="21"/>
                      <w:highlight w:val="none"/>
                    </w:rPr>
                    <w:t>废导热油</w:t>
                  </w:r>
                </w:p>
              </w:tc>
              <w:tc>
                <w:tcPr>
                  <w:tcW w:w="1320" w:type="dxa"/>
                  <w:noWrap/>
                  <w:vAlign w:val="center"/>
                </w:tcPr>
                <w:p>
                  <w:pPr>
                    <w:spacing w:line="280" w:lineRule="exact"/>
                    <w:ind w:firstLine="0" w:firstLineChars="0"/>
                    <w:jc w:val="center"/>
                    <w:rPr>
                      <w:color w:val="000000" w:themeColor="text1"/>
                      <w:sz w:val="21"/>
                      <w:szCs w:val="21"/>
                      <w:highlight w:val="none"/>
                    </w:rPr>
                  </w:pPr>
                  <w:r>
                    <w:rPr>
                      <w:rFonts w:hint="eastAsia"/>
                      <w:color w:val="000000" w:themeColor="text1"/>
                      <w:sz w:val="21"/>
                      <w:szCs w:val="21"/>
                      <w:highlight w:val="none"/>
                    </w:rPr>
                    <w:t>废导热油</w:t>
                  </w:r>
                </w:p>
              </w:tc>
              <w:tc>
                <w:tcPr>
                  <w:tcW w:w="645" w:type="dxa"/>
                  <w:noWrap/>
                  <w:vAlign w:val="center"/>
                </w:tcPr>
                <w:p>
                  <w:pPr>
                    <w:spacing w:line="240" w:lineRule="auto"/>
                    <w:ind w:firstLine="0" w:firstLineChars="0"/>
                    <w:jc w:val="center"/>
                    <w:rPr>
                      <w:bCs/>
                      <w:color w:val="000000" w:themeColor="text1"/>
                      <w:sz w:val="21"/>
                      <w:szCs w:val="21"/>
                      <w:highlight w:val="none"/>
                    </w:rPr>
                  </w:pPr>
                  <w:r>
                    <w:rPr>
                      <w:color w:val="000000" w:themeColor="text1"/>
                      <w:sz w:val="21"/>
                      <w:szCs w:val="21"/>
                      <w:highlight w:val="none"/>
                    </w:rPr>
                    <w:t>间断</w:t>
                  </w:r>
                </w:p>
              </w:tc>
              <w:tc>
                <w:tcPr>
                  <w:tcW w:w="2698"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项目结束后交由有资质单位处置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vMerge w:val="restart"/>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S5</w:t>
                  </w:r>
                </w:p>
              </w:tc>
              <w:tc>
                <w:tcPr>
                  <w:tcW w:w="1020" w:type="dxa"/>
                  <w:vMerge w:val="restart"/>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设备维护</w:t>
                  </w:r>
                </w:p>
              </w:tc>
              <w:tc>
                <w:tcPr>
                  <w:tcW w:w="14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废</w:t>
                  </w:r>
                  <w:r>
                    <w:rPr>
                      <w:rFonts w:hint="eastAsia"/>
                      <w:color w:val="000000" w:themeColor="text1"/>
                      <w:sz w:val="21"/>
                      <w:szCs w:val="21"/>
                      <w:highlight w:val="none"/>
                    </w:rPr>
                    <w:t>润滑油</w:t>
                  </w:r>
                </w:p>
              </w:tc>
              <w:tc>
                <w:tcPr>
                  <w:tcW w:w="1320"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废</w:t>
                  </w:r>
                  <w:r>
                    <w:rPr>
                      <w:rFonts w:hint="eastAsia"/>
                      <w:color w:val="000000" w:themeColor="text1"/>
                      <w:sz w:val="21"/>
                      <w:szCs w:val="21"/>
                      <w:highlight w:val="none"/>
                    </w:rPr>
                    <w:t>润滑油</w:t>
                  </w:r>
                </w:p>
              </w:tc>
              <w:tc>
                <w:tcPr>
                  <w:tcW w:w="64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间断</w:t>
                  </w:r>
                </w:p>
              </w:tc>
              <w:tc>
                <w:tcPr>
                  <w:tcW w:w="2698" w:type="dxa"/>
                  <w:vMerge w:val="restart"/>
                  <w:noWrap/>
                  <w:vAlign w:val="center"/>
                </w:tcPr>
                <w:p>
                  <w:pPr>
                    <w:spacing w:line="240" w:lineRule="auto"/>
                    <w:ind w:firstLine="0" w:firstLineChars="0"/>
                    <w:jc w:val="center"/>
                    <w:rPr>
                      <w:color w:val="000000" w:themeColor="text1"/>
                      <w:sz w:val="21"/>
                      <w:szCs w:val="21"/>
                      <w:highlight w:val="none"/>
                    </w:rPr>
                  </w:pPr>
                  <w:r>
                    <w:rPr>
                      <w:bCs/>
                      <w:color w:val="000000" w:themeColor="text1"/>
                      <w:sz w:val="21"/>
                      <w:szCs w:val="21"/>
                      <w:highlight w:val="none"/>
                    </w:rPr>
                    <w:t>建设</w:t>
                  </w:r>
                  <w:r>
                    <w:rPr>
                      <w:rFonts w:hint="eastAsia"/>
                      <w:bCs/>
                      <w:color w:val="000000" w:themeColor="text1"/>
                      <w:sz w:val="21"/>
                      <w:szCs w:val="21"/>
                      <w:highlight w:val="none"/>
                    </w:rPr>
                    <w:t>危险废物暂存间</w:t>
                  </w:r>
                  <w:r>
                    <w:rPr>
                      <w:bCs/>
                      <w:color w:val="000000" w:themeColor="text1"/>
                      <w:sz w:val="21"/>
                      <w:szCs w:val="21"/>
                      <w:highlight w:val="none"/>
                    </w:rPr>
                    <w:t>1座，分类收集暂存于</w:t>
                  </w:r>
                  <w:r>
                    <w:rPr>
                      <w:rFonts w:hint="eastAsia"/>
                      <w:bCs/>
                      <w:color w:val="000000" w:themeColor="text1"/>
                      <w:sz w:val="21"/>
                      <w:szCs w:val="21"/>
                      <w:highlight w:val="none"/>
                    </w:rPr>
                    <w:t>危险废物暂存间</w:t>
                  </w:r>
                  <w:r>
                    <w:rPr>
                      <w:bCs/>
                      <w:color w:val="000000" w:themeColor="text1"/>
                      <w:sz w:val="21"/>
                      <w:szCs w:val="21"/>
                      <w:highlight w:val="none"/>
                    </w:rPr>
                    <w:t>内，定期交由有资质的单位处理。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vMerge w:val="continue"/>
                  <w:noWrap/>
                  <w:vAlign w:val="center"/>
                </w:tcPr>
                <w:p>
                  <w:pPr>
                    <w:spacing w:line="240" w:lineRule="auto"/>
                    <w:ind w:firstLine="0" w:firstLineChars="0"/>
                    <w:jc w:val="center"/>
                    <w:rPr>
                      <w:bCs/>
                      <w:color w:val="000000" w:themeColor="text1"/>
                      <w:sz w:val="21"/>
                      <w:szCs w:val="21"/>
                      <w:highlight w:val="none"/>
                    </w:rPr>
                  </w:pPr>
                </w:p>
              </w:tc>
              <w:tc>
                <w:tcPr>
                  <w:tcW w:w="1020" w:type="dxa"/>
                  <w:vMerge w:val="continue"/>
                  <w:noWrap/>
                  <w:vAlign w:val="center"/>
                </w:tcPr>
                <w:p>
                  <w:pPr>
                    <w:spacing w:line="240" w:lineRule="auto"/>
                    <w:ind w:firstLine="0" w:firstLineChars="0"/>
                    <w:jc w:val="center"/>
                    <w:rPr>
                      <w:color w:val="000000" w:themeColor="text1"/>
                      <w:sz w:val="21"/>
                      <w:szCs w:val="21"/>
                      <w:highlight w:val="none"/>
                    </w:rPr>
                  </w:pPr>
                </w:p>
              </w:tc>
              <w:tc>
                <w:tcPr>
                  <w:tcW w:w="14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废油桶</w:t>
                  </w:r>
                </w:p>
              </w:tc>
              <w:tc>
                <w:tcPr>
                  <w:tcW w:w="1320"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废油桶</w:t>
                  </w:r>
                </w:p>
              </w:tc>
              <w:tc>
                <w:tcPr>
                  <w:tcW w:w="64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间断</w:t>
                  </w:r>
                </w:p>
              </w:tc>
              <w:tc>
                <w:tcPr>
                  <w:tcW w:w="2698" w:type="dxa"/>
                  <w:vMerge w:val="continue"/>
                  <w:noWrap/>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vMerge w:val="restart"/>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S6</w:t>
                  </w:r>
                </w:p>
              </w:tc>
              <w:tc>
                <w:tcPr>
                  <w:tcW w:w="1020" w:type="dxa"/>
                  <w:vMerge w:val="restart"/>
                  <w:noWrap/>
                  <w:vAlign w:val="center"/>
                </w:tcPr>
                <w:p>
                  <w:pPr>
                    <w:pStyle w:val="69"/>
                    <w:adjustRightInd/>
                    <w:spacing w:before="0" w:after="0" w:line="240" w:lineRule="auto"/>
                    <w:textAlignment w:val="auto"/>
                    <w:rPr>
                      <w:color w:val="000000" w:themeColor="text1"/>
                      <w:sz w:val="21"/>
                      <w:szCs w:val="21"/>
                      <w:highlight w:val="none"/>
                    </w:rPr>
                  </w:pPr>
                  <w:r>
                    <w:rPr>
                      <w:rFonts w:hint="eastAsia"/>
                      <w:color w:val="000000" w:themeColor="text1"/>
                      <w:sz w:val="21"/>
                      <w:szCs w:val="21"/>
                      <w:highlight w:val="none"/>
                    </w:rPr>
                    <w:t>沥青废气治理</w:t>
                  </w:r>
                </w:p>
              </w:tc>
              <w:tc>
                <w:tcPr>
                  <w:tcW w:w="1455" w:type="dxa"/>
                  <w:noWrap/>
                  <w:vAlign w:val="center"/>
                </w:tcPr>
                <w:p>
                  <w:pPr>
                    <w:pStyle w:val="69"/>
                    <w:adjustRightInd/>
                    <w:spacing w:before="0" w:after="0" w:line="240" w:lineRule="auto"/>
                    <w:textAlignment w:val="auto"/>
                    <w:rPr>
                      <w:color w:val="000000" w:themeColor="text1"/>
                      <w:sz w:val="21"/>
                      <w:szCs w:val="21"/>
                      <w:highlight w:val="none"/>
                    </w:rPr>
                  </w:pPr>
                  <w:r>
                    <w:rPr>
                      <w:rFonts w:hint="eastAsia"/>
                      <w:color w:val="000000" w:themeColor="text1"/>
                      <w:sz w:val="21"/>
                      <w:szCs w:val="21"/>
                      <w:highlight w:val="none"/>
                    </w:rPr>
                    <w:t>废活性炭</w:t>
                  </w:r>
                </w:p>
              </w:tc>
              <w:tc>
                <w:tcPr>
                  <w:tcW w:w="1320" w:type="dxa"/>
                  <w:noWrap/>
                  <w:vAlign w:val="center"/>
                </w:tcPr>
                <w:p>
                  <w:pPr>
                    <w:pStyle w:val="69"/>
                    <w:adjustRightInd/>
                    <w:spacing w:before="0" w:after="0" w:line="240" w:lineRule="auto"/>
                    <w:textAlignment w:val="auto"/>
                    <w:rPr>
                      <w:color w:val="000000" w:themeColor="text1"/>
                      <w:sz w:val="21"/>
                      <w:szCs w:val="21"/>
                      <w:highlight w:val="none"/>
                    </w:rPr>
                  </w:pPr>
                  <w:r>
                    <w:rPr>
                      <w:rFonts w:hint="eastAsia"/>
                      <w:color w:val="000000" w:themeColor="text1"/>
                      <w:sz w:val="21"/>
                      <w:szCs w:val="21"/>
                      <w:highlight w:val="none"/>
                    </w:rPr>
                    <w:t>废活性炭</w:t>
                  </w:r>
                </w:p>
              </w:tc>
              <w:tc>
                <w:tcPr>
                  <w:tcW w:w="645" w:type="dxa"/>
                  <w:noWrap/>
                  <w:vAlign w:val="center"/>
                </w:tcPr>
                <w:p>
                  <w:pPr>
                    <w:spacing w:line="240" w:lineRule="auto"/>
                    <w:ind w:firstLine="0" w:firstLineChars="0"/>
                    <w:jc w:val="center"/>
                    <w:rPr>
                      <w:bCs/>
                      <w:color w:val="000000" w:themeColor="text1"/>
                      <w:sz w:val="21"/>
                      <w:szCs w:val="21"/>
                      <w:highlight w:val="none"/>
                    </w:rPr>
                  </w:pPr>
                  <w:r>
                    <w:rPr>
                      <w:color w:val="000000" w:themeColor="text1"/>
                      <w:sz w:val="21"/>
                      <w:szCs w:val="21"/>
                      <w:highlight w:val="none"/>
                    </w:rPr>
                    <w:t>间断</w:t>
                  </w:r>
                </w:p>
              </w:tc>
              <w:tc>
                <w:tcPr>
                  <w:tcW w:w="2698" w:type="dxa"/>
                  <w:vMerge w:val="continue"/>
                  <w:noWrap/>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423" w:type="dxa"/>
                  <w:vMerge w:val="continue"/>
                  <w:noWrap/>
                  <w:vAlign w:val="center"/>
                </w:tcPr>
                <w:p>
                  <w:pPr>
                    <w:spacing w:line="240" w:lineRule="auto"/>
                    <w:ind w:firstLine="0" w:firstLineChars="0"/>
                    <w:jc w:val="center"/>
                    <w:rPr>
                      <w:highlight w:val="none"/>
                    </w:rPr>
                  </w:pPr>
                </w:p>
              </w:tc>
              <w:tc>
                <w:tcPr>
                  <w:tcW w:w="525" w:type="dxa"/>
                  <w:vMerge w:val="continue"/>
                  <w:noWrap/>
                  <w:vAlign w:val="center"/>
                </w:tcPr>
                <w:p>
                  <w:pPr>
                    <w:spacing w:line="240" w:lineRule="auto"/>
                    <w:ind w:firstLine="0" w:firstLineChars="0"/>
                    <w:jc w:val="center"/>
                    <w:rPr>
                      <w:highlight w:val="none"/>
                    </w:rPr>
                  </w:pPr>
                </w:p>
              </w:tc>
              <w:tc>
                <w:tcPr>
                  <w:tcW w:w="1020" w:type="dxa"/>
                  <w:vMerge w:val="continue"/>
                  <w:noWrap/>
                  <w:vAlign w:val="center"/>
                </w:tcPr>
                <w:p>
                  <w:pPr>
                    <w:spacing w:line="240" w:lineRule="auto"/>
                    <w:ind w:firstLine="0" w:firstLineChars="0"/>
                    <w:jc w:val="center"/>
                    <w:rPr>
                      <w:highlight w:val="none"/>
                    </w:rPr>
                  </w:pPr>
                </w:p>
              </w:tc>
              <w:tc>
                <w:tcPr>
                  <w:tcW w:w="1455" w:type="dxa"/>
                  <w:noWrap/>
                  <w:vAlign w:val="center"/>
                </w:tcPr>
                <w:p>
                  <w:pPr>
                    <w:spacing w:line="240" w:lineRule="auto"/>
                    <w:ind w:firstLine="0" w:firstLineChars="0"/>
                    <w:jc w:val="center"/>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废布袋</w:t>
                  </w:r>
                </w:p>
              </w:tc>
              <w:tc>
                <w:tcPr>
                  <w:tcW w:w="1320" w:type="dxa"/>
                  <w:noWrap/>
                  <w:vAlign w:val="center"/>
                </w:tcPr>
                <w:p>
                  <w:pPr>
                    <w:spacing w:line="240" w:lineRule="auto"/>
                    <w:ind w:firstLine="0" w:firstLineChars="0"/>
                    <w:jc w:val="center"/>
                    <w:rPr>
                      <w:rFonts w:hint="eastAsia"/>
                      <w:color w:val="000000" w:themeColor="text1"/>
                      <w:sz w:val="21"/>
                      <w:szCs w:val="21"/>
                      <w:highlight w:val="none"/>
                    </w:rPr>
                  </w:pPr>
                  <w:r>
                    <w:rPr>
                      <w:rFonts w:hint="eastAsia"/>
                      <w:color w:val="000000" w:themeColor="text1"/>
                      <w:sz w:val="21"/>
                      <w:szCs w:val="21"/>
                      <w:highlight w:val="none"/>
                      <w:lang w:val="en-US" w:eastAsia="zh-CN"/>
                    </w:rPr>
                    <w:t>废布袋</w:t>
                  </w:r>
                </w:p>
              </w:tc>
              <w:tc>
                <w:tcPr>
                  <w:tcW w:w="645" w:type="dxa"/>
                  <w:noWrap/>
                  <w:vAlign w:val="center"/>
                </w:tcPr>
                <w:p>
                  <w:pPr>
                    <w:spacing w:line="240" w:lineRule="auto"/>
                    <w:ind w:firstLine="0" w:firstLineChars="0"/>
                    <w:jc w:val="center"/>
                    <w:rPr>
                      <w:rFonts w:hint="eastAsia"/>
                      <w:color w:val="000000" w:themeColor="text1"/>
                      <w:sz w:val="21"/>
                      <w:szCs w:val="21"/>
                      <w:highlight w:val="none"/>
                    </w:rPr>
                  </w:pPr>
                  <w:r>
                    <w:rPr>
                      <w:color w:val="000000" w:themeColor="text1"/>
                      <w:sz w:val="21"/>
                      <w:szCs w:val="21"/>
                      <w:highlight w:val="none"/>
                    </w:rPr>
                    <w:t>间断</w:t>
                  </w:r>
                </w:p>
              </w:tc>
              <w:tc>
                <w:tcPr>
                  <w:tcW w:w="2698" w:type="dxa"/>
                  <w:vMerge w:val="continue"/>
                  <w:noWrap/>
                  <w:vAlign w:val="center"/>
                </w:tcPr>
                <w:p>
                  <w:pPr>
                    <w:spacing w:line="240" w:lineRule="auto"/>
                    <w:ind w:firstLine="0" w:firstLineChars="0"/>
                    <w:jc w:val="center"/>
                    <w:rPr>
                      <w:rFonts w:hint="eastAsia"/>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dxa"/>
                  <w:vMerge w:val="continue"/>
                  <w:noWrap/>
                  <w:vAlign w:val="center"/>
                </w:tcPr>
                <w:p>
                  <w:pPr>
                    <w:spacing w:line="240" w:lineRule="auto"/>
                    <w:ind w:firstLine="0" w:firstLineChars="0"/>
                    <w:jc w:val="center"/>
                    <w:rPr>
                      <w:bCs/>
                      <w:color w:val="000000" w:themeColor="text1"/>
                      <w:sz w:val="21"/>
                      <w:szCs w:val="21"/>
                      <w:highlight w:val="none"/>
                    </w:rPr>
                  </w:pPr>
                </w:p>
              </w:tc>
              <w:tc>
                <w:tcPr>
                  <w:tcW w:w="525" w:type="dxa"/>
                  <w:noWrap/>
                  <w:vAlign w:val="center"/>
                </w:tcPr>
                <w:p>
                  <w:pPr>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S7</w:t>
                  </w:r>
                </w:p>
              </w:tc>
              <w:tc>
                <w:tcPr>
                  <w:tcW w:w="1020" w:type="dxa"/>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员工生活</w:t>
                  </w:r>
                </w:p>
              </w:tc>
              <w:tc>
                <w:tcPr>
                  <w:tcW w:w="14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生活垃圾</w:t>
                  </w:r>
                </w:p>
              </w:tc>
              <w:tc>
                <w:tcPr>
                  <w:tcW w:w="1320" w:type="dxa"/>
                  <w:noWrap/>
                  <w:vAlign w:val="center"/>
                </w:tcPr>
                <w:p>
                  <w:pPr>
                    <w:spacing w:line="240" w:lineRule="auto"/>
                    <w:ind w:firstLine="0" w:firstLineChars="0"/>
                    <w:jc w:val="center"/>
                    <w:rPr>
                      <w:bCs/>
                      <w:color w:val="000000" w:themeColor="text1"/>
                      <w:sz w:val="21"/>
                      <w:szCs w:val="21"/>
                      <w:highlight w:val="none"/>
                    </w:rPr>
                  </w:pPr>
                  <w:r>
                    <w:rPr>
                      <w:color w:val="000000" w:themeColor="text1"/>
                      <w:sz w:val="21"/>
                      <w:szCs w:val="21"/>
                      <w:highlight w:val="none"/>
                    </w:rPr>
                    <w:t>生活垃圾</w:t>
                  </w:r>
                </w:p>
              </w:tc>
              <w:tc>
                <w:tcPr>
                  <w:tcW w:w="645" w:type="dxa"/>
                  <w:noWrap/>
                  <w:vAlign w:val="center"/>
                </w:tcPr>
                <w:p>
                  <w:pPr>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间断</w:t>
                  </w:r>
                </w:p>
              </w:tc>
              <w:tc>
                <w:tcPr>
                  <w:tcW w:w="2698" w:type="dxa"/>
                  <w:noWrap/>
                  <w:vAlign w:val="center"/>
                </w:tcPr>
                <w:p>
                  <w:pPr>
                    <w:spacing w:line="240" w:lineRule="auto"/>
                    <w:ind w:firstLine="0" w:firstLineChars="0"/>
                    <w:jc w:val="center"/>
                    <w:rPr>
                      <w:bCs/>
                      <w:color w:val="000000" w:themeColor="text1"/>
                      <w:sz w:val="21"/>
                      <w:szCs w:val="21"/>
                      <w:highlight w:val="none"/>
                    </w:rPr>
                  </w:pPr>
                  <w:r>
                    <w:rPr>
                      <w:color w:val="000000" w:themeColor="text1"/>
                      <w:sz w:val="21"/>
                      <w:szCs w:val="21"/>
                      <w:highlight w:val="none"/>
                    </w:rPr>
                    <w:t>集中收集，定期由环卫部门清运处置</w:t>
                  </w:r>
                </w:p>
              </w:tc>
            </w:tr>
          </w:tbl>
          <w:p>
            <w:pPr>
              <w:ind w:firstLine="0" w:firstLineChars="0"/>
              <w:rPr>
                <w:rFonts w:ascii="宋体" w:hAnsi="宋体"/>
                <w:bCs/>
                <w:color w:val="000000" w:themeColor="text1"/>
                <w:kern w:val="21"/>
                <w:szCs w:val="21"/>
                <w:highlight w:val="none"/>
              </w:rPr>
            </w:pPr>
          </w:p>
          <w:p>
            <w:pPr>
              <w:pStyle w:val="2"/>
              <w:rPr>
                <w:rFonts w:ascii="宋体" w:hAnsi="宋体"/>
                <w:bCs/>
                <w:color w:val="000000" w:themeColor="text1"/>
                <w:kern w:val="21"/>
                <w:szCs w:val="21"/>
                <w:highlight w:val="none"/>
              </w:rPr>
            </w:pPr>
          </w:p>
          <w:p>
            <w:pPr>
              <w:pStyle w:val="2"/>
              <w:rPr>
                <w:rFonts w:ascii="宋体" w:hAnsi="宋体"/>
                <w:bCs/>
                <w:color w:val="000000" w:themeColor="text1"/>
                <w:kern w:val="21"/>
                <w:szCs w:val="21"/>
                <w:highlight w:val="none"/>
              </w:rPr>
            </w:pPr>
          </w:p>
          <w:p>
            <w:pPr>
              <w:pStyle w:val="2"/>
              <w:rPr>
                <w:rFonts w:ascii="宋体" w:hAnsi="宋体"/>
                <w:bCs/>
                <w:color w:val="000000" w:themeColor="text1"/>
                <w:kern w:val="21"/>
                <w:szCs w:val="21"/>
                <w:highlight w:val="none"/>
              </w:rPr>
            </w:pPr>
          </w:p>
          <w:p>
            <w:pPr>
              <w:pStyle w:val="2"/>
              <w:rPr>
                <w:rFonts w:ascii="宋体" w:hAnsi="宋体"/>
                <w:bCs/>
                <w:color w:val="000000" w:themeColor="text1"/>
                <w:kern w:val="21"/>
                <w:szCs w:val="21"/>
                <w:highlight w:val="none"/>
              </w:rPr>
            </w:pPr>
          </w:p>
          <w:p>
            <w:pPr>
              <w:pStyle w:val="2"/>
              <w:rPr>
                <w:rFonts w:ascii="宋体" w:hAnsi="宋体"/>
                <w:bCs/>
                <w:color w:val="000000" w:themeColor="text1"/>
                <w:kern w:val="21"/>
                <w:szCs w:val="21"/>
                <w:highlight w:val="none"/>
              </w:rPr>
            </w:pPr>
          </w:p>
          <w:p>
            <w:pPr>
              <w:pStyle w:val="2"/>
              <w:rPr>
                <w:rFonts w:ascii="宋体" w:hAnsi="宋体"/>
                <w:bCs/>
                <w:color w:val="000000" w:themeColor="text1"/>
                <w:kern w:val="21"/>
                <w:szCs w:val="21"/>
                <w:highlight w:val="none"/>
              </w:rPr>
            </w:pPr>
          </w:p>
          <w:p>
            <w:pPr>
              <w:pStyle w:val="2"/>
              <w:ind w:left="0" w:leftChars="0" w:firstLine="0" w:firstLineChars="0"/>
              <w:jc w:val="both"/>
              <w:rPr>
                <w:rFonts w:ascii="宋体" w:hAnsi="宋体"/>
                <w:bCs/>
                <w:color w:val="000000" w:themeColor="text1"/>
                <w:kern w:val="21"/>
                <w:szCs w:val="21"/>
                <w:highlight w:val="none"/>
              </w:rPr>
            </w:pPr>
          </w:p>
          <w:p>
            <w:pPr>
              <w:ind w:firstLine="0" w:firstLineChars="0"/>
              <w:rPr>
                <w:rFonts w:ascii="宋体" w:hAnsi="宋体"/>
                <w:bCs/>
                <w:color w:val="000000" w:themeColor="text1"/>
                <w:kern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0" w:hRule="atLeast"/>
          <w:jc w:val="center"/>
        </w:trPr>
        <w:tc>
          <w:tcPr>
            <w:tcW w:w="414" w:type="dxa"/>
            <w:noWrap/>
            <w:vAlign w:val="center"/>
          </w:tcPr>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p>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p>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p>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p>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p>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r>
              <w:rPr>
                <w:rFonts w:hint="eastAsia" w:cs="宋体"/>
                <w:bCs/>
                <w:color w:val="000000" w:themeColor="text1"/>
                <w:kern w:val="21"/>
                <w:szCs w:val="24"/>
                <w:highlight w:val="none"/>
              </w:rPr>
              <w:t>与项目有关的原有环境污染问题</w:t>
            </w:r>
          </w:p>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p>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p>
          <w:p>
            <w:pPr>
              <w:pStyle w:val="18"/>
              <w:spacing w:before="0" w:beforeAutospacing="0" w:after="0" w:afterAutospacing="0" w:line="240" w:lineRule="auto"/>
              <w:ind w:firstLine="0" w:firstLineChars="0"/>
              <w:jc w:val="center"/>
              <w:rPr>
                <w:rFonts w:cs="宋体"/>
                <w:bCs/>
                <w:color w:val="000000" w:themeColor="text1"/>
                <w:kern w:val="21"/>
                <w:szCs w:val="24"/>
                <w:highlight w:val="none"/>
              </w:rPr>
            </w:pPr>
          </w:p>
          <w:p>
            <w:pPr>
              <w:pStyle w:val="18"/>
              <w:spacing w:before="0" w:beforeAutospacing="0" w:after="0" w:afterAutospacing="0" w:line="240" w:lineRule="auto"/>
              <w:ind w:firstLine="0" w:firstLineChars="0"/>
              <w:jc w:val="both"/>
              <w:rPr>
                <w:rFonts w:cs="宋体"/>
                <w:bCs/>
                <w:color w:val="000000" w:themeColor="text1"/>
                <w:kern w:val="21"/>
                <w:szCs w:val="24"/>
                <w:highlight w:val="none"/>
              </w:rPr>
            </w:pPr>
          </w:p>
        </w:tc>
        <w:tc>
          <w:tcPr>
            <w:tcW w:w="8646" w:type="dxa"/>
            <w:noWrap/>
          </w:tcPr>
          <w:p>
            <w:pPr>
              <w:ind w:firstLine="480"/>
              <w:rPr>
                <w:color w:val="000000" w:themeColor="text1"/>
                <w:highlight w:val="none"/>
              </w:rPr>
            </w:pPr>
            <w:r>
              <w:rPr>
                <w:rFonts w:hint="eastAsia"/>
                <w:color w:val="000000" w:themeColor="text1"/>
                <w:highlight w:val="none"/>
              </w:rPr>
              <w:t>本项目为新建项目，不涉及原有环境问题。</w:t>
            </w: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rPr>
                <w:color w:val="000000" w:themeColor="text1"/>
                <w:highlight w:val="none"/>
              </w:rPr>
            </w:pPr>
          </w:p>
          <w:p>
            <w:pPr>
              <w:pStyle w:val="2"/>
              <w:ind w:firstLine="480"/>
              <w:jc w:val="both"/>
              <w:rPr>
                <w:color w:val="000000" w:themeColor="text1"/>
                <w:highlight w:val="none"/>
              </w:rPr>
            </w:pPr>
            <w:r>
              <w:rPr>
                <w:rFonts w:hint="eastAsia"/>
                <w:color w:val="000000" w:themeColor="text1"/>
                <w:highlight w:val="none"/>
              </w:rPr>
              <w:t xml:space="preserve">  </w:t>
            </w:r>
          </w:p>
          <w:p>
            <w:pPr>
              <w:pStyle w:val="2"/>
              <w:ind w:firstLine="480"/>
              <w:jc w:val="both"/>
              <w:rPr>
                <w:color w:val="000000" w:themeColor="text1"/>
                <w:highlight w:val="none"/>
              </w:rPr>
            </w:pPr>
          </w:p>
          <w:p>
            <w:pPr>
              <w:pStyle w:val="2"/>
              <w:ind w:firstLine="480"/>
              <w:jc w:val="both"/>
              <w:rPr>
                <w:color w:val="000000" w:themeColor="text1"/>
                <w:highlight w:val="none"/>
              </w:rPr>
            </w:pPr>
          </w:p>
          <w:p>
            <w:pPr>
              <w:pStyle w:val="2"/>
              <w:ind w:firstLine="0" w:firstLineChars="0"/>
              <w:jc w:val="both"/>
              <w:rPr>
                <w:color w:val="000000" w:themeColor="text1"/>
                <w:highlight w:val="none"/>
              </w:rPr>
            </w:pPr>
          </w:p>
        </w:tc>
      </w:tr>
    </w:tbl>
    <w:p>
      <w:pPr>
        <w:pStyle w:val="18"/>
        <w:jc w:val="center"/>
        <w:rPr>
          <w:rFonts w:ascii="黑体" w:hAnsi="黑体" w:eastAsia="黑体"/>
          <w:snapToGrid w:val="0"/>
          <w:color w:val="000000" w:themeColor="text1"/>
          <w:kern w:val="21"/>
          <w:sz w:val="36"/>
          <w:szCs w:val="36"/>
        </w:rPr>
        <w:sectPr>
          <w:pgSz w:w="11906" w:h="16838"/>
          <w:pgMar w:top="1417" w:right="1531" w:bottom="1417" w:left="1531" w:header="851" w:footer="851" w:gutter="0"/>
          <w:cols w:space="720" w:num="1"/>
          <w:docGrid w:linePitch="312" w:charSpace="0"/>
        </w:sectPr>
      </w:pPr>
    </w:p>
    <w:p>
      <w:pPr>
        <w:pStyle w:val="18"/>
        <w:spacing w:before="120" w:beforeLines="50" w:beforeAutospacing="0" w:after="120" w:afterLines="50" w:afterAutospacing="0"/>
        <w:ind w:firstLine="0" w:firstLineChars="0"/>
        <w:jc w:val="center"/>
        <w:outlineLvl w:val="0"/>
        <w:rPr>
          <w:rFonts w:ascii="黑体" w:hAnsi="黑体" w:eastAsia="黑体"/>
          <w:snapToGrid w:val="0"/>
          <w:color w:val="000000" w:themeColor="text1"/>
          <w:kern w:val="21"/>
          <w:sz w:val="30"/>
          <w:szCs w:val="30"/>
        </w:rPr>
      </w:pPr>
      <w:r>
        <w:rPr>
          <w:rFonts w:hint="eastAsia" w:ascii="黑体" w:hAnsi="黑体" w:eastAsia="黑体"/>
          <w:snapToGrid w:val="0"/>
          <w:color w:val="000000" w:themeColor="text1"/>
          <w:kern w:val="21"/>
          <w:sz w:val="30"/>
          <w:szCs w:val="30"/>
        </w:rPr>
        <w:t>三、区域环境质量现状、环境保护目标及评价标准</w:t>
      </w:r>
    </w:p>
    <w:tbl>
      <w:tblPr>
        <w:tblStyle w:val="22"/>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6"/>
        <w:gridCol w:w="85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506" w:type="dxa"/>
            <w:noWrap/>
            <w:vAlign w:val="center"/>
          </w:tcPr>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区域</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环境</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质量</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现状</w:t>
            </w:r>
          </w:p>
        </w:tc>
        <w:tc>
          <w:tcPr>
            <w:tcW w:w="8555" w:type="dxa"/>
            <w:noWrap/>
            <w:vAlign w:val="center"/>
          </w:tcPr>
          <w:p>
            <w:pPr>
              <w:pStyle w:val="12"/>
              <w:ind w:firstLine="482"/>
              <w:rPr>
                <w:rFonts w:ascii="Times New Roman" w:hAnsi="Times New Roman"/>
                <w:b/>
                <w:color w:val="000000" w:themeColor="text1"/>
                <w:sz w:val="24"/>
                <w:highlight w:val="none"/>
              </w:rPr>
            </w:pPr>
            <w:r>
              <w:rPr>
                <w:rFonts w:ascii="Times New Roman" w:hAnsi="Times New Roman"/>
                <w:b/>
                <w:color w:val="000000" w:themeColor="text1"/>
                <w:sz w:val="24"/>
                <w:highlight w:val="none"/>
              </w:rPr>
              <w:t>1、</w:t>
            </w:r>
            <w:r>
              <w:rPr>
                <w:rFonts w:hint="eastAsia" w:ascii="Times New Roman" w:hAnsi="Times New Roman"/>
                <w:b/>
                <w:color w:val="000000" w:themeColor="text1"/>
                <w:sz w:val="24"/>
                <w:highlight w:val="none"/>
              </w:rPr>
              <w:t>大气环境</w:t>
            </w:r>
          </w:p>
          <w:p>
            <w:pPr>
              <w:ind w:firstLine="480"/>
              <w:rPr>
                <w:color w:val="000000" w:themeColor="text1"/>
                <w:highlight w:val="none"/>
              </w:rPr>
            </w:pPr>
            <w:r>
              <w:rPr>
                <w:color w:val="000000" w:themeColor="text1"/>
                <w:highlight w:val="none"/>
              </w:rPr>
              <w:t>（1）</w:t>
            </w:r>
            <w:r>
              <w:rPr>
                <w:rFonts w:hint="eastAsia"/>
                <w:color w:val="000000" w:themeColor="text1"/>
                <w:highlight w:val="none"/>
              </w:rPr>
              <w:t>环境质量公报</w:t>
            </w:r>
          </w:p>
          <w:p>
            <w:pPr>
              <w:ind w:firstLine="480"/>
              <w:rPr>
                <w:color w:val="000000" w:themeColor="text1"/>
                <w:highlight w:val="none"/>
              </w:rPr>
            </w:pPr>
            <w:r>
              <w:rPr>
                <w:color w:val="000000" w:themeColor="text1"/>
                <w:highlight w:val="none"/>
              </w:rPr>
              <w:t>项目所在区域环境空气质量执行《环境空气质量标准》（GB3095-2012）</w:t>
            </w:r>
            <w:r>
              <w:rPr>
                <w:rFonts w:hint="eastAsia"/>
                <w:color w:val="000000" w:themeColor="text1"/>
                <w:highlight w:val="none"/>
              </w:rPr>
              <w:t>及其修改单中二级标准要求</w:t>
            </w:r>
            <w:r>
              <w:rPr>
                <w:color w:val="000000" w:themeColor="text1"/>
                <w:highlight w:val="none"/>
              </w:rPr>
              <w:t>。本评价引用《</w:t>
            </w:r>
            <w:r>
              <w:rPr>
                <w:rFonts w:hint="eastAsia"/>
                <w:color w:val="000000" w:themeColor="text1"/>
                <w:highlight w:val="none"/>
              </w:rPr>
              <w:t>2022年承德市生态环境状况公报</w:t>
            </w:r>
            <w:r>
              <w:rPr>
                <w:color w:val="000000" w:themeColor="text1"/>
                <w:highlight w:val="none"/>
              </w:rPr>
              <w:t>》中</w:t>
            </w:r>
            <w:r>
              <w:rPr>
                <w:rFonts w:hint="eastAsia"/>
                <w:color w:val="000000" w:themeColor="text1"/>
                <w:highlight w:val="none"/>
              </w:rPr>
              <w:t>兴隆县</w:t>
            </w:r>
            <w:r>
              <w:rPr>
                <w:color w:val="000000" w:themeColor="text1"/>
                <w:highlight w:val="none"/>
              </w:rPr>
              <w:t>大气常规污染物中的SO</w:t>
            </w:r>
            <w:r>
              <w:rPr>
                <w:color w:val="000000" w:themeColor="text1"/>
                <w:highlight w:val="none"/>
                <w:vertAlign w:val="subscript"/>
              </w:rPr>
              <w:t>2</w:t>
            </w:r>
            <w:r>
              <w:rPr>
                <w:color w:val="000000" w:themeColor="text1"/>
                <w:highlight w:val="none"/>
              </w:rPr>
              <w:t>、CO、NO</w:t>
            </w:r>
            <w:r>
              <w:rPr>
                <w:color w:val="000000" w:themeColor="text1"/>
                <w:highlight w:val="none"/>
                <w:vertAlign w:val="subscript"/>
              </w:rPr>
              <w:t>2</w:t>
            </w:r>
            <w:r>
              <w:rPr>
                <w:color w:val="000000" w:themeColor="text1"/>
                <w:highlight w:val="none"/>
              </w:rPr>
              <w:t>、O</w:t>
            </w:r>
            <w:r>
              <w:rPr>
                <w:color w:val="000000" w:themeColor="text1"/>
                <w:highlight w:val="none"/>
                <w:vertAlign w:val="subscript"/>
              </w:rPr>
              <w:t>3</w:t>
            </w:r>
            <w:r>
              <w:rPr>
                <w:color w:val="000000" w:themeColor="text1"/>
                <w:highlight w:val="none"/>
              </w:rPr>
              <w:t>、PM</w:t>
            </w:r>
            <w:r>
              <w:rPr>
                <w:color w:val="000000" w:themeColor="text1"/>
                <w:highlight w:val="none"/>
                <w:vertAlign w:val="subscript"/>
              </w:rPr>
              <w:t>10</w:t>
            </w:r>
            <w:r>
              <w:rPr>
                <w:color w:val="000000" w:themeColor="text1"/>
                <w:highlight w:val="none"/>
              </w:rPr>
              <w:t>和PM</w:t>
            </w:r>
            <w:r>
              <w:rPr>
                <w:color w:val="000000" w:themeColor="text1"/>
                <w:highlight w:val="none"/>
                <w:vertAlign w:val="subscript"/>
              </w:rPr>
              <w:t>2.5</w:t>
            </w:r>
            <w:r>
              <w:rPr>
                <w:color w:val="000000" w:themeColor="text1"/>
                <w:highlight w:val="none"/>
              </w:rPr>
              <w:t>现状监测统计资料，来说明拟建地区的环境空气质量，监测结果见</w:t>
            </w:r>
            <w:r>
              <w:rPr>
                <w:rFonts w:hint="eastAsia"/>
                <w:color w:val="000000" w:themeColor="text1"/>
                <w:highlight w:val="none"/>
              </w:rPr>
              <w:t>下表</w:t>
            </w:r>
            <w:r>
              <w:rPr>
                <w:color w:val="000000" w:themeColor="text1"/>
                <w:highlight w:val="none"/>
              </w:rPr>
              <w:t>。</w:t>
            </w:r>
          </w:p>
          <w:p>
            <w:pPr>
              <w:numPr>
                <w:ilvl w:val="0"/>
                <w:numId w:val="4"/>
              </w:numPr>
              <w:autoSpaceDE w:val="0"/>
              <w:autoSpaceDN w:val="0"/>
              <w:ind w:left="0" w:firstLine="0" w:firstLineChars="0"/>
              <w:jc w:val="center"/>
              <w:rPr>
                <w:b/>
                <w:bCs/>
                <w:color w:val="000000" w:themeColor="text1"/>
                <w:sz w:val="21"/>
                <w:szCs w:val="21"/>
                <w:highlight w:val="none"/>
              </w:rPr>
            </w:pPr>
            <w:r>
              <w:rPr>
                <w:b/>
                <w:bCs/>
                <w:color w:val="000000" w:themeColor="text1"/>
                <w:sz w:val="21"/>
                <w:szCs w:val="21"/>
                <w:highlight w:val="none"/>
              </w:rPr>
              <w:t>202</w:t>
            </w:r>
            <w:r>
              <w:rPr>
                <w:rFonts w:hint="eastAsia"/>
                <w:b/>
                <w:bCs/>
                <w:color w:val="000000" w:themeColor="text1"/>
                <w:sz w:val="21"/>
                <w:szCs w:val="21"/>
                <w:highlight w:val="none"/>
              </w:rPr>
              <w:t>2</w:t>
            </w:r>
            <w:r>
              <w:rPr>
                <w:b/>
                <w:bCs/>
                <w:color w:val="000000" w:themeColor="text1"/>
                <w:sz w:val="21"/>
                <w:szCs w:val="21"/>
                <w:highlight w:val="none"/>
              </w:rPr>
              <w:t>年</w:t>
            </w:r>
            <w:r>
              <w:rPr>
                <w:rFonts w:hint="eastAsia"/>
                <w:b/>
                <w:color w:val="000000" w:themeColor="text1"/>
                <w:sz w:val="21"/>
                <w:szCs w:val="21"/>
                <w:highlight w:val="none"/>
              </w:rPr>
              <w:t>兴隆县</w:t>
            </w:r>
            <w:r>
              <w:rPr>
                <w:b/>
                <w:bCs/>
                <w:color w:val="000000" w:themeColor="text1"/>
                <w:sz w:val="21"/>
                <w:szCs w:val="21"/>
                <w:highlight w:val="none"/>
              </w:rPr>
              <w:t>环境空气质量监测结果表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800"/>
              <w:gridCol w:w="762"/>
              <w:gridCol w:w="627"/>
              <w:gridCol w:w="591"/>
              <w:gridCol w:w="591"/>
              <w:gridCol w:w="671"/>
              <w:gridCol w:w="2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污染物名称</w:t>
                  </w:r>
                </w:p>
              </w:tc>
              <w:tc>
                <w:tcPr>
                  <w:tcW w:w="480" w:type="pct"/>
                  <w:vAlign w:val="center"/>
                </w:tcPr>
                <w:p>
                  <w:pPr>
                    <w:spacing w:line="240" w:lineRule="auto"/>
                    <w:ind w:firstLine="0" w:firstLineChars="0"/>
                    <w:jc w:val="center"/>
                    <w:rPr>
                      <w:b/>
                      <w:bCs/>
                      <w:color w:val="000000" w:themeColor="text1"/>
                      <w:sz w:val="21"/>
                      <w:szCs w:val="21"/>
                      <w:highlight w:val="none"/>
                    </w:rPr>
                  </w:pPr>
                  <w:r>
                    <w:rPr>
                      <w:b/>
                      <w:color w:val="000000" w:themeColor="text1"/>
                      <w:sz w:val="21"/>
                      <w:szCs w:val="21"/>
                      <w:highlight w:val="none"/>
                    </w:rPr>
                    <w:t>PM</w:t>
                  </w:r>
                  <w:r>
                    <w:rPr>
                      <w:b/>
                      <w:color w:val="000000" w:themeColor="text1"/>
                      <w:sz w:val="21"/>
                      <w:szCs w:val="21"/>
                      <w:highlight w:val="none"/>
                      <w:vertAlign w:val="subscript"/>
                    </w:rPr>
                    <w:t>2.5</w:t>
                  </w:r>
                </w:p>
              </w:tc>
              <w:tc>
                <w:tcPr>
                  <w:tcW w:w="457" w:type="pct"/>
                  <w:vAlign w:val="center"/>
                </w:tcPr>
                <w:p>
                  <w:pPr>
                    <w:spacing w:line="240" w:lineRule="auto"/>
                    <w:ind w:firstLine="0" w:firstLineChars="0"/>
                    <w:jc w:val="center"/>
                    <w:rPr>
                      <w:b/>
                      <w:bCs/>
                      <w:color w:val="000000" w:themeColor="text1"/>
                      <w:sz w:val="21"/>
                      <w:szCs w:val="21"/>
                      <w:highlight w:val="none"/>
                    </w:rPr>
                  </w:pPr>
                  <w:r>
                    <w:rPr>
                      <w:b/>
                      <w:color w:val="000000" w:themeColor="text1"/>
                      <w:sz w:val="21"/>
                      <w:szCs w:val="21"/>
                      <w:highlight w:val="none"/>
                    </w:rPr>
                    <w:t>PM</w:t>
                  </w:r>
                  <w:r>
                    <w:rPr>
                      <w:b/>
                      <w:color w:val="000000" w:themeColor="text1"/>
                      <w:sz w:val="21"/>
                      <w:szCs w:val="21"/>
                      <w:highlight w:val="none"/>
                      <w:vertAlign w:val="subscript"/>
                    </w:rPr>
                    <w:t>10</w:t>
                  </w:r>
                </w:p>
              </w:tc>
              <w:tc>
                <w:tcPr>
                  <w:tcW w:w="377" w:type="pct"/>
                  <w:vAlign w:val="center"/>
                </w:tcPr>
                <w:p>
                  <w:pPr>
                    <w:spacing w:line="240" w:lineRule="auto"/>
                    <w:ind w:firstLine="0" w:firstLineChars="0"/>
                    <w:jc w:val="center"/>
                    <w:rPr>
                      <w:b/>
                      <w:bCs/>
                      <w:color w:val="000000" w:themeColor="text1"/>
                      <w:sz w:val="21"/>
                      <w:szCs w:val="21"/>
                      <w:highlight w:val="none"/>
                    </w:rPr>
                  </w:pPr>
                  <w:r>
                    <w:rPr>
                      <w:b/>
                      <w:color w:val="000000" w:themeColor="text1"/>
                      <w:sz w:val="21"/>
                      <w:szCs w:val="21"/>
                      <w:highlight w:val="none"/>
                    </w:rPr>
                    <w:t>SO</w:t>
                  </w:r>
                  <w:r>
                    <w:rPr>
                      <w:b/>
                      <w:color w:val="000000" w:themeColor="text1"/>
                      <w:sz w:val="21"/>
                      <w:szCs w:val="21"/>
                      <w:highlight w:val="none"/>
                      <w:vertAlign w:val="subscript"/>
                    </w:rPr>
                    <w:t>2</w:t>
                  </w:r>
                </w:p>
              </w:tc>
              <w:tc>
                <w:tcPr>
                  <w:tcW w:w="355" w:type="pct"/>
                  <w:vAlign w:val="center"/>
                </w:tcPr>
                <w:p>
                  <w:pPr>
                    <w:spacing w:line="240" w:lineRule="auto"/>
                    <w:ind w:firstLine="0" w:firstLineChars="0"/>
                    <w:jc w:val="center"/>
                    <w:rPr>
                      <w:b/>
                      <w:bCs/>
                      <w:color w:val="000000" w:themeColor="text1"/>
                      <w:sz w:val="21"/>
                      <w:szCs w:val="21"/>
                      <w:highlight w:val="none"/>
                    </w:rPr>
                  </w:pPr>
                  <w:r>
                    <w:rPr>
                      <w:b/>
                      <w:color w:val="000000" w:themeColor="text1"/>
                      <w:sz w:val="21"/>
                      <w:szCs w:val="21"/>
                      <w:highlight w:val="none"/>
                    </w:rPr>
                    <w:t>CO</w:t>
                  </w:r>
                </w:p>
              </w:tc>
              <w:tc>
                <w:tcPr>
                  <w:tcW w:w="355" w:type="pct"/>
                  <w:vAlign w:val="center"/>
                </w:tcPr>
                <w:p>
                  <w:pPr>
                    <w:spacing w:line="240" w:lineRule="auto"/>
                    <w:ind w:firstLine="0" w:firstLineChars="0"/>
                    <w:jc w:val="center"/>
                    <w:rPr>
                      <w:b/>
                      <w:bCs/>
                      <w:color w:val="000000" w:themeColor="text1"/>
                      <w:sz w:val="21"/>
                      <w:szCs w:val="21"/>
                      <w:highlight w:val="none"/>
                    </w:rPr>
                  </w:pPr>
                  <w:r>
                    <w:rPr>
                      <w:b/>
                      <w:color w:val="000000" w:themeColor="text1"/>
                      <w:sz w:val="21"/>
                      <w:szCs w:val="21"/>
                      <w:highlight w:val="none"/>
                    </w:rPr>
                    <w:t>O</w:t>
                  </w:r>
                  <w:r>
                    <w:rPr>
                      <w:b/>
                      <w:color w:val="000000" w:themeColor="text1"/>
                      <w:sz w:val="21"/>
                      <w:szCs w:val="21"/>
                      <w:highlight w:val="none"/>
                      <w:vertAlign w:val="subscript"/>
                    </w:rPr>
                    <w:t>3</w:t>
                  </w:r>
                </w:p>
              </w:tc>
              <w:tc>
                <w:tcPr>
                  <w:tcW w:w="403" w:type="pct"/>
                  <w:vAlign w:val="center"/>
                </w:tcPr>
                <w:p>
                  <w:pPr>
                    <w:spacing w:line="240" w:lineRule="auto"/>
                    <w:ind w:firstLine="0" w:firstLineChars="0"/>
                    <w:jc w:val="center"/>
                    <w:rPr>
                      <w:b/>
                      <w:bCs/>
                      <w:color w:val="000000" w:themeColor="text1"/>
                      <w:sz w:val="21"/>
                      <w:szCs w:val="21"/>
                      <w:highlight w:val="none"/>
                    </w:rPr>
                  </w:pPr>
                  <w:r>
                    <w:rPr>
                      <w:b/>
                      <w:color w:val="000000" w:themeColor="text1"/>
                      <w:sz w:val="21"/>
                      <w:szCs w:val="21"/>
                      <w:highlight w:val="none"/>
                    </w:rPr>
                    <w:t>NO</w:t>
                  </w:r>
                  <w:r>
                    <w:rPr>
                      <w:b/>
                      <w:color w:val="000000" w:themeColor="text1"/>
                      <w:sz w:val="21"/>
                      <w:szCs w:val="21"/>
                      <w:highlight w:val="none"/>
                      <w:vertAlign w:val="subscript"/>
                    </w:rPr>
                    <w:t>2</w:t>
                  </w:r>
                </w:p>
              </w:tc>
              <w:tc>
                <w:tcPr>
                  <w:tcW w:w="1572"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环境空气质量综合指数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年均值</w:t>
                  </w:r>
                </w:p>
              </w:tc>
              <w:tc>
                <w:tcPr>
                  <w:tcW w:w="800" w:type="dxa"/>
                  <w:vAlign w:val="center"/>
                </w:tcPr>
                <w:p>
                  <w:pPr>
                    <w:spacing w:line="240" w:lineRule="auto"/>
                    <w:ind w:firstLine="0" w:firstLineChars="0"/>
                    <w:jc w:val="center"/>
                    <w:textAlignment w:val="baseline"/>
                    <w:rPr>
                      <w:color w:val="000000" w:themeColor="text1"/>
                      <w:sz w:val="21"/>
                      <w:szCs w:val="21"/>
                      <w:highlight w:val="none"/>
                    </w:rPr>
                  </w:pPr>
                  <w:r>
                    <w:rPr>
                      <w:rFonts w:hint="eastAsia"/>
                      <w:color w:val="000000" w:themeColor="text1"/>
                      <w:sz w:val="21"/>
                      <w:szCs w:val="21"/>
                      <w:highlight w:val="none"/>
                    </w:rPr>
                    <w:t>22</w:t>
                  </w:r>
                </w:p>
              </w:tc>
              <w:tc>
                <w:tcPr>
                  <w:tcW w:w="762"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48</w:t>
                  </w:r>
                </w:p>
              </w:tc>
              <w:tc>
                <w:tcPr>
                  <w:tcW w:w="627"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7</w:t>
                  </w:r>
                </w:p>
              </w:tc>
              <w:tc>
                <w:tcPr>
                  <w:tcW w:w="591"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1</w:t>
                  </w:r>
                </w:p>
              </w:tc>
              <w:tc>
                <w:tcPr>
                  <w:tcW w:w="591" w:type="dxa"/>
                  <w:vAlign w:val="center"/>
                </w:tcPr>
                <w:p>
                  <w:pPr>
                    <w:spacing w:line="240" w:lineRule="auto"/>
                    <w:ind w:firstLine="0" w:firstLineChars="0"/>
                    <w:jc w:val="center"/>
                    <w:textAlignment w:val="baseline"/>
                    <w:rPr>
                      <w:color w:val="000000" w:themeColor="text1"/>
                      <w:sz w:val="21"/>
                      <w:szCs w:val="21"/>
                      <w:highlight w:val="none"/>
                    </w:rPr>
                  </w:pPr>
                  <w:r>
                    <w:rPr>
                      <w:rFonts w:hint="eastAsia"/>
                      <w:color w:val="000000" w:themeColor="text1"/>
                      <w:sz w:val="21"/>
                      <w:szCs w:val="21"/>
                      <w:highlight w:val="none"/>
                    </w:rPr>
                    <w:t>169</w:t>
                  </w:r>
                </w:p>
              </w:tc>
              <w:tc>
                <w:tcPr>
                  <w:tcW w:w="671" w:type="dxa"/>
                  <w:vAlign w:val="center"/>
                </w:tcPr>
                <w:p>
                  <w:pPr>
                    <w:spacing w:line="240" w:lineRule="auto"/>
                    <w:ind w:firstLine="0" w:firstLineChars="0"/>
                    <w:jc w:val="center"/>
                    <w:textAlignment w:val="baseline"/>
                    <w:rPr>
                      <w:color w:val="000000" w:themeColor="text1"/>
                      <w:sz w:val="21"/>
                      <w:szCs w:val="21"/>
                      <w:highlight w:val="none"/>
                    </w:rPr>
                  </w:pPr>
                  <w:r>
                    <w:rPr>
                      <w:rFonts w:hint="eastAsia"/>
                      <w:color w:val="000000" w:themeColor="text1"/>
                      <w:sz w:val="21"/>
                      <w:szCs w:val="21"/>
                      <w:highlight w:val="none"/>
                    </w:rPr>
                    <w:t>25</w:t>
                  </w:r>
                </w:p>
              </w:tc>
              <w:tc>
                <w:tcPr>
                  <w:tcW w:w="2618"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标准（二级）</w:t>
                  </w:r>
                </w:p>
              </w:tc>
              <w:tc>
                <w:tcPr>
                  <w:tcW w:w="800"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35</w:t>
                  </w:r>
                </w:p>
              </w:tc>
              <w:tc>
                <w:tcPr>
                  <w:tcW w:w="762"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70</w:t>
                  </w:r>
                </w:p>
              </w:tc>
              <w:tc>
                <w:tcPr>
                  <w:tcW w:w="627"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60</w:t>
                  </w:r>
                </w:p>
              </w:tc>
              <w:tc>
                <w:tcPr>
                  <w:tcW w:w="591"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4.0</w:t>
                  </w:r>
                </w:p>
              </w:tc>
              <w:tc>
                <w:tcPr>
                  <w:tcW w:w="591"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160</w:t>
                  </w:r>
                </w:p>
              </w:tc>
              <w:tc>
                <w:tcPr>
                  <w:tcW w:w="671"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40</w:t>
                  </w:r>
                </w:p>
              </w:tc>
              <w:tc>
                <w:tcPr>
                  <w:tcW w:w="2618"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w:t>
                  </w:r>
                </w:p>
              </w:tc>
            </w:tr>
          </w:tbl>
          <w:p>
            <w:pPr>
              <w:spacing w:line="240" w:lineRule="auto"/>
              <w:ind w:firstLine="422"/>
              <w:rPr>
                <w:b/>
                <w:bCs/>
                <w:color w:val="000000" w:themeColor="text1"/>
                <w:sz w:val="21"/>
                <w:szCs w:val="18"/>
                <w:highlight w:val="none"/>
              </w:rPr>
            </w:pPr>
            <w:r>
              <w:rPr>
                <w:b/>
                <w:bCs/>
                <w:color w:val="000000" w:themeColor="text1"/>
                <w:sz w:val="21"/>
                <w:szCs w:val="18"/>
                <w:highlight w:val="none"/>
              </w:rPr>
              <w:t>注：</w:t>
            </w:r>
            <w:r>
              <w:rPr>
                <w:b/>
                <w:color w:val="000000" w:themeColor="text1"/>
                <w:sz w:val="21"/>
                <w:szCs w:val="21"/>
                <w:highlight w:val="none"/>
              </w:rPr>
              <w:t>1.CO的浓度单位是mg/m</w:t>
            </w:r>
            <w:r>
              <w:rPr>
                <w:b/>
                <w:color w:val="000000" w:themeColor="text1"/>
                <w:sz w:val="21"/>
                <w:szCs w:val="21"/>
                <w:highlight w:val="none"/>
                <w:vertAlign w:val="superscript"/>
              </w:rPr>
              <w:t>3</w:t>
            </w:r>
            <w:r>
              <w:rPr>
                <w:b/>
                <w:color w:val="000000" w:themeColor="text1"/>
                <w:sz w:val="21"/>
                <w:szCs w:val="21"/>
                <w:highlight w:val="none"/>
              </w:rPr>
              <w:t>，PM</w:t>
            </w:r>
            <w:r>
              <w:rPr>
                <w:b/>
                <w:color w:val="000000" w:themeColor="text1"/>
                <w:sz w:val="21"/>
                <w:szCs w:val="21"/>
                <w:highlight w:val="none"/>
                <w:vertAlign w:val="subscript"/>
              </w:rPr>
              <w:t>2.5</w:t>
            </w:r>
            <w:r>
              <w:rPr>
                <w:b/>
                <w:color w:val="000000" w:themeColor="text1"/>
                <w:sz w:val="21"/>
                <w:szCs w:val="21"/>
                <w:highlight w:val="none"/>
              </w:rPr>
              <w:t>、PM</w:t>
            </w:r>
            <w:r>
              <w:rPr>
                <w:b/>
                <w:color w:val="000000" w:themeColor="text1"/>
                <w:sz w:val="21"/>
                <w:szCs w:val="21"/>
                <w:highlight w:val="none"/>
                <w:vertAlign w:val="subscript"/>
              </w:rPr>
              <w:t>10</w:t>
            </w:r>
            <w:r>
              <w:rPr>
                <w:b/>
                <w:color w:val="000000" w:themeColor="text1"/>
                <w:sz w:val="21"/>
                <w:szCs w:val="21"/>
                <w:highlight w:val="none"/>
              </w:rPr>
              <w:t>、NO</w:t>
            </w:r>
            <w:r>
              <w:rPr>
                <w:b/>
                <w:color w:val="000000" w:themeColor="text1"/>
                <w:sz w:val="21"/>
                <w:szCs w:val="21"/>
                <w:highlight w:val="none"/>
                <w:vertAlign w:val="subscript"/>
              </w:rPr>
              <w:t>2</w:t>
            </w:r>
            <w:r>
              <w:rPr>
                <w:b/>
                <w:color w:val="000000" w:themeColor="text1"/>
                <w:sz w:val="21"/>
                <w:szCs w:val="21"/>
                <w:highlight w:val="none"/>
              </w:rPr>
              <w:t>、SO</w:t>
            </w:r>
            <w:r>
              <w:rPr>
                <w:b/>
                <w:color w:val="000000" w:themeColor="text1"/>
                <w:sz w:val="21"/>
                <w:szCs w:val="21"/>
                <w:highlight w:val="none"/>
                <w:vertAlign w:val="subscript"/>
              </w:rPr>
              <w:t>2</w:t>
            </w:r>
            <w:r>
              <w:rPr>
                <w:b/>
                <w:color w:val="000000" w:themeColor="text1"/>
                <w:sz w:val="21"/>
                <w:szCs w:val="21"/>
                <w:highlight w:val="none"/>
              </w:rPr>
              <w:t>、O</w:t>
            </w:r>
            <w:r>
              <w:rPr>
                <w:b/>
                <w:color w:val="000000" w:themeColor="text1"/>
                <w:sz w:val="21"/>
                <w:szCs w:val="21"/>
                <w:highlight w:val="none"/>
                <w:vertAlign w:val="subscript"/>
              </w:rPr>
              <w:t>3</w:t>
            </w:r>
            <w:r>
              <w:rPr>
                <w:b/>
                <w:color w:val="000000" w:themeColor="text1"/>
                <w:sz w:val="21"/>
                <w:szCs w:val="21"/>
                <w:highlight w:val="none"/>
              </w:rPr>
              <w:t>的浓度单位是μg/m</w:t>
            </w:r>
            <w:r>
              <w:rPr>
                <w:b/>
                <w:color w:val="000000" w:themeColor="text1"/>
                <w:sz w:val="21"/>
                <w:szCs w:val="21"/>
                <w:highlight w:val="none"/>
                <w:vertAlign w:val="superscript"/>
              </w:rPr>
              <w:t>3</w:t>
            </w:r>
            <w:r>
              <w:rPr>
                <w:b/>
                <w:color w:val="000000" w:themeColor="text1"/>
                <w:sz w:val="21"/>
                <w:szCs w:val="21"/>
                <w:highlight w:val="none"/>
              </w:rPr>
              <w:t>；2.CO为24小时平均第95百分位数，O</w:t>
            </w:r>
            <w:r>
              <w:rPr>
                <w:b/>
                <w:color w:val="000000" w:themeColor="text1"/>
                <w:sz w:val="21"/>
                <w:szCs w:val="21"/>
                <w:highlight w:val="none"/>
                <w:vertAlign w:val="subscript"/>
              </w:rPr>
              <w:t>3</w:t>
            </w:r>
            <w:r>
              <w:rPr>
                <w:b/>
                <w:color w:val="000000" w:themeColor="text1"/>
                <w:sz w:val="21"/>
                <w:szCs w:val="21"/>
                <w:highlight w:val="none"/>
              </w:rPr>
              <w:t>为日最大8小时平均第90百分位数。</w:t>
            </w:r>
          </w:p>
          <w:p>
            <w:pPr>
              <w:ind w:firstLine="440"/>
              <w:rPr>
                <w:color w:val="000000" w:themeColor="text1"/>
                <w:highlight w:val="none"/>
              </w:rPr>
            </w:pPr>
            <w:r>
              <w:rPr>
                <w:rFonts w:hint="eastAsia"/>
                <w:bCs/>
                <w:color w:val="000000" w:themeColor="text1"/>
                <w:spacing w:val="-10"/>
                <w:highlight w:val="none"/>
              </w:rPr>
              <w:t>区域环境空气质量现状评价表见下表：</w:t>
            </w:r>
          </w:p>
          <w:p>
            <w:pPr>
              <w:numPr>
                <w:ilvl w:val="0"/>
                <w:numId w:val="4"/>
              </w:numPr>
              <w:ind w:firstLineChars="0"/>
              <w:jc w:val="center"/>
              <w:rPr>
                <w:b/>
                <w:bCs/>
                <w:color w:val="000000" w:themeColor="text1"/>
                <w:sz w:val="21"/>
                <w:szCs w:val="21"/>
                <w:highlight w:val="none"/>
              </w:rPr>
            </w:pPr>
            <w:r>
              <w:rPr>
                <w:b/>
                <w:bCs/>
                <w:color w:val="000000" w:themeColor="text1"/>
                <w:sz w:val="21"/>
                <w:szCs w:val="21"/>
                <w:highlight w:val="none"/>
              </w:rPr>
              <w:t>20</w:t>
            </w:r>
            <w:r>
              <w:rPr>
                <w:rFonts w:hint="eastAsia"/>
                <w:b/>
                <w:bCs/>
                <w:color w:val="000000" w:themeColor="text1"/>
                <w:sz w:val="21"/>
                <w:szCs w:val="21"/>
                <w:highlight w:val="none"/>
              </w:rPr>
              <w:t>22</w:t>
            </w:r>
            <w:r>
              <w:rPr>
                <w:b/>
                <w:bCs/>
                <w:color w:val="000000" w:themeColor="text1"/>
                <w:sz w:val="21"/>
                <w:szCs w:val="21"/>
                <w:highlight w:val="none"/>
              </w:rPr>
              <w:t>年区域环境空气质量现状评价表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004"/>
              <w:gridCol w:w="1006"/>
              <w:gridCol w:w="1006"/>
              <w:gridCol w:w="1100"/>
              <w:gridCol w:w="1262"/>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0"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环境空气质量综合指数</w:t>
                  </w:r>
                </w:p>
              </w:tc>
              <w:tc>
                <w:tcPr>
                  <w:tcW w:w="603"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PM</w:t>
                  </w:r>
                  <w:r>
                    <w:rPr>
                      <w:b/>
                      <w:bCs/>
                      <w:color w:val="000000" w:themeColor="text1"/>
                      <w:sz w:val="21"/>
                      <w:szCs w:val="21"/>
                      <w:highlight w:val="none"/>
                      <w:vertAlign w:val="subscript"/>
                    </w:rPr>
                    <w:t>2.5</w:t>
                  </w:r>
                </w:p>
              </w:tc>
              <w:tc>
                <w:tcPr>
                  <w:tcW w:w="604"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PM</w:t>
                  </w:r>
                  <w:r>
                    <w:rPr>
                      <w:b/>
                      <w:bCs/>
                      <w:color w:val="000000" w:themeColor="text1"/>
                      <w:sz w:val="21"/>
                      <w:szCs w:val="21"/>
                      <w:highlight w:val="none"/>
                      <w:vertAlign w:val="subscript"/>
                    </w:rPr>
                    <w:t>10</w:t>
                  </w:r>
                </w:p>
              </w:tc>
              <w:tc>
                <w:tcPr>
                  <w:tcW w:w="604"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SO</w:t>
                  </w:r>
                  <w:r>
                    <w:rPr>
                      <w:b/>
                      <w:bCs/>
                      <w:color w:val="000000" w:themeColor="text1"/>
                      <w:sz w:val="21"/>
                      <w:szCs w:val="21"/>
                      <w:highlight w:val="none"/>
                      <w:vertAlign w:val="subscript"/>
                    </w:rPr>
                    <w:t>2</w:t>
                  </w:r>
                </w:p>
              </w:tc>
              <w:tc>
                <w:tcPr>
                  <w:tcW w:w="660"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CO</w:t>
                  </w:r>
                </w:p>
              </w:tc>
              <w:tc>
                <w:tcPr>
                  <w:tcW w:w="757"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O</w:t>
                  </w:r>
                  <w:r>
                    <w:rPr>
                      <w:b/>
                      <w:bCs/>
                      <w:color w:val="000000" w:themeColor="text1"/>
                      <w:sz w:val="21"/>
                      <w:szCs w:val="21"/>
                      <w:highlight w:val="none"/>
                      <w:vertAlign w:val="subscript"/>
                    </w:rPr>
                    <w:t>3</w:t>
                  </w:r>
                </w:p>
              </w:tc>
              <w:tc>
                <w:tcPr>
                  <w:tcW w:w="758" w:type="pc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NO</w:t>
                  </w:r>
                  <w:r>
                    <w:rPr>
                      <w:b/>
                      <w:bCs/>
                      <w:color w:val="000000" w:themeColor="text1"/>
                      <w:sz w:val="21"/>
                      <w:szCs w:val="21"/>
                      <w:highlight w:val="none"/>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vAlign w:val="center"/>
                </w:tcPr>
                <w:p>
                  <w:pPr>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现状浓度</w:t>
                  </w:r>
                </w:p>
              </w:tc>
              <w:tc>
                <w:tcPr>
                  <w:tcW w:w="1004" w:type="dxa"/>
                  <w:vAlign w:val="center"/>
                </w:tcPr>
                <w:p>
                  <w:pPr>
                    <w:spacing w:line="240" w:lineRule="auto"/>
                    <w:ind w:firstLine="0" w:firstLineChars="0"/>
                    <w:jc w:val="center"/>
                    <w:textAlignment w:val="baseline"/>
                    <w:rPr>
                      <w:color w:val="000000" w:themeColor="text1"/>
                      <w:sz w:val="21"/>
                      <w:szCs w:val="21"/>
                      <w:highlight w:val="none"/>
                    </w:rPr>
                  </w:pPr>
                  <w:r>
                    <w:rPr>
                      <w:rFonts w:hint="eastAsia"/>
                      <w:color w:val="000000" w:themeColor="text1"/>
                      <w:sz w:val="21"/>
                      <w:szCs w:val="21"/>
                      <w:highlight w:val="none"/>
                    </w:rPr>
                    <w:t>22</w:t>
                  </w:r>
                </w:p>
              </w:tc>
              <w:tc>
                <w:tcPr>
                  <w:tcW w:w="1006"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48</w:t>
                  </w:r>
                </w:p>
              </w:tc>
              <w:tc>
                <w:tcPr>
                  <w:tcW w:w="1006"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7</w:t>
                  </w:r>
                </w:p>
              </w:tc>
              <w:tc>
                <w:tcPr>
                  <w:tcW w:w="1100" w:type="dxa"/>
                  <w:vAlign w:val="center"/>
                </w:tcPr>
                <w:p>
                  <w:pPr>
                    <w:spacing w:line="240" w:lineRule="auto"/>
                    <w:ind w:firstLine="0" w:firstLineChars="0"/>
                    <w:jc w:val="center"/>
                    <w:textAlignment w:val="baseline"/>
                    <w:rPr>
                      <w:color w:val="000000" w:themeColor="text1"/>
                      <w:sz w:val="21"/>
                      <w:szCs w:val="21"/>
                      <w:highlight w:val="none"/>
                    </w:rPr>
                  </w:pPr>
                  <w:r>
                    <w:rPr>
                      <w:color w:val="000000" w:themeColor="text1"/>
                      <w:sz w:val="21"/>
                      <w:szCs w:val="21"/>
                      <w:highlight w:val="none"/>
                    </w:rPr>
                    <w:t>1</w:t>
                  </w:r>
                </w:p>
              </w:tc>
              <w:tc>
                <w:tcPr>
                  <w:tcW w:w="1262" w:type="dxa"/>
                  <w:vAlign w:val="center"/>
                </w:tcPr>
                <w:p>
                  <w:pPr>
                    <w:spacing w:line="240" w:lineRule="auto"/>
                    <w:ind w:firstLine="0" w:firstLineChars="0"/>
                    <w:jc w:val="center"/>
                    <w:textAlignment w:val="baseline"/>
                    <w:rPr>
                      <w:color w:val="000000" w:themeColor="text1"/>
                      <w:sz w:val="21"/>
                      <w:szCs w:val="21"/>
                      <w:highlight w:val="none"/>
                    </w:rPr>
                  </w:pPr>
                  <w:r>
                    <w:rPr>
                      <w:rFonts w:hint="eastAsia"/>
                      <w:color w:val="000000" w:themeColor="text1"/>
                      <w:sz w:val="21"/>
                      <w:szCs w:val="21"/>
                      <w:highlight w:val="none"/>
                    </w:rPr>
                    <w:t>169</w:t>
                  </w:r>
                </w:p>
              </w:tc>
              <w:tc>
                <w:tcPr>
                  <w:tcW w:w="1264" w:type="dxa"/>
                  <w:vAlign w:val="center"/>
                </w:tcPr>
                <w:p>
                  <w:pPr>
                    <w:spacing w:line="240" w:lineRule="auto"/>
                    <w:ind w:firstLine="0" w:firstLineChars="0"/>
                    <w:jc w:val="center"/>
                    <w:textAlignment w:val="baseline"/>
                    <w:rPr>
                      <w:color w:val="000000" w:themeColor="text1"/>
                      <w:sz w:val="21"/>
                      <w:szCs w:val="21"/>
                      <w:highlight w:val="none"/>
                    </w:rPr>
                  </w:pPr>
                  <w:r>
                    <w:rPr>
                      <w:rFonts w:hint="eastAsia"/>
                      <w:color w:val="000000" w:themeColor="text1"/>
                      <w:sz w:val="21"/>
                      <w:szCs w:val="21"/>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vAlign w:val="center"/>
                </w:tcPr>
                <w:p>
                  <w:pPr>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标准值</w:t>
                  </w:r>
                </w:p>
              </w:tc>
              <w:tc>
                <w:tcPr>
                  <w:tcW w:w="603" w:type="pct"/>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35</w:t>
                  </w:r>
                </w:p>
              </w:tc>
              <w:tc>
                <w:tcPr>
                  <w:tcW w:w="604" w:type="pct"/>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70</w:t>
                  </w:r>
                </w:p>
              </w:tc>
              <w:tc>
                <w:tcPr>
                  <w:tcW w:w="604" w:type="pct"/>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60</w:t>
                  </w:r>
                </w:p>
              </w:tc>
              <w:tc>
                <w:tcPr>
                  <w:tcW w:w="660" w:type="pct"/>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4.0</w:t>
                  </w:r>
                </w:p>
              </w:tc>
              <w:tc>
                <w:tcPr>
                  <w:tcW w:w="757" w:type="pct"/>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160</w:t>
                  </w:r>
                </w:p>
              </w:tc>
              <w:tc>
                <w:tcPr>
                  <w:tcW w:w="758" w:type="pct"/>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vAlign w:val="center"/>
                </w:tcPr>
                <w:p>
                  <w:pPr>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占标率</w:t>
                  </w:r>
                  <w:r>
                    <w:rPr>
                      <w:rFonts w:hint="eastAsia"/>
                      <w:color w:val="000000" w:themeColor="text1"/>
                      <w:kern w:val="0"/>
                      <w:sz w:val="21"/>
                      <w:szCs w:val="21"/>
                      <w:highlight w:val="none"/>
                    </w:rPr>
                    <w:t>%</w:t>
                  </w:r>
                </w:p>
              </w:tc>
              <w:tc>
                <w:tcPr>
                  <w:tcW w:w="1004" w:type="dxa"/>
                  <w:vAlign w:val="center"/>
                </w:tcPr>
                <w:p>
                  <w:pPr>
                    <w:widowControl/>
                    <w:spacing w:line="240" w:lineRule="auto"/>
                    <w:ind w:firstLine="0" w:firstLineChars="0"/>
                    <w:jc w:val="center"/>
                    <w:textAlignment w:val="center"/>
                    <w:rPr>
                      <w:bCs/>
                      <w:color w:val="000000" w:themeColor="text1"/>
                      <w:kern w:val="0"/>
                      <w:sz w:val="21"/>
                      <w:szCs w:val="21"/>
                      <w:highlight w:val="none"/>
                    </w:rPr>
                  </w:pPr>
                  <w:r>
                    <w:rPr>
                      <w:rFonts w:hint="eastAsia"/>
                      <w:color w:val="000000" w:themeColor="text1"/>
                      <w:kern w:val="0"/>
                      <w:sz w:val="22"/>
                      <w:szCs w:val="22"/>
                      <w:highlight w:val="none"/>
                      <w:lang w:bidi="ar"/>
                    </w:rPr>
                    <w:t>62.86</w:t>
                  </w:r>
                </w:p>
              </w:tc>
              <w:tc>
                <w:tcPr>
                  <w:tcW w:w="1006" w:type="dxa"/>
                  <w:vAlign w:val="center"/>
                </w:tcPr>
                <w:p>
                  <w:pPr>
                    <w:widowControl/>
                    <w:spacing w:line="240" w:lineRule="auto"/>
                    <w:ind w:firstLine="0" w:firstLineChars="0"/>
                    <w:jc w:val="center"/>
                    <w:textAlignment w:val="center"/>
                    <w:rPr>
                      <w:bCs/>
                      <w:color w:val="000000" w:themeColor="text1"/>
                      <w:kern w:val="0"/>
                      <w:sz w:val="21"/>
                      <w:szCs w:val="21"/>
                      <w:highlight w:val="none"/>
                    </w:rPr>
                  </w:pPr>
                  <w:r>
                    <w:rPr>
                      <w:rFonts w:hint="eastAsia"/>
                      <w:color w:val="000000" w:themeColor="text1"/>
                      <w:kern w:val="0"/>
                      <w:sz w:val="22"/>
                      <w:szCs w:val="22"/>
                      <w:highlight w:val="none"/>
                      <w:lang w:bidi="ar"/>
                    </w:rPr>
                    <w:t>68.57</w:t>
                  </w:r>
                </w:p>
              </w:tc>
              <w:tc>
                <w:tcPr>
                  <w:tcW w:w="1006" w:type="dxa"/>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2"/>
                      <w:szCs w:val="22"/>
                      <w:highlight w:val="none"/>
                      <w:lang w:bidi="ar"/>
                    </w:rPr>
                    <w:t>11.67</w:t>
                  </w:r>
                </w:p>
              </w:tc>
              <w:tc>
                <w:tcPr>
                  <w:tcW w:w="1100" w:type="dxa"/>
                  <w:vAlign w:val="center"/>
                </w:tcPr>
                <w:p>
                  <w:pPr>
                    <w:widowControl/>
                    <w:spacing w:line="240" w:lineRule="auto"/>
                    <w:ind w:firstLine="0" w:firstLineChars="0"/>
                    <w:jc w:val="center"/>
                    <w:textAlignment w:val="center"/>
                    <w:rPr>
                      <w:bCs/>
                      <w:color w:val="000000" w:themeColor="text1"/>
                      <w:kern w:val="0"/>
                      <w:sz w:val="21"/>
                      <w:szCs w:val="21"/>
                      <w:highlight w:val="none"/>
                    </w:rPr>
                  </w:pPr>
                  <w:r>
                    <w:rPr>
                      <w:rFonts w:hint="eastAsia"/>
                      <w:color w:val="000000" w:themeColor="text1"/>
                      <w:kern w:val="0"/>
                      <w:sz w:val="22"/>
                      <w:szCs w:val="22"/>
                      <w:highlight w:val="none"/>
                      <w:lang w:bidi="ar"/>
                    </w:rPr>
                    <w:t>25.00</w:t>
                  </w:r>
                </w:p>
              </w:tc>
              <w:tc>
                <w:tcPr>
                  <w:tcW w:w="1262" w:type="dxa"/>
                  <w:vAlign w:val="center"/>
                </w:tcPr>
                <w:p>
                  <w:pPr>
                    <w:widowControl/>
                    <w:spacing w:line="240" w:lineRule="auto"/>
                    <w:ind w:firstLine="0" w:firstLineChars="0"/>
                    <w:jc w:val="center"/>
                    <w:textAlignment w:val="center"/>
                    <w:rPr>
                      <w:bCs/>
                      <w:color w:val="000000" w:themeColor="text1"/>
                      <w:kern w:val="0"/>
                      <w:sz w:val="21"/>
                      <w:szCs w:val="21"/>
                      <w:highlight w:val="none"/>
                    </w:rPr>
                  </w:pPr>
                  <w:r>
                    <w:rPr>
                      <w:rFonts w:hint="eastAsia"/>
                      <w:color w:val="000000" w:themeColor="text1"/>
                      <w:kern w:val="0"/>
                      <w:sz w:val="22"/>
                      <w:szCs w:val="22"/>
                      <w:highlight w:val="none"/>
                      <w:lang w:bidi="ar"/>
                    </w:rPr>
                    <w:t>105.63</w:t>
                  </w:r>
                </w:p>
              </w:tc>
              <w:tc>
                <w:tcPr>
                  <w:tcW w:w="1264" w:type="dxa"/>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kern w:val="0"/>
                      <w:sz w:val="22"/>
                      <w:szCs w:val="22"/>
                      <w:highlight w:val="none"/>
                      <w:lang w:bidi="ar"/>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vAlign w:val="center"/>
                </w:tcPr>
                <w:p>
                  <w:pPr>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达标情况</w:t>
                  </w:r>
                </w:p>
              </w:tc>
              <w:tc>
                <w:tcPr>
                  <w:tcW w:w="1004" w:type="dxa"/>
                  <w:vAlign w:val="center"/>
                </w:tcPr>
                <w:p>
                  <w:pPr>
                    <w:widowControl/>
                    <w:spacing w:line="240" w:lineRule="auto"/>
                    <w:ind w:firstLine="0" w:firstLineChars="0"/>
                    <w:jc w:val="center"/>
                    <w:rPr>
                      <w:bCs/>
                      <w:color w:val="000000" w:themeColor="text1"/>
                      <w:kern w:val="0"/>
                      <w:sz w:val="21"/>
                      <w:szCs w:val="21"/>
                      <w:highlight w:val="none"/>
                    </w:rPr>
                  </w:pPr>
                  <w:r>
                    <w:rPr>
                      <w:color w:val="000000" w:themeColor="text1"/>
                      <w:kern w:val="0"/>
                      <w:sz w:val="21"/>
                      <w:szCs w:val="21"/>
                      <w:highlight w:val="none"/>
                    </w:rPr>
                    <w:t>达标</w:t>
                  </w:r>
                </w:p>
              </w:tc>
              <w:tc>
                <w:tcPr>
                  <w:tcW w:w="1006" w:type="dxa"/>
                  <w:vAlign w:val="center"/>
                </w:tcPr>
                <w:p>
                  <w:pPr>
                    <w:widowControl/>
                    <w:spacing w:line="240" w:lineRule="auto"/>
                    <w:ind w:firstLine="0" w:firstLineChars="0"/>
                    <w:jc w:val="center"/>
                    <w:rPr>
                      <w:bCs/>
                      <w:color w:val="000000" w:themeColor="text1"/>
                      <w:kern w:val="0"/>
                      <w:sz w:val="21"/>
                      <w:szCs w:val="21"/>
                      <w:highlight w:val="none"/>
                    </w:rPr>
                  </w:pPr>
                  <w:r>
                    <w:rPr>
                      <w:color w:val="000000" w:themeColor="text1"/>
                      <w:kern w:val="0"/>
                      <w:sz w:val="21"/>
                      <w:szCs w:val="21"/>
                      <w:highlight w:val="none"/>
                    </w:rPr>
                    <w:t>达标</w:t>
                  </w:r>
                </w:p>
              </w:tc>
              <w:tc>
                <w:tcPr>
                  <w:tcW w:w="1006" w:type="dxa"/>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达标</w:t>
                  </w:r>
                </w:p>
              </w:tc>
              <w:tc>
                <w:tcPr>
                  <w:tcW w:w="1100" w:type="dxa"/>
                  <w:vAlign w:val="center"/>
                </w:tcPr>
                <w:p>
                  <w:pPr>
                    <w:widowControl/>
                    <w:spacing w:line="240" w:lineRule="auto"/>
                    <w:ind w:firstLine="0" w:firstLineChars="0"/>
                    <w:jc w:val="center"/>
                    <w:rPr>
                      <w:bCs/>
                      <w:color w:val="000000" w:themeColor="text1"/>
                      <w:kern w:val="0"/>
                      <w:sz w:val="21"/>
                      <w:szCs w:val="21"/>
                      <w:highlight w:val="none"/>
                    </w:rPr>
                  </w:pPr>
                  <w:r>
                    <w:rPr>
                      <w:color w:val="000000" w:themeColor="text1"/>
                      <w:kern w:val="0"/>
                      <w:sz w:val="21"/>
                      <w:szCs w:val="21"/>
                      <w:highlight w:val="none"/>
                    </w:rPr>
                    <w:t>达标</w:t>
                  </w:r>
                </w:p>
              </w:tc>
              <w:tc>
                <w:tcPr>
                  <w:tcW w:w="1262" w:type="dxa"/>
                  <w:vAlign w:val="center"/>
                </w:tcPr>
                <w:p>
                  <w:pPr>
                    <w:widowControl/>
                    <w:spacing w:line="240" w:lineRule="auto"/>
                    <w:ind w:firstLine="0" w:firstLineChars="0"/>
                    <w:jc w:val="center"/>
                    <w:rPr>
                      <w:bCs/>
                      <w:color w:val="000000" w:themeColor="text1"/>
                      <w:kern w:val="0"/>
                      <w:sz w:val="21"/>
                      <w:szCs w:val="21"/>
                      <w:highlight w:val="none"/>
                    </w:rPr>
                  </w:pPr>
                  <w:r>
                    <w:rPr>
                      <w:rFonts w:hint="eastAsia"/>
                      <w:color w:val="000000" w:themeColor="text1"/>
                      <w:kern w:val="0"/>
                      <w:sz w:val="21"/>
                      <w:szCs w:val="21"/>
                      <w:highlight w:val="none"/>
                    </w:rPr>
                    <w:t>不达标</w:t>
                  </w:r>
                </w:p>
              </w:tc>
              <w:tc>
                <w:tcPr>
                  <w:tcW w:w="1264" w:type="dxa"/>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达标</w:t>
                  </w:r>
                </w:p>
              </w:tc>
            </w:tr>
          </w:tbl>
          <w:p>
            <w:pPr>
              <w:widowControl/>
              <w:ind w:firstLine="480"/>
              <w:jc w:val="left"/>
              <w:rPr>
                <w:color w:val="000000" w:themeColor="text1"/>
                <w:highlight w:val="none"/>
              </w:rPr>
            </w:pPr>
            <w:r>
              <w:rPr>
                <w:color w:val="000000" w:themeColor="text1"/>
                <w:highlight w:val="none"/>
              </w:rPr>
              <w:t>由上表可知，20</w:t>
            </w:r>
            <w:r>
              <w:rPr>
                <w:rFonts w:hint="eastAsia"/>
                <w:color w:val="000000" w:themeColor="text1"/>
                <w:highlight w:val="none"/>
              </w:rPr>
              <w:t>22</w:t>
            </w:r>
            <w:r>
              <w:rPr>
                <w:color w:val="000000" w:themeColor="text1"/>
                <w:highlight w:val="none"/>
              </w:rPr>
              <w:t>年</w:t>
            </w:r>
            <w:r>
              <w:rPr>
                <w:rFonts w:hint="eastAsia"/>
                <w:color w:val="000000" w:themeColor="text1"/>
                <w:highlight w:val="none"/>
              </w:rPr>
              <w:t>兴隆县</w:t>
            </w:r>
            <w:r>
              <w:rPr>
                <w:color w:val="000000" w:themeColor="text1"/>
                <w:szCs w:val="20"/>
                <w:highlight w:val="none"/>
              </w:rPr>
              <w:t>PM</w:t>
            </w:r>
            <w:r>
              <w:rPr>
                <w:color w:val="000000" w:themeColor="text1"/>
                <w:szCs w:val="20"/>
                <w:highlight w:val="none"/>
                <w:vertAlign w:val="subscript"/>
              </w:rPr>
              <w:t>2.5</w:t>
            </w:r>
            <w:r>
              <w:rPr>
                <w:color w:val="000000" w:themeColor="text1"/>
                <w:szCs w:val="20"/>
                <w:highlight w:val="none"/>
              </w:rPr>
              <w:t>、PM</w:t>
            </w:r>
            <w:r>
              <w:rPr>
                <w:color w:val="000000" w:themeColor="text1"/>
                <w:szCs w:val="20"/>
                <w:highlight w:val="none"/>
                <w:vertAlign w:val="subscript"/>
              </w:rPr>
              <w:t>10</w:t>
            </w:r>
            <w:r>
              <w:rPr>
                <w:color w:val="000000" w:themeColor="text1"/>
                <w:szCs w:val="20"/>
                <w:highlight w:val="none"/>
              </w:rPr>
              <w:t>、NO</w:t>
            </w:r>
            <w:r>
              <w:rPr>
                <w:color w:val="000000" w:themeColor="text1"/>
                <w:szCs w:val="20"/>
                <w:highlight w:val="none"/>
                <w:vertAlign w:val="subscript"/>
              </w:rPr>
              <w:t>2</w:t>
            </w:r>
            <w:r>
              <w:rPr>
                <w:color w:val="000000" w:themeColor="text1"/>
                <w:szCs w:val="20"/>
                <w:highlight w:val="none"/>
              </w:rPr>
              <w:t>、SO</w:t>
            </w:r>
            <w:r>
              <w:rPr>
                <w:color w:val="000000" w:themeColor="text1"/>
                <w:szCs w:val="20"/>
                <w:highlight w:val="none"/>
                <w:vertAlign w:val="subscript"/>
              </w:rPr>
              <w:t>2</w:t>
            </w:r>
            <w:r>
              <w:rPr>
                <w:rFonts w:hint="eastAsia"/>
                <w:color w:val="000000" w:themeColor="text1"/>
                <w:szCs w:val="20"/>
                <w:highlight w:val="none"/>
              </w:rPr>
              <w:t>、CO</w:t>
            </w:r>
            <w:r>
              <w:rPr>
                <w:color w:val="000000" w:themeColor="text1"/>
                <w:szCs w:val="20"/>
                <w:highlight w:val="none"/>
              </w:rPr>
              <w:t>环境空气质量</w:t>
            </w:r>
            <w:r>
              <w:rPr>
                <w:color w:val="000000" w:themeColor="text1"/>
                <w:highlight w:val="none"/>
              </w:rPr>
              <w:t>均满足《环境空气质量标准》（GB3095-2012）及其修改单</w:t>
            </w:r>
            <w:r>
              <w:rPr>
                <w:rFonts w:hint="eastAsia"/>
                <w:color w:val="000000" w:themeColor="text1"/>
                <w:highlight w:val="none"/>
              </w:rPr>
              <w:t>的</w:t>
            </w:r>
            <w:r>
              <w:rPr>
                <w:color w:val="000000" w:themeColor="text1"/>
                <w:highlight w:val="none"/>
              </w:rPr>
              <w:t>二级标准</w:t>
            </w:r>
            <w:r>
              <w:rPr>
                <w:rFonts w:hint="eastAsia"/>
                <w:color w:val="000000" w:themeColor="text1"/>
                <w:highlight w:val="none"/>
              </w:rPr>
              <w:t>要求</w:t>
            </w:r>
            <w:r>
              <w:rPr>
                <w:color w:val="000000" w:themeColor="text1"/>
                <w:highlight w:val="none"/>
              </w:rPr>
              <w:t>，O</w:t>
            </w:r>
            <w:r>
              <w:rPr>
                <w:color w:val="000000" w:themeColor="text1"/>
                <w:highlight w:val="none"/>
                <w:vertAlign w:val="subscript"/>
              </w:rPr>
              <w:t>3</w:t>
            </w:r>
            <w:r>
              <w:rPr>
                <w:rFonts w:hint="eastAsia"/>
                <w:color w:val="000000" w:themeColor="text1"/>
                <w:highlight w:val="none"/>
              </w:rPr>
              <w:t>环境空气质量现状浓度不满足</w:t>
            </w:r>
            <w:r>
              <w:rPr>
                <w:color w:val="000000" w:themeColor="text1"/>
                <w:highlight w:val="none"/>
              </w:rPr>
              <w:t>《环境空气质量标准》（GB3095-2012）及其修改单</w:t>
            </w:r>
            <w:r>
              <w:rPr>
                <w:rFonts w:hint="eastAsia"/>
                <w:color w:val="000000" w:themeColor="text1"/>
                <w:highlight w:val="none"/>
              </w:rPr>
              <w:t>的</w:t>
            </w:r>
            <w:r>
              <w:rPr>
                <w:color w:val="000000" w:themeColor="text1"/>
                <w:highlight w:val="none"/>
              </w:rPr>
              <w:t>二级标准</w:t>
            </w:r>
            <w:r>
              <w:rPr>
                <w:rFonts w:hint="eastAsia"/>
                <w:color w:val="000000" w:themeColor="text1"/>
                <w:highlight w:val="none"/>
              </w:rPr>
              <w:t>要求，超标率为5.63%，</w:t>
            </w:r>
            <w:r>
              <w:rPr>
                <w:color w:val="000000" w:themeColor="text1"/>
                <w:highlight w:val="none"/>
              </w:rPr>
              <w:t>项目所在区域为</w:t>
            </w:r>
            <w:r>
              <w:rPr>
                <w:rFonts w:hint="eastAsia"/>
                <w:color w:val="000000" w:themeColor="text1"/>
                <w:highlight w:val="none"/>
              </w:rPr>
              <w:t>不</w:t>
            </w:r>
            <w:r>
              <w:rPr>
                <w:color w:val="000000" w:themeColor="text1"/>
                <w:highlight w:val="none"/>
              </w:rPr>
              <w:t>达标区</w:t>
            </w:r>
            <w:r>
              <w:rPr>
                <w:rFonts w:hint="eastAsia" w:ascii="宋体" w:hAnsi="宋体" w:cs="宋体"/>
                <w:color w:val="000000" w:themeColor="text1"/>
                <w:kern w:val="0"/>
                <w:highlight w:val="none"/>
                <w:lang w:bidi="ar"/>
              </w:rPr>
              <w:t>。本项目无</w:t>
            </w:r>
            <w:r>
              <w:rPr>
                <w:color w:val="000000" w:themeColor="text1"/>
                <w:highlight w:val="none"/>
              </w:rPr>
              <w:t>O</w:t>
            </w:r>
            <w:r>
              <w:rPr>
                <w:color w:val="000000" w:themeColor="text1"/>
                <w:highlight w:val="none"/>
                <w:vertAlign w:val="subscript"/>
              </w:rPr>
              <w:t>3</w:t>
            </w:r>
            <w:r>
              <w:rPr>
                <w:rFonts w:hint="eastAsia"/>
                <w:color w:val="000000" w:themeColor="text1"/>
                <w:highlight w:val="none"/>
              </w:rPr>
              <w:t>产生，且产生的大气污染物采取措施后均能达标排放，项目的建设对大气环境影响较小。</w:t>
            </w:r>
          </w:p>
          <w:p>
            <w:pPr>
              <w:ind w:firstLine="480"/>
              <w:rPr>
                <w:color w:val="000000" w:themeColor="text1"/>
                <w:highlight w:val="none"/>
              </w:rPr>
            </w:pPr>
            <w:r>
              <w:rPr>
                <w:color w:val="000000" w:themeColor="text1"/>
                <w:highlight w:val="none"/>
              </w:rPr>
              <w:t>（2）</w:t>
            </w:r>
            <w:r>
              <w:rPr>
                <w:color w:val="000000" w:themeColor="text1"/>
                <w:szCs w:val="20"/>
                <w:highlight w:val="none"/>
              </w:rPr>
              <w:t>环境质量现状监测</w:t>
            </w:r>
          </w:p>
          <w:p>
            <w:pPr>
              <w:ind w:firstLine="480"/>
              <w:rPr>
                <w:color w:val="000000" w:themeColor="text1"/>
                <w:highlight w:val="none"/>
              </w:rPr>
            </w:pPr>
            <w:r>
              <w:rPr>
                <w:color w:val="000000" w:themeColor="text1"/>
                <w:highlight w:val="none"/>
              </w:rPr>
              <w:t>为进一步了解项目区环境空气质量</w:t>
            </w:r>
            <w:r>
              <w:rPr>
                <w:rFonts w:hint="eastAsia"/>
                <w:color w:val="000000" w:themeColor="text1"/>
                <w:highlight w:val="none"/>
              </w:rPr>
              <w:t>现状，公司委托河北俊采环境检测技术有限公司对本项目特征因子（</w:t>
            </w:r>
            <w:r>
              <w:rPr>
                <w:color w:val="000000" w:themeColor="text1"/>
                <w:highlight w:val="none"/>
              </w:rPr>
              <w:t>TSP</w:t>
            </w:r>
            <w:r>
              <w:rPr>
                <w:rFonts w:hint="eastAsia"/>
                <w:color w:val="000000" w:themeColor="text1"/>
                <w:highlight w:val="none"/>
              </w:rPr>
              <w:t>、</w:t>
            </w:r>
            <w:r>
              <w:rPr>
                <w:color w:val="000000" w:themeColor="text1"/>
                <w:highlight w:val="none"/>
              </w:rPr>
              <w:t>苯并[α]芘</w:t>
            </w:r>
            <w:r>
              <w:rPr>
                <w:rFonts w:hint="eastAsia"/>
                <w:color w:val="000000" w:themeColor="text1"/>
                <w:highlight w:val="none"/>
              </w:rPr>
              <w:t>、非甲烷总烃）进行了环境空气质量现状监测，并出具《潍坊市成达公路工程有限公司前苇塘村沥青拌合站项目检测报告》（HBJC检字（2023）第388号），监测结果如下</w:t>
            </w:r>
            <w:r>
              <w:rPr>
                <w:color w:val="000000" w:themeColor="text1"/>
                <w:highlight w:val="none"/>
              </w:rPr>
              <w:t>：</w:t>
            </w:r>
          </w:p>
          <w:p>
            <w:pPr>
              <w:ind w:firstLine="480"/>
              <w:rPr>
                <w:color w:val="000000" w:themeColor="text1"/>
                <w:highlight w:val="none"/>
              </w:rPr>
            </w:pPr>
            <w:r>
              <w:rPr>
                <w:color w:val="000000" w:themeColor="text1"/>
                <w:highlight w:val="none"/>
              </w:rPr>
              <w:t>（1）</w:t>
            </w:r>
            <w:r>
              <w:rPr>
                <w:rFonts w:hint="eastAsia"/>
                <w:color w:val="000000" w:themeColor="text1"/>
                <w:highlight w:val="none"/>
              </w:rPr>
              <w:t>监测点位</w:t>
            </w:r>
          </w:p>
          <w:p>
            <w:pPr>
              <w:ind w:firstLine="480"/>
              <w:rPr>
                <w:color w:val="000000" w:themeColor="text1"/>
                <w:highlight w:val="none"/>
              </w:rPr>
            </w:pPr>
            <w:r>
              <w:rPr>
                <w:rFonts w:hint="eastAsia"/>
                <w:color w:val="000000" w:themeColor="text1"/>
                <w:highlight w:val="none"/>
              </w:rPr>
              <w:t>DQ1</w:t>
            </w:r>
            <w:r>
              <w:rPr>
                <w:color w:val="000000" w:themeColor="text1"/>
                <w:highlight w:val="none"/>
              </w:rPr>
              <w:t>#——</w:t>
            </w:r>
            <w:r>
              <w:rPr>
                <w:rFonts w:hint="eastAsia"/>
                <w:color w:val="000000" w:themeColor="text1"/>
                <w:highlight w:val="none"/>
              </w:rPr>
              <w:t>建设项目厂区内</w:t>
            </w:r>
          </w:p>
          <w:p>
            <w:pPr>
              <w:numPr>
                <w:ilvl w:val="0"/>
                <w:numId w:val="5"/>
              </w:numPr>
              <w:ind w:firstLine="480"/>
              <w:rPr>
                <w:color w:val="000000" w:themeColor="text1"/>
                <w:highlight w:val="none"/>
              </w:rPr>
            </w:pPr>
            <w:r>
              <w:rPr>
                <w:color w:val="000000" w:themeColor="text1"/>
                <w:highlight w:val="none"/>
              </w:rPr>
              <w:t>监测因子：</w:t>
            </w:r>
          </w:p>
          <w:p>
            <w:pPr>
              <w:ind w:firstLine="480"/>
              <w:rPr>
                <w:color w:val="000000" w:themeColor="text1"/>
                <w:highlight w:val="none"/>
              </w:rPr>
            </w:pPr>
            <w:r>
              <w:rPr>
                <w:color w:val="000000" w:themeColor="text1"/>
                <w:highlight w:val="none"/>
              </w:rPr>
              <w:t>TSP</w:t>
            </w:r>
            <w:r>
              <w:rPr>
                <w:rFonts w:hint="eastAsia"/>
                <w:color w:val="000000" w:themeColor="text1"/>
                <w:highlight w:val="none"/>
              </w:rPr>
              <w:t>、</w:t>
            </w:r>
            <w:r>
              <w:rPr>
                <w:color w:val="000000" w:themeColor="text1"/>
                <w:highlight w:val="none"/>
              </w:rPr>
              <w:t>苯并[α]芘</w:t>
            </w:r>
            <w:r>
              <w:rPr>
                <w:rFonts w:hint="eastAsia"/>
                <w:color w:val="000000" w:themeColor="text1"/>
                <w:highlight w:val="none"/>
              </w:rPr>
              <w:t>、非甲烷总烃</w:t>
            </w:r>
          </w:p>
          <w:p>
            <w:pPr>
              <w:ind w:firstLine="480"/>
              <w:rPr>
                <w:color w:val="000000" w:themeColor="text1"/>
                <w:highlight w:val="none"/>
              </w:rPr>
            </w:pPr>
            <w:r>
              <w:rPr>
                <w:color w:val="000000" w:themeColor="text1"/>
                <w:highlight w:val="none"/>
              </w:rPr>
              <w:t>（3）监测时间</w:t>
            </w:r>
          </w:p>
          <w:p>
            <w:pPr>
              <w:ind w:firstLine="480"/>
              <w:rPr>
                <w:color w:val="000000" w:themeColor="text1"/>
                <w:highlight w:val="none"/>
              </w:rPr>
            </w:pPr>
            <w:r>
              <w:rPr>
                <w:snapToGrid w:val="0"/>
                <w:color w:val="000000" w:themeColor="text1"/>
                <w:highlight w:val="none"/>
              </w:rPr>
              <w:t>采样日期为</w:t>
            </w:r>
            <w:r>
              <w:rPr>
                <w:color w:val="000000" w:themeColor="text1"/>
                <w:kern w:val="0"/>
                <w:szCs w:val="21"/>
                <w:highlight w:val="none"/>
              </w:rPr>
              <w:t>20</w:t>
            </w:r>
            <w:r>
              <w:rPr>
                <w:rFonts w:hint="eastAsia"/>
                <w:color w:val="000000" w:themeColor="text1"/>
                <w:kern w:val="0"/>
                <w:szCs w:val="21"/>
                <w:highlight w:val="none"/>
              </w:rPr>
              <w:t>23</w:t>
            </w:r>
            <w:r>
              <w:rPr>
                <w:color w:val="000000" w:themeColor="text1"/>
                <w:kern w:val="0"/>
                <w:szCs w:val="21"/>
                <w:highlight w:val="none"/>
              </w:rPr>
              <w:t>年</w:t>
            </w:r>
            <w:r>
              <w:rPr>
                <w:rFonts w:hint="eastAsia"/>
                <w:color w:val="000000" w:themeColor="text1"/>
                <w:kern w:val="0"/>
                <w:szCs w:val="21"/>
                <w:highlight w:val="none"/>
              </w:rPr>
              <w:t>4</w:t>
            </w:r>
            <w:r>
              <w:rPr>
                <w:color w:val="000000" w:themeColor="text1"/>
                <w:kern w:val="0"/>
                <w:szCs w:val="21"/>
                <w:highlight w:val="none"/>
              </w:rPr>
              <w:t>月</w:t>
            </w:r>
            <w:r>
              <w:rPr>
                <w:rFonts w:hint="eastAsia"/>
                <w:color w:val="000000" w:themeColor="text1"/>
                <w:kern w:val="0"/>
                <w:szCs w:val="21"/>
                <w:highlight w:val="none"/>
              </w:rPr>
              <w:t>26</w:t>
            </w:r>
            <w:r>
              <w:rPr>
                <w:color w:val="000000" w:themeColor="text1"/>
                <w:kern w:val="0"/>
                <w:szCs w:val="21"/>
                <w:highlight w:val="none"/>
              </w:rPr>
              <w:t>日至</w:t>
            </w:r>
            <w:r>
              <w:rPr>
                <w:rFonts w:hint="eastAsia"/>
                <w:color w:val="000000" w:themeColor="text1"/>
                <w:kern w:val="0"/>
                <w:szCs w:val="21"/>
                <w:highlight w:val="none"/>
              </w:rPr>
              <w:t>2023年5</w:t>
            </w:r>
            <w:r>
              <w:rPr>
                <w:color w:val="000000" w:themeColor="text1"/>
                <w:kern w:val="0"/>
                <w:szCs w:val="21"/>
                <w:highlight w:val="none"/>
              </w:rPr>
              <w:t>月</w:t>
            </w:r>
            <w:r>
              <w:rPr>
                <w:rFonts w:hint="eastAsia"/>
                <w:color w:val="000000" w:themeColor="text1"/>
                <w:kern w:val="0"/>
                <w:szCs w:val="21"/>
                <w:highlight w:val="none"/>
              </w:rPr>
              <w:t>3</w:t>
            </w:r>
            <w:r>
              <w:rPr>
                <w:color w:val="000000" w:themeColor="text1"/>
                <w:kern w:val="0"/>
                <w:szCs w:val="21"/>
                <w:highlight w:val="none"/>
              </w:rPr>
              <w:t>日，连续监测7天</w:t>
            </w:r>
            <w:r>
              <w:rPr>
                <w:snapToGrid w:val="0"/>
                <w:color w:val="000000" w:themeColor="text1"/>
                <w:highlight w:val="none"/>
              </w:rPr>
              <w:t>。</w:t>
            </w:r>
          </w:p>
          <w:p>
            <w:pPr>
              <w:spacing w:before="120" w:beforeLines="50"/>
              <w:ind w:firstLine="480"/>
              <w:rPr>
                <w:color w:val="000000" w:themeColor="text1"/>
                <w:highlight w:val="none"/>
              </w:rPr>
            </w:pPr>
            <w:r>
              <w:rPr>
                <w:color w:val="000000" w:themeColor="text1"/>
                <w:highlight w:val="none"/>
              </w:rPr>
              <w:t>（</w:t>
            </w:r>
            <w:r>
              <w:rPr>
                <w:rFonts w:hint="eastAsia"/>
                <w:color w:val="000000" w:themeColor="text1"/>
                <w:highlight w:val="none"/>
              </w:rPr>
              <w:t>4</w:t>
            </w:r>
            <w:r>
              <w:rPr>
                <w:color w:val="000000" w:themeColor="text1"/>
                <w:highlight w:val="none"/>
              </w:rPr>
              <w:t>）</w:t>
            </w:r>
            <w:r>
              <w:rPr>
                <w:rFonts w:hint="eastAsia"/>
                <w:color w:val="000000" w:themeColor="text1"/>
                <w:highlight w:val="none"/>
              </w:rPr>
              <w:t>评</w:t>
            </w:r>
            <w:r>
              <w:rPr>
                <w:color w:val="000000" w:themeColor="text1"/>
                <w:highlight w:val="none"/>
              </w:rPr>
              <w:t>价方法</w:t>
            </w:r>
          </w:p>
          <w:p>
            <w:pPr>
              <w:ind w:firstLine="480"/>
              <w:rPr>
                <w:color w:val="000000" w:themeColor="text1"/>
                <w:highlight w:val="none"/>
              </w:rPr>
            </w:pPr>
            <w:r>
              <w:rPr>
                <w:color w:val="000000" w:themeColor="text1"/>
                <w:highlight w:val="none"/>
              </w:rPr>
              <w:t>采用单因子标准指数法，其计算公式为：</w:t>
            </w:r>
          </w:p>
          <w:p>
            <w:pPr>
              <w:ind w:firstLine="0" w:firstLineChars="0"/>
              <w:jc w:val="center"/>
              <w:rPr>
                <w:color w:val="000000" w:themeColor="text1"/>
                <w:highlight w:val="none"/>
              </w:rPr>
            </w:pPr>
            <w:r>
              <w:rPr>
                <w:color w:val="000000" w:themeColor="text1"/>
                <w:highlight w:val="none"/>
              </w:rPr>
              <w:pict>
                <v:shape id="_x0000_i1029" o:spt="75" type="#_x0000_t75" style="height:28.8pt;width:43.2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dit=&quot;tracked-changes&quot; w:enforcement=&quot;off&quot;/&gt;&lt;w:doNotEmbedSystemFonts/&gt;&lt;w:defaultTabStop w:val=&quot;420&quot;/&gt;&lt;w:drawingGridVerticalSpacing w:val=&quot;156&quot;/&gt;&lt;w:displayHorizontalDrawingGridEvery w:val=&quot;1&quot;/&gt;&lt;w:displayVerticalDrawingGridEvery w:val=&quot;1&quot;/&gt;&lt;w:noLineBreaksAfter w:lang=&quot;ZH-CN&quot; w:val=&quot;([{·‘“〈《「『【〔〖（．［｛￡￥&quot;/&gt;&lt;w:noLineBreaksBefore w:lang=&quot;ZH-CN&quot; w:val=&quot;!),.:;?]}¨·ˇˉ―‖’”…∶、。〃々〉》」』】〕〗！＂＇），．：；？］｀｜｝～￠&quot;/&gt;&lt;w:compat&gt;&lt;w:adjustLineHeightInTable/&gt;&lt;w:ulTrailSpace/&gt;&lt;w:doNotExpandShiftReturn/&gt;&lt;w:balaval=&quot;1&quot;/&gt;&lt;w:noLineBreaksAfter w:lang=&quot;ZH-CN&quot; w:val=&quot;val=&quot;1&quot;/&gt;&lt;w:noLineBreaksAfter w:lang=&quot;ZH-CN&quot; w:val=&quot;val=&quot;1&quot;/&gt;&lt;w:noLineBreaksAfter w:lang=&quot;ZH-CN&quot; w:val=&quot;val=&quot;1&quot;/&gt;&lt;w:noLineBreaksAfter w:lang=&quot;ZH-CN&quot; w:val=&quot;ncl=&quot;1&quot;/&gt;&lt;w:noLineBreaksAfter w:lang=&quot;ZH-CN&quot; w:val=&quot;([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hint=&quot;default&quot;/&gt;&lt;/w:rPr&gt;&lt;/m:ctrlPr&gt;&lt;/m:sSubPr&gt;&lt;m:e&gt;&lt;m:r&gt;&lt;m:rPr&gt;&lt;m:scr m:val=&quot;roman&quot;/&gt;&lt;/m:rPr&gt;&lt;w:rPr&gt;&lt;w:rFonts w:ascii=&quot;Cambria Math&quot; w:h-ansi=&quot;Cambria Math&quot; w:hint=&quot;default&quot;/&gt;&lt;/w:rPr&gt;&lt;m:t&gt;P&lt;/m:t&gt;&lt;/m:r&gt;&lt;m:ctrlPr&gt;&lt;w:rPr&gt;&lt;w:rFonts w:ascii=&quot;Cambria Math&quot; w:h-ansi=&quot;Cambria Math&quot; w:hint=&quot;default&quot;/&gt;&lt;/w:rPr&gt;&lt;/m:ctrlPr&gt;&lt;/m:e&gt;&lt;m:sub&gt;&lt;m:r&gt;&lt;m:rPr&gt;&lt;m:scr m:val=&quot;roman&quot;/&gt;&lt;/m:rPr&gt;&lt;w:rPr&gt;&lt;w:rFonts w:ascii=&quot;Cambria Math&quot; w:h-ansi=&quot;Cambria Math&quot; w:hint=&quot;default&quot;/&gt;&lt;/w:rPr&gt;&lt;m:t&gt;i&lt;/m:t&gt;&lt;/m:r&gt;&lt;m:ctrlPr&gt;&lt;w:rPr&gt;&lt;w:rFonts w:ascii=&quot;Cambria Math&quot; w:h-ansi=&quot;Cambria Math&quot; w:hint=&quot;default&quot;/&gt;&lt;/w:rPr&gt;&lt;/m:ctrlPr&gt;&lt;/m:sub&gt;&lt;/m:sSub&gt;&lt;m:r&gt;&lt;m:rPr&gt;&lt;m:scr m:val=&quot;roman&quot;/&gt;&lt;/m:rPr&gt;&lt;w:rPr&gt;&lt;w:rFonts w:ascii=&quot;Cambria Math&quot; w:h-ansi=&quot;Cambria Math&quot; w:hint=&quot;default&quot;/&gt;&lt;/w:rPr&gt;&lt;m:t&gt;=&lt;/m:t&gt;&lt;/m:r&gt;&lt;m:f&gt;&lt;m:fPr&gt;&lt;m:ctrlPr&gt;&lt;w:rPr&gt;&lt;w:rFonts w:ascii=&quot;Cambria Math&quot; w:h-ansi=&quot;Cambria Math&quot; w:hint=&quot;default&quot;/&gt;&lt;/w:rPr&gt;&lt;/m:ctrlPr&gt;&lt;/m:fPr&gt;&lt;m:num&gt;&lt;m:sSub&gt;&lt;m:sSubPr&gt;&lt;m:ctrlPr&gt;&lt;w:rPr&gt;&lt;w:rFonts w:ascii=&quot;Cambria Math&quot; w:h-ansi=&quot;Cambria Math&quot; w:hint=&quot;default&quot;/&gt;&lt;/w:rPr&gt;&lt;/m:ctrlPr&gt;&lt;/m:sSubPr&gt;&lt;m:e&gt;&lt;m:r&gt;&lt;m:rPr&gt;&lt;m:scr m:val=&quot;roman&quot;/&gt;&lt;/m:rPr&gt;&lt;w:rPr&gt;&lt;w:rFonts w:ascii=&quot;Cambria Math&quot; w:h-ansi=&quot;Cambria Math&quot; w:hint=&quot;default&quot;/&gt;&lt;/w:rPr&gt;&lt;m:t&gt;C&lt;/m:t&gt;&lt;/m:r&gt;&lt;m:ctrlPr&gt;&lt;w:rPr&gt;&lt;w:rFonts w:ascii=&quot;Cambria Math&quot; w:h-ansi=&quot;Cambria Math&quot; w:hint=&quot;default&quot;/&gt;&lt;/w:rPr&gt;&lt;/m:ctrlPr&gt;&lt;/m:e&gt;&lt;m:sub&gt;&lt;m:r&gt;&lt;m:rPr&gt;&lt;m:scr m:val=&quot;roman&quot;/&gt;&lt;/m:rPr&gt;&lt;w:rPr&gt;&lt;w:rFonts w:ascii=&quot;Cambria Math&quot; w:h-ansi=&quot;Cambria Math&quot; w:hint=&quot;default&quot;/&gt;&lt;/w:rPr&gt;&lt;m:t&gt;i&lt;/m:t&gt;&lt;/m:r&gt;&lt;m:ctrlPr&gt;&lt;w:rPr&gt;&lt;w:rFonts w:ascii=&quot;Cambria Math&quot; w:h-ansi=&quot;Cambria Math&quot; w:hint=&quot;default&quot;/&gt;&lt;/w:rPr&gt;&lt;/m:ctrlPr&gt;&lt;/m:sub&gt;&lt;/m:sSub&gt;&lt;m:ctrlPr&gt;&lt;w:rPr&gt;&lt;w:rFonts w:ascii=&quot;Cambria Math&quot; w:h-ansi=&quot;Cambria Math&quot; w:hint=&quot;default&quot;/&gt;&lt;/w:rPr&gt;&lt;/m:ctrlPr&gt;&lt;/m:num&gt;&lt;m:den&gt;&lt;m:sSub&gt;&lt;m:sSubPr&gt;&lt;m:ctrlPr&gt;&lt;w:rPr&gt;&lt;w:rFonts w:ascii=&quot;Cambria Math&quot; w:h-ansi=&quot;Cambria Math&quot; w:hint=&quot;default&quot;/&gt;&lt;/w:rPr&gt;&lt;/m:ctrlPr&gt;&lt;/m:sSubPr&gt;&lt;m:e&gt;&lt;m:r&gt;&lt;m:rPr&gt;&lt;m:scr m:val=&quot;roman&quot;/&gt;&lt;/m:rPr&gt;&lt;w:rPr&gt;&lt;w:rFonts w:ascii=&quot;Cambria Math&quot; w:h-ansi=&quot;Cambria Math&quot; w:hint=&quot;default&quot;/&gt;&lt;/w:rPr&gt;&lt;m:t&gt;C&lt;/m:t&gt;&lt;/m:r&gt;&lt;m:ctrlPr&gt;&lt;w:rPr&gt;&lt;w:rFonts w:ascii=&quot;Cambria Math&quot; w:h-ansi=&quot;Cambria Math&quot; w:hint=&quot;default&quot;/&gt;&lt;/w:rPr&gt;&lt;/m:ctrlPr&gt;&lt;/m:e&gt;&lt;m:sub&gt;&lt;m:r&gt;&lt;m:rPr&gt;&lt;m:scr m:val=&quot;roman&quot;/&gt;&lt;/m:rPr&gt;&lt;w:rPr&gt;&lt;w:rFonts w:ascii=&quot;Cambria Math&quot; w:h-ansi=&quot;Cambria Math&quot; w:hint=&quot;default&quot;/&gt;&lt;/w:rPr&gt;&lt;m:t&gt;0i&lt;/m:t&gt;&lt;/m:r&gt;&lt;m:ctrlPr&gt;&lt;w:rPr&gt;&lt;w:rFonts w:ascii=&quot;Cambria Math&quot; w:h-ansi=&quot;Cambria Math&quot; w:hint=&quot;default&quot;/&gt;&lt;/w:rPr&gt;&lt;/m:ctrlPr&gt;&lt;/m:sub&gt;&lt;/m:sSub&gt;&lt;m:ctrlPr&gt;&lt;w:rPr&gt;&lt;w:rFonts w:ascii=&quot;Cambria Math&quot; w:h-ansi=&quot;Cambria Math&quot; w:hint=&quot;default&quot;/&gt;&lt;/w:rPr&gt;&lt;/m:ctrlPr&gt;&lt;/m:den&gt;&lt;/m:f&gt;&lt;/m:oMath&gt;&lt;/m:oMathPara&gt;&lt;/w:p&gt;&lt;/wx:sect&gt;&lt;/w:body&gt;&lt;/w:wordDocument&gt;">
                  <v:path/>
                  <v:fill on="f" focussize="0,0"/>
                  <v:stroke on="f" joinstyle="miter"/>
                  <v:imagedata r:id="rId20" o:title=""/>
                  <o:lock v:ext="edit" aspectratio="f"/>
                  <w10:wrap type="none"/>
                  <w10:anchorlock/>
                </v:shape>
              </w:pict>
            </w:r>
          </w:p>
          <w:p>
            <w:pPr>
              <w:ind w:firstLine="480"/>
              <w:rPr>
                <w:color w:val="000000" w:themeColor="text1"/>
                <w:highlight w:val="none"/>
              </w:rPr>
            </w:pPr>
            <w:r>
              <w:rPr>
                <w:color w:val="000000" w:themeColor="text1"/>
                <w:highlight w:val="none"/>
              </w:rPr>
              <w:t>式中：Pi——i评价因子的标准指数；</w:t>
            </w:r>
          </w:p>
          <w:p>
            <w:pPr>
              <w:ind w:firstLine="1200" w:firstLineChars="500"/>
              <w:rPr>
                <w:color w:val="000000" w:themeColor="text1"/>
                <w:highlight w:val="none"/>
              </w:rPr>
            </w:pPr>
            <w:r>
              <w:rPr>
                <w:color w:val="000000" w:themeColor="text1"/>
                <w:highlight w:val="none"/>
              </w:rPr>
              <w:t>C</w:t>
            </w:r>
            <w:r>
              <w:rPr>
                <w:color w:val="000000" w:themeColor="text1"/>
                <w:highlight w:val="none"/>
                <w:vertAlign w:val="subscript"/>
              </w:rPr>
              <w:t>i</w:t>
            </w:r>
            <w:r>
              <w:rPr>
                <w:color w:val="000000" w:themeColor="text1"/>
                <w:highlight w:val="none"/>
              </w:rPr>
              <w:t>——i评价因子的监测浓度，mg/m</w:t>
            </w:r>
            <w:r>
              <w:rPr>
                <w:color w:val="000000" w:themeColor="text1"/>
                <w:highlight w:val="none"/>
                <w:vertAlign w:val="superscript"/>
              </w:rPr>
              <w:t>3</w:t>
            </w:r>
            <w:r>
              <w:rPr>
                <w:color w:val="000000" w:themeColor="text1"/>
                <w:highlight w:val="none"/>
              </w:rPr>
              <w:t>；</w:t>
            </w:r>
          </w:p>
          <w:p>
            <w:pPr>
              <w:ind w:firstLine="1200" w:firstLineChars="500"/>
              <w:rPr>
                <w:color w:val="000000" w:themeColor="text1"/>
                <w:highlight w:val="none"/>
              </w:rPr>
            </w:pPr>
            <w:r>
              <w:rPr>
                <w:color w:val="000000" w:themeColor="text1"/>
                <w:highlight w:val="none"/>
              </w:rPr>
              <w:t>C</w:t>
            </w:r>
            <w:r>
              <w:rPr>
                <w:color w:val="000000" w:themeColor="text1"/>
                <w:highlight w:val="none"/>
                <w:vertAlign w:val="subscript"/>
              </w:rPr>
              <w:t>0i</w:t>
            </w:r>
            <w:r>
              <w:rPr>
                <w:color w:val="000000" w:themeColor="text1"/>
                <w:highlight w:val="none"/>
              </w:rPr>
              <w:t>——i评价因子环境质量标准值，mg/m</w:t>
            </w:r>
            <w:r>
              <w:rPr>
                <w:color w:val="000000" w:themeColor="text1"/>
                <w:highlight w:val="none"/>
                <w:vertAlign w:val="superscript"/>
              </w:rPr>
              <w:t>3</w:t>
            </w:r>
            <w:r>
              <w:rPr>
                <w:color w:val="000000" w:themeColor="text1"/>
                <w:highlight w:val="none"/>
              </w:rPr>
              <w:t>。</w:t>
            </w:r>
          </w:p>
          <w:p>
            <w:pPr>
              <w:ind w:firstLine="480"/>
              <w:rPr>
                <w:color w:val="000000" w:themeColor="text1"/>
                <w:highlight w:val="none"/>
              </w:rPr>
            </w:pPr>
            <w:r>
              <w:rPr>
                <w:color w:val="000000" w:themeColor="text1"/>
                <w:highlight w:val="none"/>
              </w:rPr>
              <w:t>评价通过分析最大质量浓度值占相应标准浓度限值的百分比和超标率进行达标情况评价。</w:t>
            </w:r>
          </w:p>
          <w:p>
            <w:pPr>
              <w:ind w:firstLine="480"/>
              <w:rPr>
                <w:color w:val="000000" w:themeColor="text1"/>
                <w:highlight w:val="none"/>
              </w:rPr>
            </w:pPr>
            <w:r>
              <w:rPr>
                <w:rFonts w:hint="eastAsia"/>
                <w:color w:val="000000" w:themeColor="text1"/>
                <w:highlight w:val="none"/>
              </w:rPr>
              <w:t>（5）</w:t>
            </w:r>
            <w:r>
              <w:rPr>
                <w:color w:val="000000" w:themeColor="text1"/>
                <w:highlight w:val="none"/>
              </w:rPr>
              <w:t>监测结果汇总与统计</w:t>
            </w:r>
          </w:p>
          <w:p>
            <w:pPr>
              <w:ind w:firstLine="480"/>
              <w:rPr>
                <w:color w:val="000000" w:themeColor="text1"/>
                <w:highlight w:val="none"/>
              </w:rPr>
            </w:pPr>
            <w:r>
              <w:rPr>
                <w:color w:val="000000" w:themeColor="text1"/>
                <w:highlight w:val="none"/>
              </w:rPr>
              <w:t>大气质量现状评价结果见下表。</w:t>
            </w:r>
          </w:p>
          <w:p>
            <w:pPr>
              <w:numPr>
                <w:ilvl w:val="0"/>
                <w:numId w:val="4"/>
              </w:numPr>
              <w:autoSpaceDE w:val="0"/>
              <w:autoSpaceDN w:val="0"/>
              <w:ind w:left="0" w:firstLine="0" w:firstLineChars="0"/>
              <w:jc w:val="center"/>
              <w:rPr>
                <w:b/>
                <w:bCs/>
                <w:color w:val="000000" w:themeColor="text1"/>
                <w:sz w:val="21"/>
                <w:szCs w:val="21"/>
                <w:highlight w:val="none"/>
              </w:rPr>
            </w:pPr>
            <w:r>
              <w:rPr>
                <w:b/>
                <w:bCs/>
                <w:color w:val="000000" w:themeColor="text1"/>
                <w:sz w:val="21"/>
                <w:szCs w:val="21"/>
                <w:highlight w:val="none"/>
              </w:rPr>
              <w:t>环境空气质量现状监测与统计结果</w:t>
            </w:r>
          </w:p>
          <w:tbl>
            <w:tblPr>
              <w:tblStyle w:val="22"/>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849"/>
              <w:gridCol w:w="1356"/>
              <w:gridCol w:w="1035"/>
              <w:gridCol w:w="885"/>
              <w:gridCol w:w="825"/>
              <w:gridCol w:w="960"/>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729"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b/>
                      <w:color w:val="000000" w:themeColor="text1"/>
                      <w:kern w:val="0"/>
                      <w:sz w:val="21"/>
                      <w:szCs w:val="21"/>
                      <w:highlight w:val="none"/>
                    </w:rPr>
                  </w:pPr>
                  <w:r>
                    <w:rPr>
                      <w:b/>
                      <w:color w:val="000000" w:themeColor="text1"/>
                      <w:kern w:val="0"/>
                      <w:sz w:val="21"/>
                      <w:szCs w:val="21"/>
                      <w:highlight w:val="none"/>
                    </w:rPr>
                    <w:t>监测项目</w:t>
                  </w: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b/>
                      <w:color w:val="000000" w:themeColor="text1"/>
                      <w:kern w:val="0"/>
                      <w:sz w:val="21"/>
                      <w:szCs w:val="21"/>
                      <w:highlight w:val="none"/>
                    </w:rPr>
                  </w:pPr>
                  <w:r>
                    <w:rPr>
                      <w:b/>
                      <w:color w:val="000000" w:themeColor="text1"/>
                      <w:kern w:val="0"/>
                      <w:sz w:val="21"/>
                      <w:szCs w:val="21"/>
                      <w:highlight w:val="none"/>
                    </w:rPr>
                    <w:t>监测日期</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b/>
                      <w:color w:val="000000" w:themeColor="text1"/>
                      <w:kern w:val="0"/>
                      <w:sz w:val="21"/>
                      <w:szCs w:val="21"/>
                      <w:highlight w:val="none"/>
                    </w:rPr>
                  </w:pPr>
                  <w:r>
                    <w:rPr>
                      <w:b/>
                      <w:color w:val="000000" w:themeColor="text1"/>
                      <w:kern w:val="0"/>
                      <w:sz w:val="21"/>
                      <w:szCs w:val="21"/>
                      <w:highlight w:val="none"/>
                    </w:rPr>
                    <w:t>浓度值</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b/>
                      <w:color w:val="000000" w:themeColor="text1"/>
                      <w:kern w:val="0"/>
                      <w:sz w:val="21"/>
                      <w:szCs w:val="21"/>
                      <w:highlight w:val="none"/>
                    </w:rPr>
                  </w:pPr>
                  <w:r>
                    <w:rPr>
                      <w:b/>
                      <w:color w:val="000000" w:themeColor="text1"/>
                      <w:kern w:val="0"/>
                      <w:sz w:val="21"/>
                      <w:szCs w:val="21"/>
                      <w:highlight w:val="none"/>
                    </w:rPr>
                    <w:t>标准值</w:t>
                  </w:r>
                </w:p>
              </w:tc>
              <w:tc>
                <w:tcPr>
                  <w:tcW w:w="82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b/>
                      <w:color w:val="000000" w:themeColor="text1"/>
                      <w:kern w:val="0"/>
                      <w:sz w:val="21"/>
                      <w:szCs w:val="21"/>
                      <w:highlight w:val="none"/>
                    </w:rPr>
                  </w:pPr>
                  <w:r>
                    <w:rPr>
                      <w:b/>
                      <w:color w:val="000000" w:themeColor="text1"/>
                      <w:kern w:val="0"/>
                      <w:sz w:val="21"/>
                      <w:szCs w:val="21"/>
                      <w:highlight w:val="none"/>
                    </w:rPr>
                    <w:t>单位</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b/>
                      <w:color w:val="000000" w:themeColor="text1"/>
                      <w:kern w:val="0"/>
                      <w:sz w:val="21"/>
                      <w:szCs w:val="21"/>
                      <w:highlight w:val="none"/>
                    </w:rPr>
                  </w:pPr>
                  <w:r>
                    <w:rPr>
                      <w:b/>
                      <w:color w:val="000000" w:themeColor="text1"/>
                      <w:kern w:val="0"/>
                      <w:sz w:val="21"/>
                      <w:szCs w:val="21"/>
                      <w:highlight w:val="none"/>
                    </w:rPr>
                    <w:t>超标率</w:t>
                  </w:r>
                </w:p>
                <w:p>
                  <w:pPr>
                    <w:widowControl/>
                    <w:tabs>
                      <w:tab w:val="center" w:pos="4252"/>
                    </w:tabs>
                    <w:spacing w:line="240" w:lineRule="auto"/>
                    <w:ind w:firstLine="0" w:firstLineChars="0"/>
                    <w:jc w:val="center"/>
                    <w:rPr>
                      <w:b/>
                      <w:color w:val="000000" w:themeColor="text1"/>
                      <w:kern w:val="0"/>
                      <w:sz w:val="21"/>
                      <w:szCs w:val="21"/>
                      <w:highlight w:val="none"/>
                    </w:rPr>
                  </w:pPr>
                  <w:r>
                    <w:rPr>
                      <w:b/>
                      <w:color w:val="000000" w:themeColor="text1"/>
                      <w:kern w:val="0"/>
                      <w:sz w:val="21"/>
                      <w:szCs w:val="21"/>
                      <w:highlight w:val="none"/>
                    </w:rPr>
                    <w:t>（%）</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b/>
                      <w:color w:val="000000" w:themeColor="text1"/>
                      <w:kern w:val="0"/>
                      <w:sz w:val="21"/>
                      <w:szCs w:val="21"/>
                      <w:highlight w:val="none"/>
                    </w:rPr>
                  </w:pPr>
                  <w:r>
                    <w:rPr>
                      <w:b/>
                      <w:color w:val="000000" w:themeColor="text1"/>
                      <w:kern w:val="0"/>
                      <w:sz w:val="21"/>
                      <w:szCs w:val="21"/>
                      <w:highlight w:val="none"/>
                    </w:rPr>
                    <w:t>单因子标准指数最大值（%）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restart"/>
                  <w:tcBorders>
                    <w:top w:val="single" w:color="auto" w:sz="4" w:space="0"/>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TSP 24小时平均浓度值</w:t>
                  </w: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2023.04.26-2023.04.27</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212</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300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2023.04.27-2023.04.28</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178</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300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2023.04.28-2023.04.29</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151</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300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2023.04.29-2023.04.30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169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300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2023.04.30-2023.05.01</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188</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300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2023.05.01-2023.05.02</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190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300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2023.05.02-2023.05.03</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175</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300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restart"/>
                  <w:tcBorders>
                    <w:top w:val="single" w:color="auto" w:sz="4" w:space="0"/>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苯并[α]芘24小时平均值</w:t>
                  </w: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2023.04.26-2023.04.27</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r>
                    <w:rPr>
                      <w:rFonts w:hint="eastAsia"/>
                      <w:color w:val="000000" w:themeColor="text1"/>
                      <w:kern w:val="0"/>
                      <w:sz w:val="21"/>
                      <w:szCs w:val="21"/>
                      <w:highlight w:val="none"/>
                    </w:rPr>
                    <w:t>0009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0.0025</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2023.04.27-2023.04.28</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r>
                    <w:rPr>
                      <w:rFonts w:hint="eastAsia"/>
                      <w:color w:val="000000" w:themeColor="text1"/>
                      <w:kern w:val="0"/>
                      <w:sz w:val="21"/>
                      <w:szCs w:val="21"/>
                      <w:highlight w:val="none"/>
                    </w:rPr>
                    <w:t>0009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0.0025</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2023.04.28-2023.04.29</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r>
                    <w:rPr>
                      <w:rFonts w:hint="eastAsia"/>
                      <w:color w:val="000000" w:themeColor="text1"/>
                      <w:kern w:val="0"/>
                      <w:sz w:val="21"/>
                      <w:szCs w:val="21"/>
                      <w:highlight w:val="none"/>
                    </w:rPr>
                    <w:t>0009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0.0025</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2023.04.29-2023.04.30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r>
                    <w:rPr>
                      <w:rFonts w:hint="eastAsia"/>
                      <w:color w:val="000000" w:themeColor="text1"/>
                      <w:kern w:val="0"/>
                      <w:sz w:val="21"/>
                      <w:szCs w:val="21"/>
                      <w:highlight w:val="none"/>
                    </w:rPr>
                    <w:t>0009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0.0025</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2023.04.30-2023.05.01</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r>
                    <w:rPr>
                      <w:rFonts w:hint="eastAsia"/>
                      <w:color w:val="000000" w:themeColor="text1"/>
                      <w:kern w:val="0"/>
                      <w:sz w:val="21"/>
                      <w:szCs w:val="21"/>
                      <w:highlight w:val="none"/>
                    </w:rPr>
                    <w:t>0009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0.0025</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2023.05.01-2023.05.02</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r>
                    <w:rPr>
                      <w:rFonts w:hint="eastAsia"/>
                      <w:color w:val="000000" w:themeColor="text1"/>
                      <w:kern w:val="0"/>
                      <w:sz w:val="21"/>
                      <w:szCs w:val="21"/>
                      <w:highlight w:val="none"/>
                    </w:rPr>
                    <w:t>0009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0.0025</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220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2023.05.02-2023.05.03</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r>
                    <w:rPr>
                      <w:rFonts w:hint="eastAsia"/>
                      <w:color w:val="000000" w:themeColor="text1"/>
                      <w:kern w:val="0"/>
                      <w:sz w:val="21"/>
                      <w:szCs w:val="21"/>
                      <w:highlight w:val="none"/>
                    </w:rPr>
                    <w:t>0009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0.0025</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μg/m</w:t>
                  </w:r>
                  <w:r>
                    <w:rPr>
                      <w:color w:val="000000" w:themeColor="text1"/>
                      <w:kern w:val="0"/>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restart"/>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非甲烷总烃</w:t>
                  </w:r>
                </w:p>
              </w:tc>
              <w:tc>
                <w:tcPr>
                  <w:tcW w:w="849" w:type="dxa"/>
                  <w:vMerge w:val="restart"/>
                  <w:tcBorders>
                    <w:top w:val="single" w:color="auto" w:sz="4" w:space="0"/>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04-26</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w:t>
                  </w:r>
                  <w:r>
                    <w:rPr>
                      <w:rFonts w:hint="eastAsia"/>
                      <w:color w:val="000000" w:themeColor="text1"/>
                      <w:kern w:val="0"/>
                      <w:sz w:val="21"/>
                      <w:szCs w:val="21"/>
                      <w:highlight w:val="none"/>
                    </w:rPr>
                    <w:t>-3</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8:00</w:t>
                  </w:r>
                  <w:r>
                    <w:rPr>
                      <w:rFonts w:hint="eastAsia"/>
                      <w:color w:val="000000" w:themeColor="text1"/>
                      <w:kern w:val="0"/>
                      <w:sz w:val="21"/>
                      <w:szCs w:val="21"/>
                      <w:highlight w:val="none"/>
                    </w:rPr>
                    <w:t>-9</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14:00</w:t>
                  </w:r>
                  <w:r>
                    <w:rPr>
                      <w:rFonts w:hint="eastAsia"/>
                      <w:color w:val="000000" w:themeColor="text1"/>
                      <w:kern w:val="0"/>
                      <w:sz w:val="21"/>
                      <w:szCs w:val="21"/>
                      <w:highlight w:val="none"/>
                    </w:rPr>
                    <w:t>-15</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0.79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20:00</w:t>
                  </w:r>
                  <w:r>
                    <w:rPr>
                      <w:rFonts w:hint="eastAsia"/>
                      <w:color w:val="000000" w:themeColor="text1"/>
                      <w:kern w:val="0"/>
                      <w:sz w:val="21"/>
                      <w:szCs w:val="21"/>
                      <w:highlight w:val="none"/>
                    </w:rPr>
                    <w:t>-21</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0.88</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04-27</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w:t>
                  </w:r>
                  <w:r>
                    <w:rPr>
                      <w:rFonts w:hint="eastAsia"/>
                      <w:color w:val="000000" w:themeColor="text1"/>
                      <w:kern w:val="0"/>
                      <w:sz w:val="21"/>
                      <w:szCs w:val="21"/>
                      <w:highlight w:val="none"/>
                    </w:rPr>
                    <w:t>-3</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0.92</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8:00</w:t>
                  </w:r>
                  <w:r>
                    <w:rPr>
                      <w:rFonts w:hint="eastAsia"/>
                      <w:color w:val="000000" w:themeColor="text1"/>
                      <w:kern w:val="0"/>
                      <w:sz w:val="21"/>
                      <w:szCs w:val="21"/>
                      <w:highlight w:val="none"/>
                    </w:rPr>
                    <w:t>-9</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0.96</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14:00</w:t>
                  </w:r>
                  <w:r>
                    <w:rPr>
                      <w:rFonts w:hint="eastAsia"/>
                      <w:color w:val="000000" w:themeColor="text1"/>
                      <w:kern w:val="0"/>
                      <w:sz w:val="21"/>
                      <w:szCs w:val="21"/>
                      <w:highlight w:val="none"/>
                    </w:rPr>
                    <w:t>-15</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0.82</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20:00</w:t>
                  </w:r>
                  <w:r>
                    <w:rPr>
                      <w:rFonts w:hint="eastAsia"/>
                      <w:color w:val="000000" w:themeColor="text1"/>
                      <w:kern w:val="0"/>
                      <w:sz w:val="21"/>
                      <w:szCs w:val="21"/>
                      <w:highlight w:val="none"/>
                    </w:rPr>
                    <w:t>-21</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0.87</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04-28</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w:t>
                  </w:r>
                  <w:r>
                    <w:rPr>
                      <w:rFonts w:hint="eastAsia"/>
                      <w:color w:val="000000" w:themeColor="text1"/>
                      <w:kern w:val="0"/>
                      <w:sz w:val="21"/>
                      <w:szCs w:val="21"/>
                      <w:highlight w:val="none"/>
                    </w:rPr>
                    <w:t>-3</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0.92</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8:00</w:t>
                  </w:r>
                  <w:r>
                    <w:rPr>
                      <w:rFonts w:hint="eastAsia"/>
                      <w:color w:val="000000" w:themeColor="text1"/>
                      <w:kern w:val="0"/>
                      <w:sz w:val="21"/>
                      <w:szCs w:val="21"/>
                      <w:highlight w:val="none"/>
                    </w:rPr>
                    <w:t>-9</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14:00</w:t>
                  </w:r>
                  <w:r>
                    <w:rPr>
                      <w:rFonts w:hint="eastAsia"/>
                      <w:color w:val="000000" w:themeColor="text1"/>
                      <w:kern w:val="0"/>
                      <w:sz w:val="21"/>
                      <w:szCs w:val="21"/>
                      <w:highlight w:val="none"/>
                    </w:rPr>
                    <w:t>-15</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0.82</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20:00</w:t>
                  </w:r>
                  <w:r>
                    <w:rPr>
                      <w:rFonts w:hint="eastAsia"/>
                      <w:color w:val="000000" w:themeColor="text1"/>
                      <w:kern w:val="0"/>
                      <w:sz w:val="21"/>
                      <w:szCs w:val="21"/>
                      <w:highlight w:val="none"/>
                    </w:rPr>
                    <w:t>-21</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0.88</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04-29</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w:t>
                  </w:r>
                  <w:r>
                    <w:rPr>
                      <w:rFonts w:hint="eastAsia"/>
                      <w:color w:val="000000" w:themeColor="text1"/>
                      <w:kern w:val="0"/>
                      <w:sz w:val="21"/>
                      <w:szCs w:val="21"/>
                      <w:highlight w:val="none"/>
                    </w:rPr>
                    <w:t>-3</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0.95</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8:00</w:t>
                  </w:r>
                  <w:r>
                    <w:rPr>
                      <w:rFonts w:hint="eastAsia"/>
                      <w:color w:val="000000" w:themeColor="text1"/>
                      <w:kern w:val="0"/>
                      <w:sz w:val="21"/>
                      <w:szCs w:val="21"/>
                      <w:highlight w:val="none"/>
                    </w:rPr>
                    <w:t>-9</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0.91</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14:00</w:t>
                  </w:r>
                  <w:r>
                    <w:rPr>
                      <w:rFonts w:hint="eastAsia"/>
                      <w:color w:val="000000" w:themeColor="text1"/>
                      <w:kern w:val="0"/>
                      <w:sz w:val="21"/>
                      <w:szCs w:val="21"/>
                      <w:highlight w:val="none"/>
                    </w:rPr>
                    <w:t>-15</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0.82</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20:00</w:t>
                  </w:r>
                  <w:r>
                    <w:rPr>
                      <w:rFonts w:hint="eastAsia"/>
                      <w:color w:val="000000" w:themeColor="text1"/>
                      <w:kern w:val="0"/>
                      <w:sz w:val="21"/>
                      <w:szCs w:val="21"/>
                      <w:highlight w:val="none"/>
                    </w:rPr>
                    <w:t>-21</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0.93</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04-30</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w:t>
                  </w:r>
                  <w:r>
                    <w:rPr>
                      <w:rFonts w:hint="eastAsia"/>
                      <w:color w:val="000000" w:themeColor="text1"/>
                      <w:kern w:val="0"/>
                      <w:sz w:val="21"/>
                      <w:szCs w:val="21"/>
                      <w:highlight w:val="none"/>
                    </w:rPr>
                    <w:t>-3</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0.88</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8:00</w:t>
                  </w:r>
                  <w:r>
                    <w:rPr>
                      <w:rFonts w:hint="eastAsia"/>
                      <w:color w:val="000000" w:themeColor="text1"/>
                      <w:kern w:val="0"/>
                      <w:sz w:val="21"/>
                      <w:szCs w:val="21"/>
                      <w:highlight w:val="none"/>
                    </w:rPr>
                    <w:t>-9</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0.95</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14:00</w:t>
                  </w:r>
                  <w:r>
                    <w:rPr>
                      <w:rFonts w:hint="eastAsia"/>
                      <w:color w:val="000000" w:themeColor="text1"/>
                      <w:kern w:val="0"/>
                      <w:sz w:val="21"/>
                      <w:szCs w:val="21"/>
                      <w:highlight w:val="none"/>
                    </w:rPr>
                    <w:t>-15</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20:00</w:t>
                  </w:r>
                  <w:r>
                    <w:rPr>
                      <w:rFonts w:hint="eastAsia"/>
                      <w:color w:val="000000" w:themeColor="text1"/>
                      <w:kern w:val="0"/>
                      <w:sz w:val="21"/>
                      <w:szCs w:val="21"/>
                      <w:highlight w:val="none"/>
                    </w:rPr>
                    <w:t>-21</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0.86</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05-01</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w:t>
                  </w:r>
                  <w:r>
                    <w:rPr>
                      <w:rFonts w:hint="eastAsia"/>
                      <w:color w:val="000000" w:themeColor="text1"/>
                      <w:kern w:val="0"/>
                      <w:sz w:val="21"/>
                      <w:szCs w:val="21"/>
                      <w:highlight w:val="none"/>
                    </w:rPr>
                    <w:t>-3</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0.93</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8:00</w:t>
                  </w:r>
                  <w:r>
                    <w:rPr>
                      <w:rFonts w:hint="eastAsia"/>
                      <w:color w:val="000000" w:themeColor="text1"/>
                      <w:kern w:val="0"/>
                      <w:sz w:val="21"/>
                      <w:szCs w:val="21"/>
                      <w:highlight w:val="none"/>
                    </w:rPr>
                    <w:t>-9</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0.90</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14:00</w:t>
                  </w:r>
                  <w:r>
                    <w:rPr>
                      <w:rFonts w:hint="eastAsia"/>
                      <w:color w:val="000000" w:themeColor="text1"/>
                      <w:kern w:val="0"/>
                      <w:sz w:val="21"/>
                      <w:szCs w:val="21"/>
                      <w:highlight w:val="none"/>
                    </w:rPr>
                    <w:t>-15</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0.81</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20:00</w:t>
                  </w:r>
                  <w:r>
                    <w:rPr>
                      <w:rFonts w:hint="eastAsia"/>
                      <w:color w:val="000000" w:themeColor="text1"/>
                      <w:kern w:val="0"/>
                      <w:sz w:val="21"/>
                      <w:szCs w:val="21"/>
                      <w:highlight w:val="none"/>
                    </w:rPr>
                    <w:t>-21</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restart"/>
                  <w:tcBorders>
                    <w:top w:val="single" w:color="auto" w:sz="4" w:space="0"/>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05-02</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w:t>
                  </w:r>
                  <w:r>
                    <w:rPr>
                      <w:rFonts w:hint="eastAsia"/>
                      <w:color w:val="000000" w:themeColor="text1"/>
                      <w:kern w:val="0"/>
                      <w:sz w:val="21"/>
                      <w:szCs w:val="21"/>
                      <w:highlight w:val="none"/>
                    </w:rPr>
                    <w:t>-3</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0.95</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8:00</w:t>
                  </w:r>
                  <w:r>
                    <w:rPr>
                      <w:rFonts w:hint="eastAsia"/>
                      <w:color w:val="000000" w:themeColor="text1"/>
                      <w:kern w:val="0"/>
                      <w:sz w:val="21"/>
                      <w:szCs w:val="21"/>
                      <w:highlight w:val="none"/>
                    </w:rPr>
                    <w:t>-9</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0.83</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14:00</w:t>
                  </w:r>
                  <w:r>
                    <w:rPr>
                      <w:rFonts w:hint="eastAsia"/>
                      <w:color w:val="000000" w:themeColor="text1"/>
                      <w:kern w:val="0"/>
                      <w:sz w:val="21"/>
                      <w:szCs w:val="21"/>
                      <w:highlight w:val="none"/>
                    </w:rPr>
                    <w:t>-15</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0.84</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20:00</w:t>
                  </w:r>
                  <w:r>
                    <w:rPr>
                      <w:rFonts w:hint="eastAsia"/>
                      <w:color w:val="000000" w:themeColor="text1"/>
                      <w:kern w:val="0"/>
                      <w:sz w:val="21"/>
                      <w:szCs w:val="21"/>
                      <w:highlight w:val="none"/>
                    </w:rPr>
                    <w:t>-21</w:t>
                  </w:r>
                  <w:r>
                    <w:rPr>
                      <w:color w:val="000000" w:themeColor="text1"/>
                      <w:kern w:val="0"/>
                      <w:sz w:val="21"/>
                      <w:szCs w:val="21"/>
                      <w:highlight w:val="none"/>
                    </w:rPr>
                    <w:t>:00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0.86</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restart"/>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05-03</w:t>
                  </w: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2:00-3:00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0.89</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8:00-9:00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0.95</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mg/m</w:t>
                  </w:r>
                  <w:r>
                    <w:rPr>
                      <w:bCs/>
                      <w:color w:val="000000" w:themeColor="text1"/>
                      <w:sz w:val="21"/>
                      <w:szCs w:val="21"/>
                      <w:highlight w:val="none"/>
                      <w:vertAlign w:val="superscript"/>
                    </w:rPr>
                    <w:t>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0</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14:00-15:00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9" w:type="dxa"/>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p>
              </w:tc>
              <w:tc>
                <w:tcPr>
                  <w:tcW w:w="849"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color w:val="000000" w:themeColor="text1"/>
                      <w:kern w:val="0"/>
                      <w:sz w:val="21"/>
                      <w:szCs w:val="21"/>
                      <w:highlight w:val="none"/>
                    </w:rPr>
                    <w:t>20:00-21:00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w:t>
                  </w:r>
                </w:p>
              </w:tc>
              <w:tc>
                <w:tcPr>
                  <w:tcW w:w="88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w:t>
                  </w:r>
                </w:p>
              </w:tc>
              <w:tc>
                <w:tcPr>
                  <w:tcW w:w="960" w:type="dxa"/>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w:t>
                  </w:r>
                </w:p>
              </w:tc>
              <w:tc>
                <w:tcPr>
                  <w:tcW w:w="169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kern w:val="0"/>
                      <w:sz w:val="21"/>
                      <w:szCs w:val="21"/>
                      <w:highlight w:val="none"/>
                    </w:rPr>
                    <w:t>/</w:t>
                  </w:r>
                </w:p>
              </w:tc>
            </w:tr>
          </w:tbl>
          <w:p>
            <w:pPr>
              <w:ind w:firstLine="480"/>
              <w:rPr>
                <w:color w:val="000000" w:themeColor="text1"/>
                <w:highlight w:val="none"/>
              </w:rPr>
            </w:pPr>
            <w:r>
              <w:rPr>
                <w:color w:val="000000" w:themeColor="text1"/>
                <w:highlight w:val="none"/>
              </w:rPr>
              <w:t>（</w:t>
            </w:r>
            <w:r>
              <w:rPr>
                <w:rFonts w:hint="eastAsia"/>
                <w:color w:val="000000" w:themeColor="text1"/>
                <w:highlight w:val="none"/>
              </w:rPr>
              <w:t>6</w:t>
            </w:r>
            <w:r>
              <w:rPr>
                <w:color w:val="000000" w:themeColor="text1"/>
                <w:highlight w:val="none"/>
              </w:rPr>
              <w:t>）结果分析</w:t>
            </w:r>
          </w:p>
          <w:p>
            <w:pPr>
              <w:adjustRightInd/>
              <w:ind w:firstLine="480"/>
              <w:rPr>
                <w:color w:val="000000" w:themeColor="text1"/>
                <w:highlight w:val="none"/>
              </w:rPr>
            </w:pPr>
            <w:r>
              <w:rPr>
                <w:color w:val="000000" w:themeColor="text1"/>
                <w:highlight w:val="none"/>
              </w:rPr>
              <w:t>根据上表监测结果，TSP、苯并[α]芘24小时平均浓度</w:t>
            </w:r>
            <w:r>
              <w:rPr>
                <w:rFonts w:hint="eastAsia"/>
                <w:color w:val="000000" w:themeColor="text1"/>
                <w:highlight w:val="none"/>
              </w:rPr>
              <w:t>满足</w:t>
            </w:r>
            <w:r>
              <w:rPr>
                <w:color w:val="000000" w:themeColor="text1"/>
                <w:highlight w:val="none"/>
              </w:rPr>
              <w:t>《环境空气质量标准》（GB3095-2012）表2其他项目二级标准</w:t>
            </w:r>
            <w:r>
              <w:rPr>
                <w:rFonts w:hint="eastAsia"/>
                <w:color w:val="000000" w:themeColor="text1"/>
                <w:highlight w:val="none"/>
              </w:rPr>
              <w:t>限值要求</w:t>
            </w:r>
            <w:r>
              <w:rPr>
                <w:color w:val="000000" w:themeColor="text1"/>
                <w:highlight w:val="none"/>
              </w:rPr>
              <w:t>。</w:t>
            </w:r>
            <w:r>
              <w:rPr>
                <w:rFonts w:hint="eastAsia"/>
                <w:color w:val="000000" w:themeColor="text1"/>
                <w:highlight w:val="none"/>
              </w:rPr>
              <w:t>非甲烷总烃浓度满足《环境空气质量 非甲烷总烃限值》（DB13/1577-2012）二级标准限值要求。</w:t>
            </w:r>
          </w:p>
          <w:p>
            <w:pPr>
              <w:pStyle w:val="4"/>
              <w:spacing w:before="0" w:after="0" w:line="360" w:lineRule="auto"/>
              <w:ind w:firstLine="482"/>
              <w:rPr>
                <w:color w:val="000000" w:themeColor="text1"/>
                <w:sz w:val="24"/>
                <w:szCs w:val="24"/>
                <w:highlight w:val="none"/>
              </w:rPr>
            </w:pPr>
            <w:r>
              <w:rPr>
                <w:color w:val="000000" w:themeColor="text1"/>
                <w:sz w:val="24"/>
                <w:szCs w:val="24"/>
                <w:highlight w:val="none"/>
              </w:rPr>
              <w:t>2、地表水环境</w:t>
            </w:r>
          </w:p>
          <w:p>
            <w:pPr>
              <w:widowControl/>
              <w:ind w:firstLine="480"/>
              <w:rPr>
                <w:color w:val="000000" w:themeColor="text1"/>
                <w:szCs w:val="21"/>
                <w:highlight w:val="none"/>
              </w:rPr>
            </w:pPr>
            <w:r>
              <w:rPr>
                <w:color w:val="000000" w:themeColor="text1"/>
                <w:highlight w:val="none"/>
              </w:rPr>
              <w:t>流经项目区域内的河流为</w:t>
            </w:r>
            <w:r>
              <w:rPr>
                <w:rFonts w:hint="eastAsia"/>
                <w:color w:val="000000" w:themeColor="text1"/>
                <w:highlight w:val="none"/>
              </w:rPr>
              <w:t>清水河，位于</w:t>
            </w:r>
            <w:r>
              <w:rPr>
                <w:color w:val="000000" w:themeColor="text1"/>
                <w:highlight w:val="none"/>
              </w:rPr>
              <w:t>项目</w:t>
            </w:r>
            <w:r>
              <w:rPr>
                <w:rFonts w:hint="eastAsia"/>
                <w:color w:val="000000" w:themeColor="text1"/>
                <w:highlight w:val="none"/>
              </w:rPr>
              <w:t>北侧523m处。</w:t>
            </w:r>
            <w:r>
              <w:rPr>
                <w:color w:val="000000" w:themeColor="text1"/>
                <w:highlight w:val="none"/>
              </w:rPr>
              <w:t>本评价引用《</w:t>
            </w:r>
            <w:r>
              <w:rPr>
                <w:rFonts w:hint="eastAsia"/>
                <w:color w:val="000000" w:themeColor="text1"/>
                <w:highlight w:val="none"/>
              </w:rPr>
              <w:t>2022年承德市生态环境状况公报</w:t>
            </w:r>
            <w:r>
              <w:rPr>
                <w:color w:val="000000" w:themeColor="text1"/>
                <w:highlight w:val="none"/>
              </w:rPr>
              <w:t>》</w:t>
            </w:r>
            <w:r>
              <w:rPr>
                <w:rFonts w:hint="eastAsia"/>
                <w:color w:val="000000" w:themeColor="text1"/>
                <w:highlight w:val="none"/>
              </w:rPr>
              <w:t>中清水河水质状况，2022年清水河</w:t>
            </w:r>
            <w:r>
              <w:rPr>
                <w:color w:val="000000" w:themeColor="text1"/>
                <w:szCs w:val="32"/>
                <w:highlight w:val="none"/>
              </w:rPr>
              <w:t>共布设地表水常规监测</w:t>
            </w:r>
            <w:r>
              <w:rPr>
                <w:rFonts w:hint="eastAsia"/>
                <w:color w:val="000000" w:themeColor="text1"/>
                <w:szCs w:val="32"/>
                <w:highlight w:val="none"/>
              </w:rPr>
              <w:t>断</w:t>
            </w:r>
            <w:r>
              <w:rPr>
                <w:color w:val="000000" w:themeColor="text1"/>
                <w:szCs w:val="32"/>
                <w:highlight w:val="none"/>
              </w:rPr>
              <w:t>面</w:t>
            </w:r>
            <w:r>
              <w:rPr>
                <w:rFonts w:hint="eastAsia"/>
                <w:color w:val="000000" w:themeColor="text1"/>
                <w:szCs w:val="32"/>
                <w:highlight w:val="none"/>
              </w:rPr>
              <w:t>1</w:t>
            </w:r>
            <w:r>
              <w:rPr>
                <w:color w:val="000000" w:themeColor="text1"/>
                <w:szCs w:val="32"/>
                <w:highlight w:val="none"/>
              </w:rPr>
              <w:t>个，</w:t>
            </w:r>
            <w:r>
              <w:rPr>
                <w:rFonts w:hint="eastAsia"/>
                <w:color w:val="000000" w:themeColor="text1"/>
                <w:szCs w:val="32"/>
                <w:highlight w:val="none"/>
              </w:rPr>
              <w:t>为墙子路</w:t>
            </w:r>
            <w:r>
              <w:rPr>
                <w:color w:val="000000" w:themeColor="text1"/>
                <w:szCs w:val="32"/>
                <w:highlight w:val="none"/>
              </w:rPr>
              <w:t>断面</w:t>
            </w:r>
            <w:r>
              <w:rPr>
                <w:rFonts w:hint="eastAsia"/>
                <w:color w:val="000000" w:themeColor="text1"/>
                <w:szCs w:val="32"/>
                <w:highlight w:val="none"/>
              </w:rPr>
              <w:t>，</w:t>
            </w:r>
            <w:r>
              <w:rPr>
                <w:color w:val="000000" w:themeColor="text1"/>
                <w:szCs w:val="32"/>
                <w:highlight w:val="none"/>
              </w:rPr>
              <w:t>202</w:t>
            </w:r>
            <w:r>
              <w:rPr>
                <w:rFonts w:hint="eastAsia"/>
                <w:color w:val="000000" w:themeColor="text1"/>
                <w:szCs w:val="32"/>
                <w:highlight w:val="none"/>
              </w:rPr>
              <w:t>2</w:t>
            </w:r>
            <w:r>
              <w:rPr>
                <w:color w:val="000000" w:themeColor="text1"/>
                <w:szCs w:val="32"/>
                <w:highlight w:val="none"/>
              </w:rPr>
              <w:t>年</w:t>
            </w:r>
            <w:r>
              <w:rPr>
                <w:rFonts w:hint="eastAsia"/>
                <w:color w:val="000000" w:themeColor="text1"/>
                <w:szCs w:val="32"/>
                <w:highlight w:val="none"/>
              </w:rPr>
              <w:t>墙子路</w:t>
            </w:r>
            <w:r>
              <w:rPr>
                <w:color w:val="000000" w:themeColor="text1"/>
                <w:szCs w:val="32"/>
                <w:highlight w:val="none"/>
              </w:rPr>
              <w:t>断面水质</w:t>
            </w:r>
            <w:r>
              <w:rPr>
                <w:rFonts w:hint="eastAsia"/>
                <w:color w:val="000000" w:themeColor="text1"/>
                <w:szCs w:val="32"/>
                <w:highlight w:val="none"/>
              </w:rPr>
              <w:t>达到</w:t>
            </w:r>
            <w:r>
              <w:rPr>
                <w:color w:val="000000" w:themeColor="text1"/>
                <w:szCs w:val="32"/>
                <w:highlight w:val="none"/>
              </w:rPr>
              <w:t>I类</w:t>
            </w:r>
            <w:r>
              <w:rPr>
                <w:rFonts w:hint="eastAsia"/>
                <w:color w:val="000000" w:themeColor="text1"/>
                <w:szCs w:val="32"/>
                <w:highlight w:val="none"/>
              </w:rPr>
              <w:t>水质标准，</w:t>
            </w:r>
            <w:r>
              <w:rPr>
                <w:color w:val="000000" w:themeColor="text1"/>
                <w:szCs w:val="32"/>
                <w:highlight w:val="none"/>
              </w:rPr>
              <w:t>流域总体水质状况为优，与202</w:t>
            </w:r>
            <w:r>
              <w:rPr>
                <w:rFonts w:hint="eastAsia"/>
                <w:color w:val="000000" w:themeColor="text1"/>
                <w:szCs w:val="32"/>
                <w:highlight w:val="none"/>
              </w:rPr>
              <w:t>1</w:t>
            </w:r>
            <w:r>
              <w:rPr>
                <w:color w:val="000000" w:themeColor="text1"/>
                <w:szCs w:val="32"/>
                <w:highlight w:val="none"/>
              </w:rPr>
              <w:t>年相比继续保持优的水质。</w:t>
            </w:r>
            <w:r>
              <w:rPr>
                <w:rFonts w:hint="eastAsia"/>
                <w:color w:val="000000" w:themeColor="text1"/>
                <w:szCs w:val="32"/>
                <w:highlight w:val="none"/>
              </w:rPr>
              <w:t>清水</w:t>
            </w:r>
            <w:r>
              <w:rPr>
                <w:rFonts w:hint="eastAsia"/>
                <w:snapToGrid w:val="0"/>
                <w:color w:val="000000" w:themeColor="text1"/>
                <w:szCs w:val="32"/>
                <w:highlight w:val="none"/>
              </w:rPr>
              <w:t>河监测断面水质状况</w:t>
            </w:r>
            <w:r>
              <w:rPr>
                <w:color w:val="000000" w:themeColor="text1"/>
                <w:szCs w:val="21"/>
                <w:highlight w:val="none"/>
              </w:rPr>
              <w:t>如下：</w:t>
            </w:r>
          </w:p>
          <w:p>
            <w:pPr>
              <w:numPr>
                <w:ilvl w:val="0"/>
                <w:numId w:val="4"/>
              </w:numPr>
              <w:ind w:firstLineChars="0"/>
              <w:jc w:val="center"/>
              <w:rPr>
                <w:b/>
                <w:bCs/>
                <w:color w:val="000000" w:themeColor="text1"/>
                <w:sz w:val="21"/>
                <w:szCs w:val="21"/>
                <w:highlight w:val="none"/>
              </w:rPr>
            </w:pPr>
            <w:r>
              <w:rPr>
                <w:b/>
                <w:color w:val="000000" w:themeColor="text1"/>
                <w:sz w:val="21"/>
                <w:szCs w:val="21"/>
                <w:highlight w:val="none"/>
              </w:rPr>
              <w:t>20</w:t>
            </w:r>
            <w:r>
              <w:rPr>
                <w:rFonts w:hint="eastAsia"/>
                <w:b/>
                <w:color w:val="000000" w:themeColor="text1"/>
                <w:sz w:val="21"/>
                <w:szCs w:val="21"/>
                <w:highlight w:val="none"/>
              </w:rPr>
              <w:t>22</w:t>
            </w:r>
            <w:r>
              <w:rPr>
                <w:b/>
                <w:color w:val="000000" w:themeColor="text1"/>
                <w:sz w:val="21"/>
                <w:szCs w:val="21"/>
                <w:highlight w:val="none"/>
              </w:rPr>
              <w:t>年</w:t>
            </w:r>
            <w:r>
              <w:rPr>
                <w:rFonts w:hint="eastAsia"/>
                <w:b/>
                <w:color w:val="000000" w:themeColor="text1"/>
                <w:sz w:val="21"/>
                <w:szCs w:val="21"/>
                <w:highlight w:val="none"/>
              </w:rPr>
              <w:t>清水</w:t>
            </w:r>
            <w:r>
              <w:rPr>
                <w:b/>
                <w:color w:val="000000" w:themeColor="text1"/>
                <w:sz w:val="21"/>
                <w:szCs w:val="21"/>
                <w:highlight w:val="none"/>
              </w:rPr>
              <w:t>河</w:t>
            </w:r>
            <w:r>
              <w:rPr>
                <w:b/>
                <w:bCs/>
                <w:color w:val="000000" w:themeColor="text1"/>
                <w:sz w:val="21"/>
                <w:szCs w:val="21"/>
                <w:highlight w:val="none"/>
              </w:rPr>
              <w:t>监测断面水质评价结果表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13"/>
              <w:gridCol w:w="914"/>
              <w:gridCol w:w="924"/>
              <w:gridCol w:w="1505"/>
              <w:gridCol w:w="1361"/>
              <w:gridCol w:w="109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2" w:type="pct"/>
                  <w:vMerge w:val="restar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河流名称</w:t>
                  </w:r>
                </w:p>
              </w:tc>
              <w:tc>
                <w:tcPr>
                  <w:tcW w:w="428" w:type="pct"/>
                  <w:vMerge w:val="restart"/>
                  <w:vAlign w:val="center"/>
                </w:tcPr>
                <w:p>
                  <w:pPr>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断面名称</w:t>
                  </w:r>
                </w:p>
              </w:tc>
              <w:tc>
                <w:tcPr>
                  <w:tcW w:w="2826" w:type="pct"/>
                  <w:gridSpan w:val="4"/>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各监测断面水质情况</w:t>
                  </w:r>
                </w:p>
              </w:tc>
              <w:tc>
                <w:tcPr>
                  <w:tcW w:w="660" w:type="pct"/>
                  <w:vMerge w:val="restart"/>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2021年河流</w:t>
                  </w:r>
                  <w:r>
                    <w:rPr>
                      <w:b/>
                      <w:bCs/>
                      <w:color w:val="000000" w:themeColor="text1"/>
                      <w:sz w:val="21"/>
                      <w:szCs w:val="21"/>
                      <w:highlight w:val="none"/>
                    </w:rPr>
                    <w:t>水质状况</w:t>
                  </w:r>
                </w:p>
              </w:tc>
              <w:tc>
                <w:tcPr>
                  <w:tcW w:w="642" w:type="pct"/>
                  <w:vMerge w:val="restart"/>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2022年河流</w:t>
                  </w:r>
                  <w:r>
                    <w:rPr>
                      <w:b/>
                      <w:bCs/>
                      <w:color w:val="000000" w:themeColor="text1"/>
                      <w:sz w:val="21"/>
                      <w:szCs w:val="21"/>
                      <w:highlight w:val="none"/>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2" w:type="pct"/>
                  <w:vMerge w:val="continue"/>
                  <w:vAlign w:val="center"/>
                </w:tcPr>
                <w:p>
                  <w:pPr>
                    <w:spacing w:line="240" w:lineRule="auto"/>
                    <w:ind w:firstLine="0" w:firstLineChars="0"/>
                    <w:jc w:val="center"/>
                    <w:rPr>
                      <w:b/>
                      <w:bCs/>
                      <w:color w:val="000000" w:themeColor="text1"/>
                      <w:sz w:val="21"/>
                      <w:szCs w:val="21"/>
                      <w:highlight w:val="none"/>
                    </w:rPr>
                  </w:pPr>
                </w:p>
              </w:tc>
              <w:tc>
                <w:tcPr>
                  <w:tcW w:w="428" w:type="pct"/>
                  <w:vMerge w:val="continue"/>
                  <w:vAlign w:val="center"/>
                </w:tcPr>
                <w:p>
                  <w:pPr>
                    <w:spacing w:line="240" w:lineRule="auto"/>
                    <w:ind w:firstLine="0" w:firstLineChars="0"/>
                    <w:jc w:val="center"/>
                    <w:rPr>
                      <w:b/>
                      <w:bCs/>
                      <w:color w:val="000000" w:themeColor="text1"/>
                      <w:sz w:val="21"/>
                      <w:szCs w:val="21"/>
                      <w:highlight w:val="none"/>
                    </w:rPr>
                  </w:pPr>
                </w:p>
              </w:tc>
              <w:tc>
                <w:tcPr>
                  <w:tcW w:w="549" w:type="pct"/>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2021年</w:t>
                  </w:r>
                </w:p>
              </w:tc>
              <w:tc>
                <w:tcPr>
                  <w:tcW w:w="555" w:type="pct"/>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2022年</w:t>
                  </w:r>
                </w:p>
              </w:tc>
              <w:tc>
                <w:tcPr>
                  <w:tcW w:w="904" w:type="pct"/>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水质达标情况</w:t>
                  </w:r>
                </w:p>
              </w:tc>
              <w:tc>
                <w:tcPr>
                  <w:tcW w:w="816" w:type="pct"/>
                  <w:vAlign w:val="center"/>
                </w:tcPr>
                <w:p>
                  <w:pPr>
                    <w:spacing w:line="240" w:lineRule="auto"/>
                    <w:ind w:firstLine="0" w:firstLineChars="0"/>
                    <w:jc w:val="center"/>
                    <w:rPr>
                      <w:b/>
                      <w:bCs/>
                      <w:color w:val="000000" w:themeColor="text1"/>
                      <w:sz w:val="21"/>
                      <w:szCs w:val="21"/>
                      <w:highlight w:val="none"/>
                    </w:rPr>
                  </w:pPr>
                  <w:r>
                    <w:rPr>
                      <w:rFonts w:hint="eastAsia"/>
                      <w:b/>
                      <w:bCs/>
                      <w:color w:val="000000" w:themeColor="text1"/>
                      <w:sz w:val="21"/>
                      <w:szCs w:val="21"/>
                      <w:highlight w:val="none"/>
                    </w:rPr>
                    <w:t>主要</w:t>
                  </w:r>
                  <w:r>
                    <w:rPr>
                      <w:b/>
                      <w:bCs/>
                      <w:color w:val="000000" w:themeColor="text1"/>
                      <w:sz w:val="21"/>
                      <w:szCs w:val="21"/>
                      <w:highlight w:val="none"/>
                    </w:rPr>
                    <w:t>污染物</w:t>
                  </w:r>
                </w:p>
              </w:tc>
              <w:tc>
                <w:tcPr>
                  <w:tcW w:w="660" w:type="pct"/>
                  <w:vMerge w:val="continue"/>
                  <w:vAlign w:val="center"/>
                </w:tcPr>
                <w:p>
                  <w:pPr>
                    <w:spacing w:line="240" w:lineRule="auto"/>
                    <w:ind w:firstLine="0" w:firstLineChars="0"/>
                    <w:jc w:val="center"/>
                    <w:rPr>
                      <w:b/>
                      <w:bCs/>
                      <w:color w:val="000000" w:themeColor="text1"/>
                      <w:sz w:val="21"/>
                      <w:szCs w:val="21"/>
                      <w:highlight w:val="none"/>
                    </w:rPr>
                  </w:pPr>
                </w:p>
              </w:tc>
              <w:tc>
                <w:tcPr>
                  <w:tcW w:w="642" w:type="pct"/>
                  <w:vMerge w:val="continue"/>
                  <w:vAlign w:val="center"/>
                </w:tcPr>
                <w:p>
                  <w:pPr>
                    <w:spacing w:line="240" w:lineRule="auto"/>
                    <w:ind w:firstLine="0" w:firstLineChars="0"/>
                    <w:jc w:val="center"/>
                    <w:rPr>
                      <w:b/>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2"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清水</w:t>
                  </w:r>
                  <w:r>
                    <w:rPr>
                      <w:color w:val="000000" w:themeColor="text1"/>
                      <w:sz w:val="21"/>
                      <w:szCs w:val="21"/>
                      <w:highlight w:val="none"/>
                    </w:rPr>
                    <w:t>河</w:t>
                  </w:r>
                </w:p>
              </w:tc>
              <w:tc>
                <w:tcPr>
                  <w:tcW w:w="428"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墙子路</w:t>
                  </w:r>
                </w:p>
              </w:tc>
              <w:tc>
                <w:tcPr>
                  <w:tcW w:w="549"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I</w:t>
                  </w:r>
                </w:p>
              </w:tc>
              <w:tc>
                <w:tcPr>
                  <w:tcW w:w="555"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I</w:t>
                  </w:r>
                </w:p>
              </w:tc>
              <w:tc>
                <w:tcPr>
                  <w:tcW w:w="904"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达标</w:t>
                  </w:r>
                </w:p>
              </w:tc>
              <w:tc>
                <w:tcPr>
                  <w:tcW w:w="816"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w:t>
                  </w:r>
                </w:p>
              </w:tc>
              <w:tc>
                <w:tcPr>
                  <w:tcW w:w="660"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优</w:t>
                  </w:r>
                </w:p>
              </w:tc>
              <w:tc>
                <w:tcPr>
                  <w:tcW w:w="642"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优</w:t>
                  </w:r>
                </w:p>
              </w:tc>
            </w:tr>
          </w:tbl>
          <w:p>
            <w:pPr>
              <w:ind w:firstLine="482"/>
              <w:rPr>
                <w:color w:val="000000" w:themeColor="text1"/>
                <w:highlight w:val="none"/>
              </w:rPr>
            </w:pPr>
            <w:r>
              <w:rPr>
                <w:rFonts w:hint="eastAsia"/>
                <w:b/>
                <w:color w:val="000000" w:themeColor="text1"/>
                <w:highlight w:val="none"/>
              </w:rPr>
              <w:t>3</w:t>
            </w:r>
            <w:r>
              <w:rPr>
                <w:b/>
                <w:color w:val="000000" w:themeColor="text1"/>
                <w:highlight w:val="none"/>
              </w:rPr>
              <w:t>、声环境</w:t>
            </w:r>
          </w:p>
          <w:p>
            <w:pPr>
              <w:ind w:firstLine="480"/>
              <w:rPr>
                <w:b/>
                <w:color w:val="000000" w:themeColor="text1"/>
                <w:highlight w:val="none"/>
              </w:rPr>
            </w:pPr>
            <w:r>
              <w:rPr>
                <w:rFonts w:hint="eastAsia"/>
                <w:color w:val="000000" w:themeColor="text1"/>
                <w:highlight w:val="none"/>
              </w:rPr>
              <w:t>项目厂界外周边50m范围内不存在声环境保护目标，不开展声环境质量现状调查</w:t>
            </w:r>
            <w:r>
              <w:rPr>
                <w:color w:val="000000" w:themeColor="text1"/>
                <w:highlight w:val="none"/>
              </w:rPr>
              <w:t>。</w:t>
            </w:r>
          </w:p>
          <w:p>
            <w:pPr>
              <w:ind w:firstLine="482"/>
              <w:rPr>
                <w:b/>
                <w:bCs/>
                <w:snapToGrid w:val="0"/>
                <w:color w:val="000000" w:themeColor="text1"/>
                <w:kern w:val="0"/>
                <w:highlight w:val="none"/>
              </w:rPr>
            </w:pPr>
            <w:r>
              <w:rPr>
                <w:rFonts w:hint="eastAsia"/>
                <w:b/>
                <w:bCs/>
                <w:snapToGrid w:val="0"/>
                <w:color w:val="000000" w:themeColor="text1"/>
                <w:kern w:val="0"/>
                <w:highlight w:val="none"/>
              </w:rPr>
              <w:t>4</w:t>
            </w:r>
            <w:r>
              <w:rPr>
                <w:b/>
                <w:bCs/>
                <w:snapToGrid w:val="0"/>
                <w:color w:val="000000" w:themeColor="text1"/>
                <w:kern w:val="0"/>
                <w:highlight w:val="none"/>
              </w:rPr>
              <w:t>、生态环境</w:t>
            </w:r>
          </w:p>
          <w:p>
            <w:pPr>
              <w:ind w:firstLine="480"/>
              <w:rPr>
                <w:color w:val="000000" w:themeColor="text1"/>
                <w:kern w:val="44"/>
                <w:highlight w:val="none"/>
              </w:rPr>
            </w:pPr>
            <w:r>
              <w:rPr>
                <w:rFonts w:hint="eastAsia"/>
                <w:color w:val="000000" w:themeColor="text1"/>
                <w:kern w:val="0"/>
                <w:highlight w:val="none"/>
              </w:rPr>
              <w:t>本项目</w:t>
            </w:r>
            <w:r>
              <w:rPr>
                <w:rFonts w:hint="eastAsia"/>
                <w:color w:val="000000" w:themeColor="text1"/>
                <w:kern w:val="0"/>
                <w:highlight w:val="none"/>
                <w:lang w:val="en-US" w:eastAsia="zh-CN"/>
              </w:rPr>
              <w:t>占地范围内无</w:t>
            </w:r>
            <w:r>
              <w:rPr>
                <w:rFonts w:hint="eastAsia"/>
                <w:color w:val="000000" w:themeColor="text1"/>
                <w:kern w:val="0"/>
                <w:highlight w:val="none"/>
              </w:rPr>
              <w:t>生态环境保护目标</w:t>
            </w:r>
            <w:r>
              <w:rPr>
                <w:rFonts w:hint="eastAsia"/>
                <w:color w:val="000000" w:themeColor="text1"/>
                <w:highlight w:val="none"/>
              </w:rPr>
              <w:t>，不开展生态现状调查</w:t>
            </w:r>
            <w:r>
              <w:rPr>
                <w:color w:val="000000" w:themeColor="text1"/>
                <w:kern w:val="44"/>
                <w:highlight w:val="none"/>
              </w:rPr>
              <w:t>。</w:t>
            </w:r>
          </w:p>
          <w:p>
            <w:pPr>
              <w:ind w:firstLine="482"/>
              <w:rPr>
                <w:b/>
                <w:bCs/>
                <w:snapToGrid w:val="0"/>
                <w:color w:val="000000" w:themeColor="text1"/>
                <w:kern w:val="0"/>
                <w:highlight w:val="none"/>
              </w:rPr>
            </w:pPr>
            <w:r>
              <w:rPr>
                <w:rFonts w:hint="eastAsia"/>
                <w:b/>
                <w:bCs/>
                <w:snapToGrid w:val="0"/>
                <w:color w:val="000000" w:themeColor="text1"/>
                <w:kern w:val="0"/>
                <w:highlight w:val="none"/>
              </w:rPr>
              <w:t>5</w:t>
            </w:r>
            <w:r>
              <w:rPr>
                <w:b/>
                <w:bCs/>
                <w:snapToGrid w:val="0"/>
                <w:color w:val="000000" w:themeColor="text1"/>
                <w:kern w:val="0"/>
                <w:highlight w:val="none"/>
              </w:rPr>
              <w:t>、</w:t>
            </w:r>
            <w:r>
              <w:rPr>
                <w:rFonts w:hint="eastAsia"/>
                <w:b/>
                <w:bCs/>
                <w:snapToGrid w:val="0"/>
                <w:color w:val="000000" w:themeColor="text1"/>
                <w:kern w:val="0"/>
                <w:highlight w:val="none"/>
              </w:rPr>
              <w:t>电磁辐射</w:t>
            </w:r>
          </w:p>
          <w:p>
            <w:pPr>
              <w:ind w:firstLine="480"/>
              <w:rPr>
                <w:color w:val="000000" w:themeColor="text1"/>
                <w:highlight w:val="none"/>
              </w:rPr>
            </w:pPr>
            <w:r>
              <w:rPr>
                <w:rFonts w:hint="eastAsia"/>
                <w:color w:val="000000" w:themeColor="text1"/>
                <w:highlight w:val="none"/>
              </w:rPr>
              <w:t>本项目不属于电磁辐射类项目</w:t>
            </w:r>
            <w:r>
              <w:rPr>
                <w:rFonts w:hint="eastAsia"/>
                <w:color w:val="000000" w:themeColor="text1"/>
                <w:highlight w:val="none"/>
                <w:lang w:eastAsia="zh-CN"/>
              </w:rPr>
              <w:t>。</w:t>
            </w:r>
          </w:p>
          <w:p>
            <w:pPr>
              <w:ind w:firstLine="482"/>
              <w:rPr>
                <w:b/>
                <w:bCs/>
                <w:snapToGrid w:val="0"/>
                <w:color w:val="000000" w:themeColor="text1"/>
                <w:kern w:val="0"/>
                <w:highlight w:val="none"/>
              </w:rPr>
            </w:pPr>
            <w:r>
              <w:rPr>
                <w:rFonts w:hint="eastAsia"/>
                <w:b/>
                <w:bCs/>
                <w:snapToGrid w:val="0"/>
                <w:color w:val="000000" w:themeColor="text1"/>
                <w:kern w:val="0"/>
                <w:highlight w:val="none"/>
              </w:rPr>
              <w:t>6、地下水、土壤环境</w:t>
            </w:r>
          </w:p>
          <w:p>
            <w:pPr>
              <w:ind w:firstLine="480"/>
              <w:rPr>
                <w:color w:val="000000" w:themeColor="text1"/>
                <w:kern w:val="0"/>
                <w:highlight w:val="none"/>
              </w:rPr>
            </w:pPr>
            <w:r>
              <w:rPr>
                <w:rFonts w:hint="eastAsia"/>
                <w:color w:val="000000" w:themeColor="text1"/>
                <w:highlight w:val="none"/>
              </w:rPr>
              <w:t>项目不存在地下水环境污染途径，不开展地下水现状调查。</w:t>
            </w:r>
          </w:p>
          <w:p>
            <w:pPr>
              <w:ind w:firstLine="480"/>
              <w:rPr>
                <w:rFonts w:hint="eastAsia"/>
                <w:color w:val="000000" w:themeColor="text1"/>
                <w:kern w:val="0"/>
                <w:highlight w:val="none"/>
              </w:rPr>
            </w:pPr>
            <w:r>
              <w:rPr>
                <w:rFonts w:hint="eastAsia"/>
                <w:color w:val="000000" w:themeColor="text1"/>
                <w:kern w:val="0"/>
                <w:highlight w:val="none"/>
              </w:rPr>
              <w:t>经分析，项目存在大气沉降的土壤环境污染途径，需开展土壤现状调查以作背景值，根据现场调查，厂区基岩裸露，不具备土壤监测条件，厂区现状照片如下。</w:t>
            </w:r>
          </w:p>
          <w:p>
            <w:pPr>
              <w:pStyle w:val="2"/>
              <w:ind w:left="0" w:leftChars="0" w:firstLine="0" w:firstLineChars="0"/>
              <w:jc w:val="both"/>
              <w:rPr>
                <w:rFonts w:hint="eastAsia"/>
                <w:color w:val="000000" w:themeColor="text1"/>
                <w:highlight w:val="none"/>
              </w:rPr>
            </w:pPr>
            <w:r>
              <w:rPr>
                <w:color w:val="000000" w:themeColor="text1"/>
                <w:highlight w:val="none"/>
              </w:rPr>
              <w:pict>
                <v:shape id="_x0000_i1030" o:spt="75" alt="王" type="#_x0000_t75" style="height:232.3pt;width:408.2pt;" filled="f" o:preferrelative="t" stroked="f" coordsize="21600,21600">
                  <v:path/>
                  <v:fill on="f" focussize="0,0"/>
                  <v:stroke on="f" joinstyle="miter"/>
                  <v:imagedata r:id="rId21" o:title="王"/>
                  <o:lock v:ext="edit" aspectratio="t"/>
                  <w10:wrap type="none"/>
                  <w10:anchorlock/>
                </v:shape>
              </w:pict>
            </w:r>
          </w:p>
          <w:p>
            <w:pPr>
              <w:ind w:firstLine="0" w:firstLineChars="0"/>
              <w:jc w:val="center"/>
              <w:rPr>
                <w:b/>
                <w:bCs/>
                <w:color w:val="000000" w:themeColor="text1"/>
                <w:sz w:val="21"/>
                <w:highlight w:val="none"/>
              </w:rPr>
            </w:pPr>
            <w:r>
              <w:rPr>
                <w:rFonts w:hint="eastAsia"/>
                <w:b/>
                <w:bCs/>
                <w:color w:val="000000" w:themeColor="text1"/>
                <w:sz w:val="21"/>
                <w:szCs w:val="21"/>
                <w:highlight w:val="none"/>
              </w:rPr>
              <w:t>图</w:t>
            </w:r>
            <w:r>
              <w:rPr>
                <w:b/>
                <w:bCs/>
                <w:color w:val="000000" w:themeColor="text1"/>
                <w:sz w:val="21"/>
                <w:highlight w:val="none"/>
              </w:rPr>
              <w:t>2-</w:t>
            </w:r>
            <w:r>
              <w:rPr>
                <w:rFonts w:hint="eastAsia"/>
                <w:b/>
                <w:bCs/>
                <w:color w:val="000000" w:themeColor="text1"/>
                <w:sz w:val="21"/>
                <w:highlight w:val="none"/>
              </w:rPr>
              <w:t>4</w:t>
            </w:r>
            <w:r>
              <w:rPr>
                <w:b/>
                <w:bCs/>
                <w:color w:val="000000" w:themeColor="text1"/>
                <w:sz w:val="21"/>
                <w:highlight w:val="none"/>
              </w:rPr>
              <w:t xml:space="preserve">  </w:t>
            </w:r>
            <w:r>
              <w:rPr>
                <w:rFonts w:hint="eastAsia"/>
                <w:b/>
                <w:bCs/>
                <w:color w:val="000000" w:themeColor="text1"/>
                <w:sz w:val="21"/>
                <w:highlight w:val="none"/>
              </w:rPr>
              <w:t>厂区现状图</w:t>
            </w:r>
          </w:p>
          <w:p>
            <w:pPr>
              <w:ind w:firstLine="480"/>
              <w:rPr>
                <w:rStyle w:val="25"/>
                <w:b w:val="0"/>
                <w:color w:val="000000" w:themeColor="text1"/>
                <w:highlight w:val="none"/>
              </w:rPr>
            </w:pPr>
            <w:r>
              <w:rPr>
                <w:rFonts w:hint="eastAsia"/>
                <w:color w:val="000000" w:themeColor="text1"/>
                <w:kern w:val="0"/>
                <w:highlight w:val="none"/>
              </w:rPr>
              <w:t>为了解项目区土壤环境质量，本项目对下风向建设用地及农用地进行现状监测。根据</w:t>
            </w:r>
            <w:r>
              <w:rPr>
                <w:rStyle w:val="25"/>
                <w:b w:val="0"/>
                <w:color w:val="000000" w:themeColor="text1"/>
                <w:highlight w:val="none"/>
              </w:rPr>
              <w:t>预测软件</w:t>
            </w:r>
            <w:r>
              <w:rPr>
                <w:rStyle w:val="25"/>
                <w:rFonts w:hint="eastAsia"/>
                <w:b w:val="0"/>
                <w:color w:val="000000" w:themeColor="text1"/>
                <w:highlight w:val="none"/>
              </w:rPr>
              <w:t>中</w:t>
            </w:r>
            <w:r>
              <w:rPr>
                <w:rStyle w:val="25"/>
                <w:b w:val="0"/>
                <w:color w:val="000000" w:themeColor="text1"/>
                <w:highlight w:val="none"/>
              </w:rPr>
              <w:t>AERSCREEN筛选计算及评价等级模块进行初步预测</w:t>
            </w:r>
            <w:r>
              <w:rPr>
                <w:rStyle w:val="25"/>
                <w:rFonts w:hint="eastAsia"/>
                <w:b w:val="0"/>
                <w:color w:val="000000" w:themeColor="text1"/>
                <w:highlight w:val="none"/>
              </w:rPr>
              <w:t>（详见</w:t>
            </w:r>
            <w:r>
              <w:rPr>
                <w:rFonts w:hint="eastAsia"/>
                <w:color w:val="000000" w:themeColor="text1"/>
                <w:highlight w:val="none"/>
              </w:rPr>
              <w:t>大气</w:t>
            </w:r>
            <w:r>
              <w:rPr>
                <w:rFonts w:hint="eastAsia"/>
                <w:color w:val="000000" w:themeColor="text1"/>
                <w:highlight w:val="none"/>
                <w:lang w:val="en-US" w:eastAsia="zh-CN"/>
              </w:rPr>
              <w:t>环境影响</w:t>
            </w:r>
            <w:r>
              <w:rPr>
                <w:rFonts w:hint="eastAsia"/>
                <w:color w:val="000000" w:themeColor="text1"/>
                <w:highlight w:val="none"/>
              </w:rPr>
              <w:t>专项报告</w:t>
            </w:r>
            <w:r>
              <w:rPr>
                <w:rStyle w:val="25"/>
                <w:rFonts w:hint="eastAsia"/>
                <w:b w:val="0"/>
                <w:color w:val="000000" w:themeColor="text1"/>
                <w:highlight w:val="none"/>
              </w:rPr>
              <w:t>），确定本项目大气污染因子</w:t>
            </w:r>
            <w:r>
              <w:rPr>
                <w:rFonts w:hint="eastAsia"/>
                <w:color w:val="000000" w:themeColor="text1"/>
                <w:highlight w:val="none"/>
              </w:rPr>
              <w:t>苯并[a]芘</w:t>
            </w:r>
            <w:r>
              <w:rPr>
                <w:rStyle w:val="25"/>
                <w:rFonts w:hint="eastAsia"/>
                <w:b w:val="0"/>
                <w:color w:val="000000" w:themeColor="text1"/>
                <w:highlight w:val="none"/>
              </w:rPr>
              <w:t>点源最大落地浓度点距离厂界398m，面源最大落地浓度点距离厂界27m。根据27m包络线及398m包络线，结合调查范围内建设用地及农用地实际占地情况，确定建设用地监测点TR1#和农用地监测点TR2#。</w:t>
            </w:r>
          </w:p>
          <w:p>
            <w:pPr>
              <w:ind w:firstLine="480"/>
              <w:rPr>
                <w:color w:val="000000" w:themeColor="text1"/>
                <w:highlight w:val="none"/>
              </w:rPr>
            </w:pPr>
            <w:r>
              <w:rPr>
                <w:rFonts w:hint="eastAsia"/>
                <w:color w:val="000000" w:themeColor="text1"/>
                <w:kern w:val="0"/>
                <w:highlight w:val="none"/>
              </w:rPr>
              <w:t>2023年4月</w:t>
            </w:r>
            <w:r>
              <w:rPr>
                <w:rFonts w:hint="eastAsia" w:ascii="宋体" w:hAnsi="宋体" w:cs="宋体"/>
                <w:color w:val="000000" w:themeColor="text1"/>
                <w:kern w:val="0"/>
                <w:highlight w:val="none"/>
              </w:rPr>
              <w:t>公司</w:t>
            </w:r>
            <w:r>
              <w:rPr>
                <w:color w:val="000000" w:themeColor="text1"/>
                <w:kern w:val="0"/>
                <w:highlight w:val="none"/>
              </w:rPr>
              <w:t>委托</w:t>
            </w:r>
            <w:r>
              <w:rPr>
                <w:rFonts w:hint="eastAsia"/>
                <w:color w:val="000000" w:themeColor="text1"/>
                <w:kern w:val="0"/>
                <w:highlight w:val="none"/>
              </w:rPr>
              <w:t>河北俊采环境检测技术有限公司</w:t>
            </w:r>
            <w:r>
              <w:rPr>
                <w:color w:val="000000" w:themeColor="text1"/>
                <w:kern w:val="0"/>
                <w:highlight w:val="none"/>
              </w:rPr>
              <w:t>对项目区域土壤环境质量现状进行监测，</w:t>
            </w:r>
            <w:r>
              <w:rPr>
                <w:rFonts w:hint="eastAsia"/>
                <w:color w:val="000000" w:themeColor="text1"/>
                <w:highlight w:val="none"/>
              </w:rPr>
              <w:t>并出具《潍坊市成达公路工程有限公司前苇塘村沥青拌合站项目》检测报告（HBJC检字（2023）第388号），</w:t>
            </w:r>
            <w:r>
              <w:rPr>
                <w:rFonts w:hint="eastAsia"/>
                <w:color w:val="000000" w:themeColor="text1"/>
                <w:highlight w:val="none"/>
                <w:lang w:val="en-US" w:eastAsia="zh-CN"/>
              </w:rPr>
              <w:t>2023年6月</w:t>
            </w:r>
            <w:r>
              <w:rPr>
                <w:rFonts w:hint="eastAsia" w:ascii="宋体" w:hAnsi="宋体" w:cs="宋体"/>
                <w:color w:val="000000" w:themeColor="text1"/>
                <w:kern w:val="0"/>
                <w:highlight w:val="none"/>
              </w:rPr>
              <w:t>公司</w:t>
            </w:r>
            <w:r>
              <w:rPr>
                <w:color w:val="000000" w:themeColor="text1"/>
                <w:kern w:val="0"/>
                <w:highlight w:val="none"/>
              </w:rPr>
              <w:t>委托</w:t>
            </w:r>
            <w:r>
              <w:rPr>
                <w:rFonts w:hint="eastAsia"/>
                <w:color w:val="000000" w:themeColor="text1"/>
                <w:kern w:val="0"/>
                <w:highlight w:val="none"/>
                <w:lang w:val="en-US" w:eastAsia="zh-CN"/>
              </w:rPr>
              <w:t>摩天众创（天津）</w:t>
            </w:r>
            <w:r>
              <w:rPr>
                <w:rFonts w:hint="eastAsia"/>
                <w:color w:val="000000" w:themeColor="text1"/>
                <w:kern w:val="0"/>
                <w:highlight w:val="none"/>
              </w:rPr>
              <w:t>检测</w:t>
            </w:r>
            <w:r>
              <w:rPr>
                <w:rFonts w:hint="eastAsia"/>
                <w:color w:val="000000" w:themeColor="text1"/>
                <w:kern w:val="0"/>
                <w:highlight w:val="none"/>
                <w:lang w:val="en-US" w:eastAsia="zh-CN"/>
              </w:rPr>
              <w:t>服务</w:t>
            </w:r>
            <w:r>
              <w:rPr>
                <w:rFonts w:hint="eastAsia"/>
                <w:color w:val="000000" w:themeColor="text1"/>
                <w:kern w:val="0"/>
                <w:highlight w:val="none"/>
              </w:rPr>
              <w:t>有限公司</w:t>
            </w:r>
            <w:r>
              <w:rPr>
                <w:rFonts w:hint="eastAsia"/>
                <w:color w:val="000000" w:themeColor="text1"/>
                <w:kern w:val="0"/>
                <w:highlight w:val="none"/>
                <w:lang w:val="en-US" w:eastAsia="zh-CN"/>
              </w:rPr>
              <w:t>对占地范围外下风向农用地监测点TR2#中的铬进行监测</w:t>
            </w:r>
            <w:r>
              <w:rPr>
                <w:color w:val="000000" w:themeColor="text1"/>
                <w:kern w:val="0"/>
                <w:highlight w:val="none"/>
              </w:rPr>
              <w:t>，</w:t>
            </w:r>
            <w:r>
              <w:rPr>
                <w:rFonts w:hint="eastAsia"/>
                <w:color w:val="000000" w:themeColor="text1"/>
                <w:highlight w:val="none"/>
              </w:rPr>
              <w:t>并出具</w:t>
            </w:r>
            <w:r>
              <w:rPr>
                <w:rFonts w:hint="eastAsia"/>
                <w:color w:val="000000" w:themeColor="text1"/>
                <w:highlight w:val="none"/>
                <w:lang w:eastAsia="zh-CN"/>
              </w:rPr>
              <w:t>《</w:t>
            </w:r>
            <w:r>
              <w:rPr>
                <w:rFonts w:hint="eastAsia"/>
                <w:color w:val="000000" w:themeColor="text1"/>
                <w:highlight w:val="none"/>
              </w:rPr>
              <w:t>潍坊市成达公路工程有限公司</w:t>
            </w:r>
            <w:r>
              <w:rPr>
                <w:rFonts w:hint="eastAsia"/>
                <w:color w:val="000000" w:themeColor="text1"/>
                <w:highlight w:val="none"/>
                <w:lang w:val="en-US" w:eastAsia="zh-CN"/>
              </w:rPr>
              <w:t>检测报告</w:t>
            </w:r>
            <w:r>
              <w:rPr>
                <w:rFonts w:hint="eastAsia"/>
                <w:color w:val="000000" w:themeColor="text1"/>
                <w:highlight w:val="none"/>
                <w:lang w:eastAsia="zh-CN"/>
              </w:rPr>
              <w:t>》（</w:t>
            </w:r>
            <w:r>
              <w:rPr>
                <w:rFonts w:hint="eastAsia"/>
                <w:color w:val="000000" w:themeColor="text1"/>
                <w:highlight w:val="none"/>
                <w:lang w:val="en-US" w:eastAsia="zh-CN"/>
              </w:rPr>
              <w:t>报告编号：MTHJ231884</w:t>
            </w:r>
            <w:r>
              <w:rPr>
                <w:rFonts w:hint="eastAsia"/>
                <w:color w:val="000000" w:themeColor="text1"/>
                <w:highlight w:val="none"/>
                <w:lang w:eastAsia="zh-CN"/>
              </w:rPr>
              <w:t>），</w:t>
            </w:r>
            <w:r>
              <w:rPr>
                <w:rFonts w:hint="eastAsia"/>
                <w:color w:val="000000" w:themeColor="text1"/>
                <w:highlight w:val="none"/>
              </w:rPr>
              <w:t>监测结果</w:t>
            </w:r>
            <w:r>
              <w:rPr>
                <w:color w:val="000000" w:themeColor="text1"/>
                <w:highlight w:val="none"/>
              </w:rPr>
              <w:t>如下：</w:t>
            </w:r>
          </w:p>
          <w:p>
            <w:pPr>
              <w:ind w:firstLine="480"/>
              <w:rPr>
                <w:color w:val="000000" w:themeColor="text1"/>
                <w:highlight w:val="none"/>
              </w:rPr>
            </w:pPr>
            <w:r>
              <w:rPr>
                <w:color w:val="000000" w:themeColor="text1"/>
                <w:highlight w:val="none"/>
              </w:rPr>
              <w:t>（1）监测点位</w:t>
            </w:r>
          </w:p>
          <w:p>
            <w:pPr>
              <w:ind w:firstLine="480"/>
              <w:rPr>
                <w:color w:val="000000" w:themeColor="text1"/>
                <w:highlight w:val="none"/>
              </w:rPr>
            </w:pPr>
            <w:r>
              <w:rPr>
                <w:rFonts w:hint="eastAsia"/>
                <w:color w:val="000000" w:themeColor="text1"/>
                <w:highlight w:val="none"/>
              </w:rPr>
              <w:t>建设用地监测点TR</w:t>
            </w:r>
            <w:r>
              <w:rPr>
                <w:color w:val="000000" w:themeColor="text1"/>
                <w:highlight w:val="none"/>
              </w:rPr>
              <w:t>1#——</w:t>
            </w:r>
            <w:r>
              <w:rPr>
                <w:rFonts w:hint="eastAsia"/>
                <w:color w:val="000000" w:themeColor="text1"/>
                <w:highlight w:val="none"/>
              </w:rPr>
              <w:t>占地范围外下风向建设用地</w:t>
            </w:r>
          </w:p>
          <w:p>
            <w:pPr>
              <w:ind w:firstLine="480"/>
              <w:rPr>
                <w:color w:val="000000" w:themeColor="text1"/>
                <w:highlight w:val="none"/>
              </w:rPr>
            </w:pPr>
            <w:r>
              <w:rPr>
                <w:rFonts w:hint="eastAsia"/>
                <w:color w:val="000000" w:themeColor="text1"/>
                <w:highlight w:val="none"/>
              </w:rPr>
              <w:t>农用地监测点TR2</w:t>
            </w:r>
            <w:r>
              <w:rPr>
                <w:color w:val="000000" w:themeColor="text1"/>
                <w:highlight w:val="none"/>
              </w:rPr>
              <w:t>#——</w:t>
            </w:r>
            <w:r>
              <w:rPr>
                <w:rFonts w:hint="eastAsia"/>
                <w:color w:val="000000" w:themeColor="text1"/>
                <w:highlight w:val="none"/>
              </w:rPr>
              <w:t>占地范围外下风向农用地；</w:t>
            </w:r>
          </w:p>
          <w:p>
            <w:pPr>
              <w:ind w:firstLine="480"/>
              <w:rPr>
                <w:color w:val="000000" w:themeColor="text1"/>
                <w:highlight w:val="none"/>
              </w:rPr>
            </w:pPr>
            <w:r>
              <w:rPr>
                <w:color w:val="000000" w:themeColor="text1"/>
                <w:highlight w:val="none"/>
              </w:rPr>
              <w:t>（2）监测因子</w:t>
            </w:r>
          </w:p>
          <w:p>
            <w:pPr>
              <w:ind w:firstLine="480"/>
              <w:rPr>
                <w:color w:val="000000" w:themeColor="text1"/>
                <w:highlight w:val="none"/>
              </w:rPr>
            </w:pPr>
            <w:r>
              <w:rPr>
                <w:rFonts w:hint="eastAsia"/>
                <w:color w:val="000000" w:themeColor="text1"/>
                <w:highlight w:val="none"/>
              </w:rPr>
              <w:t>TR1#监测《土壤环境质量 建设用地土壤污染风险管控标准（试用）》（GB36600-2018）表1中45项+pH。</w:t>
            </w:r>
          </w:p>
          <w:p>
            <w:pPr>
              <w:ind w:firstLine="480"/>
              <w:rPr>
                <w:color w:val="000000" w:themeColor="text1"/>
                <w:highlight w:val="none"/>
              </w:rPr>
            </w:pPr>
            <w:r>
              <w:rPr>
                <w:rFonts w:hint="eastAsia"/>
                <w:color w:val="000000" w:themeColor="text1"/>
                <w:highlight w:val="none"/>
              </w:rPr>
              <w:t>TR2#监测《土壤环境质量 农用地土壤污染风险管控标准（试行）》（GB15618—2018）8项基本项+pH+苯并[a]芘。</w:t>
            </w:r>
          </w:p>
          <w:p>
            <w:pPr>
              <w:ind w:firstLine="480"/>
              <w:rPr>
                <w:color w:val="000000" w:themeColor="text1"/>
                <w:highlight w:val="none"/>
              </w:rPr>
            </w:pPr>
            <w:r>
              <w:rPr>
                <w:color w:val="000000" w:themeColor="text1"/>
                <w:highlight w:val="none"/>
              </w:rPr>
              <w:t>（3）监测时间和频次</w:t>
            </w:r>
          </w:p>
          <w:p>
            <w:pPr>
              <w:ind w:firstLine="480"/>
              <w:rPr>
                <w:color w:val="000000" w:themeColor="text1"/>
                <w:highlight w:val="none"/>
              </w:rPr>
            </w:pPr>
            <w:r>
              <w:rPr>
                <w:color w:val="000000" w:themeColor="text1"/>
                <w:highlight w:val="none"/>
              </w:rPr>
              <w:t>监测1日，采样1次。</w:t>
            </w:r>
          </w:p>
          <w:p>
            <w:pPr>
              <w:ind w:firstLine="480"/>
              <w:rPr>
                <w:color w:val="000000" w:themeColor="text1"/>
                <w:highlight w:val="none"/>
              </w:rPr>
            </w:pPr>
            <w:r>
              <w:rPr>
                <w:color w:val="000000" w:themeColor="text1"/>
                <w:highlight w:val="none"/>
              </w:rPr>
              <w:t>（4）评价因子与评价标准</w:t>
            </w:r>
          </w:p>
          <w:p>
            <w:pPr>
              <w:ind w:firstLine="480"/>
              <w:rPr>
                <w:color w:val="000000" w:themeColor="text1"/>
                <w:highlight w:val="none"/>
              </w:rPr>
            </w:pPr>
            <w:r>
              <w:rPr>
                <w:color w:val="000000" w:themeColor="text1"/>
                <w:highlight w:val="none"/>
              </w:rPr>
              <w:t>本次评价因子同监测因子，</w:t>
            </w:r>
            <w:r>
              <w:rPr>
                <w:rFonts w:hint="eastAsia"/>
                <w:bCs/>
                <w:color w:val="000000" w:themeColor="text1"/>
                <w:highlight w:val="none"/>
              </w:rPr>
              <w:t>TR1#</w:t>
            </w:r>
            <w:r>
              <w:rPr>
                <w:color w:val="000000" w:themeColor="text1"/>
                <w:highlight w:val="none"/>
              </w:rPr>
              <w:t>评价标准采用《土壤环境质量 建设用地土壤污染风险管控标准（试行）》（GB 36600-2018）</w:t>
            </w:r>
            <w:r>
              <w:rPr>
                <w:rFonts w:hint="eastAsia"/>
                <w:color w:val="000000" w:themeColor="text1"/>
                <w:highlight w:val="none"/>
              </w:rPr>
              <w:t>表1中第一类用地土壤污染风险筛选值，</w:t>
            </w:r>
            <w:r>
              <w:rPr>
                <w:rFonts w:hint="eastAsia"/>
                <w:bCs/>
                <w:color w:val="000000" w:themeColor="text1"/>
                <w:highlight w:val="none"/>
              </w:rPr>
              <w:t>TR2#</w:t>
            </w:r>
            <w:r>
              <w:rPr>
                <w:color w:val="000000" w:themeColor="text1"/>
                <w:highlight w:val="none"/>
              </w:rPr>
              <w:t>评价标准采用《</w:t>
            </w:r>
            <w:r>
              <w:rPr>
                <w:rFonts w:hint="eastAsia"/>
                <w:color w:val="000000" w:themeColor="text1"/>
                <w:highlight w:val="none"/>
              </w:rPr>
              <w:t>土壤环境质量 农用地土壤污染风险管控标准（试行）》（GB15618—2018</w:t>
            </w:r>
            <w:r>
              <w:rPr>
                <w:color w:val="000000" w:themeColor="text1"/>
                <w:highlight w:val="none"/>
              </w:rPr>
              <w:t>》</w:t>
            </w:r>
            <w:r>
              <w:rPr>
                <w:rFonts w:hint="eastAsia"/>
                <w:color w:val="000000" w:themeColor="text1"/>
                <w:highlight w:val="none"/>
              </w:rPr>
              <w:t>表1基本项目风险筛选值及表2其他项目中苯并[a]芘风险筛选值</w:t>
            </w:r>
            <w:r>
              <w:rPr>
                <w:color w:val="000000" w:themeColor="text1"/>
                <w:highlight w:val="none"/>
              </w:rPr>
              <w:t>。</w:t>
            </w:r>
          </w:p>
          <w:p>
            <w:pPr>
              <w:numPr>
                <w:ilvl w:val="0"/>
                <w:numId w:val="3"/>
              </w:numPr>
              <w:ind w:left="0" w:leftChars="0" w:firstLine="480" w:firstLineChars="200"/>
              <w:rPr>
                <w:snapToGrid w:val="0"/>
                <w:color w:val="000000" w:themeColor="text1"/>
                <w:kern w:val="0"/>
                <w:highlight w:val="none"/>
              </w:rPr>
            </w:pPr>
            <w:r>
              <w:rPr>
                <w:snapToGrid w:val="0"/>
                <w:color w:val="000000" w:themeColor="text1"/>
                <w:kern w:val="0"/>
                <w:highlight w:val="none"/>
              </w:rPr>
              <w:t>监测结果统计</w:t>
            </w:r>
          </w:p>
          <w:p>
            <w:pPr>
              <w:pStyle w:val="2"/>
              <w:widowControl w:val="0"/>
              <w:numPr>
                <w:ilvl w:val="0"/>
                <w:numId w:val="0"/>
              </w:numPr>
              <w:adjustRightInd w:val="0"/>
              <w:snapToGrid w:val="0"/>
              <w:spacing w:line="360" w:lineRule="auto"/>
              <w:jc w:val="center"/>
              <w:rPr>
                <w:color w:val="000000" w:themeColor="text1"/>
                <w:highlight w:val="none"/>
              </w:rPr>
            </w:pPr>
          </w:p>
          <w:p>
            <w:pPr>
              <w:pStyle w:val="2"/>
              <w:widowControl w:val="0"/>
              <w:numPr>
                <w:ilvl w:val="0"/>
                <w:numId w:val="0"/>
              </w:numPr>
              <w:adjustRightInd w:val="0"/>
              <w:snapToGrid w:val="0"/>
              <w:spacing w:line="360" w:lineRule="auto"/>
              <w:jc w:val="center"/>
              <w:rPr>
                <w:color w:val="000000" w:themeColor="text1"/>
                <w:highlight w:val="none"/>
              </w:rPr>
            </w:pPr>
          </w:p>
          <w:p>
            <w:pPr>
              <w:numPr>
                <w:ilvl w:val="0"/>
                <w:numId w:val="4"/>
              </w:numPr>
              <w:autoSpaceDE w:val="0"/>
              <w:autoSpaceDN w:val="0"/>
              <w:ind w:left="0" w:firstLine="0" w:firstLineChars="0"/>
              <w:jc w:val="center"/>
              <w:rPr>
                <w:b/>
                <w:bCs/>
                <w:color w:val="000000" w:themeColor="text1"/>
                <w:sz w:val="21"/>
                <w:szCs w:val="21"/>
                <w:highlight w:val="none"/>
              </w:rPr>
            </w:pPr>
            <w:r>
              <w:rPr>
                <w:b/>
                <w:bCs/>
                <w:color w:val="000000" w:themeColor="text1"/>
                <w:sz w:val="21"/>
                <w:szCs w:val="21"/>
                <w:highlight w:val="none"/>
              </w:rPr>
              <w:t>土壤现状评价结果一览表  单位：mg/kg</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1847"/>
              <w:gridCol w:w="1847"/>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op w:val="single" w:color="auto" w:sz="4" w:space="0"/>
                    <w:left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TR1#</w:t>
                  </w:r>
                  <w:r>
                    <w:rPr>
                      <w:rFonts w:hint="eastAsia"/>
                      <w:b/>
                      <w:bCs/>
                      <w:color w:val="000000" w:themeColor="text1"/>
                      <w:sz w:val="21"/>
                      <w:szCs w:val="21"/>
                      <w:highlight w:val="none"/>
                    </w:rPr>
                    <w:t>-—占地范围外下风向建设用地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监测项目</w:t>
                  </w:r>
                </w:p>
              </w:tc>
              <w:tc>
                <w:tcPr>
                  <w:tcW w:w="1109" w:type="pct"/>
                  <w:tcBorders>
                    <w:top w:val="single" w:color="auto" w:sz="4" w:space="0"/>
                    <w:left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标准值</w:t>
                  </w:r>
                </w:p>
              </w:tc>
              <w:tc>
                <w:tcPr>
                  <w:tcW w:w="1109"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监测值</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7.34</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镉</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0.33</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铬（六价）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3.0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铜</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2000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36</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铅</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400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30</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汞</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8</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0.107</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镍</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150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42</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硝基苯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34</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2-氯酚</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250</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苯并［a］蒽</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5.5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苯并［a］芘</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0.55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苯并［b］荧蒽</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5.5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苯并［k］荧蒽</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55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䓛</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490</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二苯并［a,h］蒽</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0.55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茚并［1,2,3-cd］芘</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5.5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萘</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苯胺</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92</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四氯化碳</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0.9</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氯仿</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0.3</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氯甲烷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12</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1,1-二氯乙烷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3</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1,2-二氯乙烷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0.52</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1,1-二氯乙烯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12</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顺-1,2-二氯乙烯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66</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反-1,2-二氯乙烯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10</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二氯甲烷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94</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1,2-二氯丙烷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1,1,1,2-四氯乙烷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2.6</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1,1,2,2-四氯乙烷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1.6</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四氯乙烯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11</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1,1,1-三氯乙烷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701</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1,1,2-三氯乙烷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0.6</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三氯乙烯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0.7</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1,2,3-三氯丙烷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0.05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氯乙烯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0.12</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氯苯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68</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1,2-二氯苯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560</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1,4-二氯苯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5.6</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乙苯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7.2</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苯乙烯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1290</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甲苯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1200</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间二甲苯+对二甲苯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163</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邻二甲苯</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222</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w:t>
                  </w:r>
                </w:p>
              </w:tc>
            </w:tr>
          </w:tbl>
          <w:p>
            <w:pPr>
              <w:numPr>
                <w:ilvl w:val="0"/>
                <w:numId w:val="4"/>
              </w:numPr>
              <w:autoSpaceDE w:val="0"/>
              <w:autoSpaceDN w:val="0"/>
              <w:ind w:left="0" w:firstLine="0" w:firstLineChars="0"/>
              <w:jc w:val="center"/>
              <w:rPr>
                <w:b/>
                <w:bCs/>
                <w:color w:val="000000" w:themeColor="text1"/>
                <w:sz w:val="21"/>
                <w:szCs w:val="21"/>
                <w:highlight w:val="none"/>
              </w:rPr>
            </w:pPr>
            <w:r>
              <w:rPr>
                <w:b/>
                <w:bCs/>
                <w:color w:val="000000" w:themeColor="text1"/>
                <w:sz w:val="21"/>
                <w:szCs w:val="21"/>
                <w:highlight w:val="none"/>
              </w:rPr>
              <w:t>土壤现状评价结果一览表  单位：mg/kg</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1847"/>
              <w:gridCol w:w="1847"/>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op w:val="single" w:color="auto" w:sz="4" w:space="0"/>
                    <w:left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TR</w:t>
                  </w:r>
                  <w:r>
                    <w:rPr>
                      <w:rFonts w:hint="eastAsia"/>
                      <w:b/>
                      <w:bCs/>
                      <w:color w:val="000000" w:themeColor="text1"/>
                      <w:sz w:val="21"/>
                      <w:szCs w:val="21"/>
                      <w:highlight w:val="none"/>
                    </w:rPr>
                    <w:t>2</w:t>
                  </w:r>
                  <w:r>
                    <w:rPr>
                      <w:b/>
                      <w:bCs/>
                      <w:color w:val="000000" w:themeColor="text1"/>
                      <w:sz w:val="21"/>
                      <w:szCs w:val="21"/>
                      <w:highlight w:val="none"/>
                    </w:rPr>
                    <w:t>#</w:t>
                  </w:r>
                  <w:r>
                    <w:rPr>
                      <w:rFonts w:hint="eastAsia"/>
                      <w:b/>
                      <w:bCs/>
                      <w:color w:val="000000" w:themeColor="text1"/>
                      <w:sz w:val="21"/>
                      <w:szCs w:val="21"/>
                      <w:highlight w:val="none"/>
                    </w:rPr>
                    <w:t>—占地范围外下风向农用地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监测项目</w:t>
                  </w:r>
                </w:p>
              </w:tc>
              <w:tc>
                <w:tcPr>
                  <w:tcW w:w="1109" w:type="pct"/>
                  <w:tcBorders>
                    <w:top w:val="single" w:color="auto" w:sz="4" w:space="0"/>
                    <w:left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标准值</w:t>
                  </w:r>
                </w:p>
              </w:tc>
              <w:tc>
                <w:tcPr>
                  <w:tcW w:w="1109"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监测值</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pH</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7.62</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镉</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0.6</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0.33</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汞</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3.4</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0.343</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砷</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25</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7.09</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铅</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170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39</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铬</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250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eastAsia="宋体"/>
                      <w:color w:val="000000" w:themeColor="text1"/>
                      <w:kern w:val="0"/>
                      <w:sz w:val="21"/>
                      <w:szCs w:val="21"/>
                      <w:highlight w:val="none"/>
                      <w:lang w:val="en-US" w:eastAsia="zh-CN" w:bidi="ar"/>
                    </w:rPr>
                  </w:pPr>
                  <w:r>
                    <w:rPr>
                      <w:rFonts w:hint="eastAsia"/>
                      <w:color w:val="000000" w:themeColor="text1"/>
                      <w:sz w:val="21"/>
                      <w:szCs w:val="21"/>
                      <w:highlight w:val="none"/>
                      <w:lang w:val="en-US" w:eastAsia="zh-CN"/>
                    </w:rPr>
                    <w:t>139</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铜</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100</w:t>
                  </w:r>
                </w:p>
              </w:tc>
              <w:tc>
                <w:tcPr>
                  <w:tcW w:w="110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rFonts w:hint="eastAsia"/>
                      <w:color w:val="000000" w:themeColor="text1"/>
                      <w:kern w:val="0"/>
                      <w:sz w:val="21"/>
                      <w:szCs w:val="21"/>
                      <w:highlight w:val="none"/>
                      <w:lang w:bidi="ar"/>
                    </w:rPr>
                    <w:t>36</w:t>
                  </w:r>
                </w:p>
              </w:tc>
              <w:tc>
                <w:tcPr>
                  <w:tcW w:w="1396"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color w:val="000000" w:themeColor="text1"/>
                      <w:sz w:val="21"/>
                      <w:szCs w:val="21"/>
                      <w:highlight w:val="none"/>
                    </w:rPr>
                  </w:pPr>
                  <w:r>
                    <w:rPr>
                      <w:rFonts w:hint="eastAsia" w:ascii="Times New Roman" w:hAnsi="Times New Roman" w:cs="Times New Roman"/>
                      <w:color w:val="000000" w:themeColor="text1"/>
                      <w:sz w:val="21"/>
                      <w:szCs w:val="21"/>
                      <w:highlight w:val="none"/>
                    </w:rPr>
                    <w:t>镍</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190</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51</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adjustRightInd/>
                    <w:snapToGri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锌</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300</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117</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color w:val="000000" w:themeColor="text1"/>
                      <w:sz w:val="21"/>
                      <w:szCs w:val="21"/>
                      <w:highlight w:val="none"/>
                    </w:rPr>
                  </w:pPr>
                  <w:r>
                    <w:rPr>
                      <w:color w:val="000000" w:themeColor="text1"/>
                      <w:sz w:val="21"/>
                      <w:szCs w:val="21"/>
                      <w:highlight w:val="none"/>
                    </w:rPr>
                    <w:t>苯并［a］芘</w:t>
                  </w:r>
                </w:p>
              </w:tc>
              <w:tc>
                <w:tcPr>
                  <w:tcW w:w="1109" w:type="pct"/>
                  <w:tcBorders>
                    <w:top w:val="single" w:color="auto" w:sz="4" w:space="0"/>
                    <w:left w:val="single" w:color="auto" w:sz="4" w:space="0"/>
                    <w:right w:val="single" w:color="auto" w:sz="4" w:space="0"/>
                  </w:tcBorders>
                  <w:vAlign w:val="center"/>
                </w:tcPr>
                <w:p>
                  <w:pPr>
                    <w:pStyle w:val="63"/>
                    <w:adjustRightInd/>
                    <w:snapToGrid/>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s="Times New Roman"/>
                      <w:color w:val="000000" w:themeColor="text1"/>
                      <w:sz w:val="21"/>
                      <w:szCs w:val="21"/>
                      <w:highlight w:val="none"/>
                    </w:rPr>
                    <w:t>0.55</w:t>
                  </w:r>
                </w:p>
              </w:tc>
              <w:tc>
                <w:tcPr>
                  <w:tcW w:w="1109"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未检出</w:t>
                  </w:r>
                </w:p>
              </w:tc>
              <w:tc>
                <w:tcPr>
                  <w:tcW w:w="1396" w:type="pct"/>
                  <w:tcBorders>
                    <w:top w:val="single" w:color="auto" w:sz="4" w:space="0"/>
                    <w:left w:val="single" w:color="auto" w:sz="4" w:space="0"/>
                    <w:bottom w:val="single" w:color="auto" w:sz="4" w:space="0"/>
                    <w:right w:val="single" w:color="auto" w:sz="4" w:space="0"/>
                  </w:tcBorders>
                  <w:vAlign w:val="center"/>
                </w:tcPr>
                <w:p>
                  <w:pPr>
                    <w:tabs>
                      <w:tab w:val="left" w:pos="1255"/>
                    </w:tabs>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r>
          </w:tbl>
          <w:p>
            <w:pPr>
              <w:spacing w:before="120" w:beforeLines="50"/>
              <w:ind w:firstLine="480"/>
              <w:rPr>
                <w:color w:val="000000" w:themeColor="text1"/>
                <w:highlight w:val="none"/>
              </w:rPr>
            </w:pPr>
            <w:r>
              <w:rPr>
                <w:color w:val="000000" w:themeColor="text1"/>
                <w:highlight w:val="none"/>
              </w:rPr>
              <w:t>（7）监测结果分析</w:t>
            </w:r>
          </w:p>
          <w:p>
            <w:pPr>
              <w:ind w:firstLine="480"/>
              <w:rPr>
                <w:rFonts w:hint="eastAsia"/>
                <w:color w:val="000000" w:themeColor="text1"/>
                <w:highlight w:val="none"/>
              </w:rPr>
            </w:pPr>
            <w:r>
              <w:rPr>
                <w:color w:val="000000" w:themeColor="text1"/>
                <w:highlight w:val="none"/>
              </w:rPr>
              <w:t>通过对监测点位的土壤质量分析可知，</w:t>
            </w:r>
            <w:r>
              <w:rPr>
                <w:bCs/>
                <w:color w:val="000000" w:themeColor="text1"/>
                <w:highlight w:val="none"/>
              </w:rPr>
              <w:t>T</w:t>
            </w:r>
            <w:r>
              <w:rPr>
                <w:rFonts w:hint="eastAsia"/>
                <w:bCs/>
                <w:color w:val="000000" w:themeColor="text1"/>
                <w:highlight w:val="none"/>
              </w:rPr>
              <w:t>R</w:t>
            </w:r>
            <w:r>
              <w:rPr>
                <w:bCs/>
                <w:color w:val="000000" w:themeColor="text1"/>
                <w:highlight w:val="none"/>
              </w:rPr>
              <w:t>1#</w:t>
            </w:r>
            <w:r>
              <w:rPr>
                <w:color w:val="000000" w:themeColor="text1"/>
                <w:highlight w:val="none"/>
              </w:rPr>
              <w:t>各项监测因子均满足《土壤环境质量 建设用地土壤污染风险管控标准（试行）》（GB36600-2018）</w:t>
            </w:r>
            <w:r>
              <w:rPr>
                <w:rFonts w:hint="eastAsia"/>
                <w:color w:val="000000" w:themeColor="text1"/>
                <w:highlight w:val="none"/>
              </w:rPr>
              <w:t>表1中第一类用地土壤污染风险筛选值。</w:t>
            </w:r>
            <w:r>
              <w:rPr>
                <w:bCs/>
                <w:color w:val="000000" w:themeColor="text1"/>
                <w:highlight w:val="none"/>
              </w:rPr>
              <w:t>T</w:t>
            </w:r>
            <w:r>
              <w:rPr>
                <w:rFonts w:hint="eastAsia"/>
                <w:bCs/>
                <w:color w:val="000000" w:themeColor="text1"/>
                <w:highlight w:val="none"/>
              </w:rPr>
              <w:t>R2</w:t>
            </w:r>
            <w:r>
              <w:rPr>
                <w:bCs/>
                <w:color w:val="000000" w:themeColor="text1"/>
                <w:highlight w:val="none"/>
              </w:rPr>
              <w:t>#</w:t>
            </w:r>
            <w:r>
              <w:rPr>
                <w:color w:val="000000" w:themeColor="text1"/>
                <w:highlight w:val="none"/>
              </w:rPr>
              <w:t xml:space="preserve">各项监测因子均满足《土壤环境质量 </w:t>
            </w:r>
            <w:r>
              <w:rPr>
                <w:rFonts w:hint="eastAsia"/>
                <w:color w:val="000000" w:themeColor="text1"/>
                <w:highlight w:val="none"/>
              </w:rPr>
              <w:t>农</w:t>
            </w:r>
            <w:r>
              <w:rPr>
                <w:color w:val="000000" w:themeColor="text1"/>
                <w:highlight w:val="none"/>
              </w:rPr>
              <w:t>用地土壤污染风险管控标准（试行）》（GB</w:t>
            </w:r>
            <w:r>
              <w:rPr>
                <w:rFonts w:hint="eastAsia"/>
                <w:color w:val="000000" w:themeColor="text1"/>
                <w:highlight w:val="none"/>
              </w:rPr>
              <w:t>15618</w:t>
            </w:r>
            <w:r>
              <w:rPr>
                <w:color w:val="000000" w:themeColor="text1"/>
                <w:highlight w:val="none"/>
              </w:rPr>
              <w:t>-2018）</w:t>
            </w:r>
            <w:r>
              <w:rPr>
                <w:rFonts w:hint="eastAsia"/>
                <w:color w:val="000000" w:themeColor="text1"/>
                <w:highlight w:val="none"/>
              </w:rPr>
              <w:t>表1中农用地土壤污染风险筛选值（基本项目）排放限值要求及表2农用地土壤污染风险筛选值（其他项目）中苯并[a]芘排放限值要求。</w:t>
            </w: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ascii="宋体" w:hAnsi="宋体" w:eastAsia="宋体" w:cs="宋体"/>
                <w:color w:val="000000" w:themeColor="text1"/>
                <w:kern w:val="21"/>
                <w:szCs w:val="21"/>
                <w:highlight w:val="none"/>
                <w:lang w:val="en-US" w:eastAsia="zh-CN"/>
              </w:rPr>
            </w:pPr>
            <w:r>
              <w:rPr>
                <w:rFonts w:hint="eastAsia"/>
                <w:color w:val="000000" w:themeColor="text1"/>
                <w:highlight w:val="non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0" w:hRule="atLeast"/>
          <w:jc w:val="center"/>
        </w:trPr>
        <w:tc>
          <w:tcPr>
            <w:tcW w:w="506" w:type="dxa"/>
            <w:noWrap/>
            <w:vAlign w:val="center"/>
          </w:tcPr>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环境</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保护</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目标</w:t>
            </w:r>
          </w:p>
        </w:tc>
        <w:tc>
          <w:tcPr>
            <w:tcW w:w="8555" w:type="dxa"/>
            <w:noWrap/>
            <w:vAlign w:val="center"/>
          </w:tcPr>
          <w:p>
            <w:pPr>
              <w:widowControl/>
              <w:ind w:firstLine="480"/>
              <w:rPr>
                <w:snapToGrid w:val="0"/>
                <w:color w:val="000000" w:themeColor="text1"/>
                <w:kern w:val="0"/>
                <w:highlight w:val="none"/>
              </w:rPr>
            </w:pPr>
            <w:r>
              <w:rPr>
                <w:snapToGrid w:val="0"/>
                <w:color w:val="000000" w:themeColor="text1"/>
                <w:kern w:val="0"/>
                <w:highlight w:val="none"/>
              </w:rPr>
              <w:t>项目</w:t>
            </w:r>
            <w:r>
              <w:rPr>
                <w:rFonts w:hint="eastAsia"/>
                <w:snapToGrid w:val="0"/>
                <w:color w:val="000000" w:themeColor="text1"/>
                <w:kern w:val="0"/>
                <w:highlight w:val="none"/>
              </w:rPr>
              <w:t>厂界外</w:t>
            </w:r>
            <w:r>
              <w:rPr>
                <w:snapToGrid w:val="0"/>
                <w:color w:val="000000" w:themeColor="text1"/>
                <w:kern w:val="0"/>
                <w:highlight w:val="none"/>
              </w:rPr>
              <w:t>500m范围内无自然保护区、风景名胜区</w:t>
            </w:r>
            <w:r>
              <w:rPr>
                <w:rFonts w:hint="eastAsia"/>
                <w:snapToGrid w:val="0"/>
                <w:color w:val="000000" w:themeColor="text1"/>
                <w:kern w:val="0"/>
                <w:highlight w:val="none"/>
              </w:rPr>
              <w:t>、</w:t>
            </w:r>
            <w:r>
              <w:rPr>
                <w:rFonts w:hint="eastAsia"/>
                <w:color w:val="000000" w:themeColor="text1"/>
                <w:highlight w:val="none"/>
              </w:rPr>
              <w:t>文化区，</w:t>
            </w:r>
            <w:r>
              <w:rPr>
                <w:color w:val="000000" w:themeColor="text1"/>
                <w:highlight w:val="none"/>
              </w:rPr>
              <w:t>项目</w:t>
            </w:r>
            <w:r>
              <w:rPr>
                <w:rFonts w:hint="eastAsia"/>
                <w:color w:val="000000" w:themeColor="text1"/>
                <w:highlight w:val="none"/>
              </w:rPr>
              <w:t>厂界外</w:t>
            </w:r>
            <w:r>
              <w:rPr>
                <w:color w:val="000000" w:themeColor="text1"/>
                <w:highlight w:val="none"/>
              </w:rPr>
              <w:t>500m范围内居住区和</w:t>
            </w:r>
            <w:r>
              <w:rPr>
                <w:rFonts w:hint="eastAsia"/>
                <w:color w:val="000000" w:themeColor="text1"/>
                <w:highlight w:val="none"/>
              </w:rPr>
              <w:t>农村地区中人群较集中的区域等保护目标见下表</w:t>
            </w:r>
            <w:r>
              <w:rPr>
                <w:snapToGrid w:val="0"/>
                <w:color w:val="000000" w:themeColor="text1"/>
                <w:kern w:val="0"/>
                <w:highlight w:val="none"/>
              </w:rPr>
              <w:t>；项目</w:t>
            </w:r>
            <w:r>
              <w:rPr>
                <w:rFonts w:hint="eastAsia"/>
                <w:snapToGrid w:val="0"/>
                <w:color w:val="000000" w:themeColor="text1"/>
                <w:kern w:val="0"/>
                <w:highlight w:val="none"/>
              </w:rPr>
              <w:t>厂界外</w:t>
            </w:r>
            <w:r>
              <w:rPr>
                <w:snapToGrid w:val="0"/>
                <w:color w:val="000000" w:themeColor="text1"/>
                <w:kern w:val="0"/>
                <w:highlight w:val="none"/>
              </w:rPr>
              <w:t>50m范围内</w:t>
            </w:r>
            <w:r>
              <w:rPr>
                <w:rFonts w:hint="eastAsia"/>
                <w:snapToGrid w:val="0"/>
                <w:color w:val="000000" w:themeColor="text1"/>
                <w:kern w:val="0"/>
                <w:highlight w:val="none"/>
              </w:rPr>
              <w:t>没有</w:t>
            </w:r>
            <w:r>
              <w:rPr>
                <w:snapToGrid w:val="0"/>
                <w:color w:val="000000" w:themeColor="text1"/>
                <w:kern w:val="0"/>
                <w:highlight w:val="none"/>
              </w:rPr>
              <w:t>声环境保护目标</w:t>
            </w:r>
            <w:r>
              <w:rPr>
                <w:rFonts w:hint="eastAsia"/>
                <w:color w:val="000000" w:themeColor="text1"/>
                <w:highlight w:val="none"/>
              </w:rPr>
              <w:t>；项目</w:t>
            </w:r>
            <w:r>
              <w:rPr>
                <w:rFonts w:hint="eastAsia"/>
                <w:snapToGrid w:val="0"/>
                <w:color w:val="000000" w:themeColor="text1"/>
                <w:kern w:val="0"/>
                <w:highlight w:val="none"/>
              </w:rPr>
              <w:t>厂界</w:t>
            </w:r>
            <w:r>
              <w:rPr>
                <w:rFonts w:hint="eastAsia"/>
                <w:color w:val="000000" w:themeColor="text1"/>
                <w:highlight w:val="none"/>
              </w:rPr>
              <w:t>外</w:t>
            </w:r>
            <w:r>
              <w:rPr>
                <w:color w:val="000000" w:themeColor="text1"/>
                <w:highlight w:val="none"/>
              </w:rPr>
              <w:t>500m范围内</w:t>
            </w:r>
            <w:r>
              <w:rPr>
                <w:rFonts w:hint="eastAsia"/>
                <w:color w:val="000000" w:themeColor="text1"/>
                <w:highlight w:val="none"/>
              </w:rPr>
              <w:t>无地下水集中式饮用水水源和热水、矿泉水、温泉等特殊地下水资源；项目用地范围内</w:t>
            </w:r>
            <w:r>
              <w:rPr>
                <w:rFonts w:hint="eastAsia"/>
                <w:color w:val="000000" w:themeColor="text1"/>
                <w:highlight w:val="none"/>
                <w:lang w:val="en-US" w:eastAsia="zh-CN"/>
              </w:rPr>
              <w:t>无生态环境保护目标</w:t>
            </w:r>
            <w:r>
              <w:rPr>
                <w:snapToGrid w:val="0"/>
                <w:color w:val="000000" w:themeColor="text1"/>
                <w:kern w:val="0"/>
                <w:highlight w:val="none"/>
              </w:rPr>
              <w:t>。</w:t>
            </w:r>
            <w:r>
              <w:rPr>
                <w:rFonts w:hint="eastAsia"/>
                <w:snapToGrid w:val="0"/>
                <w:color w:val="000000" w:themeColor="text1"/>
                <w:kern w:val="0"/>
                <w:highlight w:val="none"/>
              </w:rPr>
              <w:t>根据</w:t>
            </w:r>
            <w:r>
              <w:rPr>
                <w:rFonts w:hint="eastAsia"/>
                <w:snapToGrid w:val="0"/>
                <w:color w:val="000000" w:themeColor="text1"/>
                <w:kern w:val="0"/>
                <w:highlight w:val="none"/>
                <w:lang w:eastAsia="zh-CN"/>
              </w:rPr>
              <w:t>《</w:t>
            </w:r>
            <w:r>
              <w:rPr>
                <w:rFonts w:hint="eastAsia"/>
                <w:color w:val="000000" w:themeColor="text1"/>
                <w:highlight w:val="none"/>
              </w:rPr>
              <w:t>大气环境影响专项报告</w:t>
            </w:r>
            <w:r>
              <w:rPr>
                <w:rFonts w:hint="eastAsia"/>
                <w:color w:val="000000" w:themeColor="text1"/>
                <w:highlight w:val="none"/>
                <w:lang w:eastAsia="zh-CN"/>
              </w:rPr>
              <w:t>》</w:t>
            </w:r>
            <w:r>
              <w:rPr>
                <w:rFonts w:hint="eastAsia"/>
                <w:snapToGrid w:val="0"/>
                <w:color w:val="000000" w:themeColor="text1"/>
                <w:kern w:val="0"/>
                <w:highlight w:val="none"/>
              </w:rPr>
              <w:t>，本项目大气环境影响评价等级为二级，</w:t>
            </w:r>
            <w:r>
              <w:rPr>
                <w:snapToGrid w:val="0"/>
                <w:color w:val="000000" w:themeColor="text1"/>
                <w:kern w:val="0"/>
                <w:highlight w:val="none"/>
              </w:rPr>
              <w:t>评价范围取边长为5km的矩形区域</w:t>
            </w:r>
            <w:r>
              <w:rPr>
                <w:rFonts w:hint="eastAsia"/>
                <w:snapToGrid w:val="0"/>
                <w:color w:val="000000" w:themeColor="text1"/>
                <w:kern w:val="0"/>
                <w:highlight w:val="none"/>
              </w:rPr>
              <w:t>。</w:t>
            </w:r>
            <w:r>
              <w:rPr>
                <w:snapToGrid w:val="0"/>
                <w:color w:val="000000" w:themeColor="text1"/>
                <w:kern w:val="0"/>
                <w:highlight w:val="none"/>
              </w:rPr>
              <w:t>主要</w:t>
            </w:r>
            <w:r>
              <w:rPr>
                <w:rFonts w:hint="eastAsia"/>
                <w:snapToGrid w:val="0"/>
                <w:color w:val="000000" w:themeColor="text1"/>
                <w:kern w:val="0"/>
                <w:highlight w:val="none"/>
              </w:rPr>
              <w:t>环境</w:t>
            </w:r>
            <w:r>
              <w:rPr>
                <w:snapToGrid w:val="0"/>
                <w:color w:val="000000" w:themeColor="text1"/>
                <w:kern w:val="0"/>
                <w:highlight w:val="none"/>
              </w:rPr>
              <w:t>保护目标见下表：</w:t>
            </w:r>
          </w:p>
          <w:p>
            <w:pPr>
              <w:numPr>
                <w:ilvl w:val="0"/>
                <w:numId w:val="4"/>
              </w:numPr>
              <w:autoSpaceDE w:val="0"/>
              <w:autoSpaceDN w:val="0"/>
              <w:ind w:left="0" w:firstLine="0" w:firstLineChars="0"/>
              <w:jc w:val="center"/>
              <w:rPr>
                <w:b/>
                <w:bCs/>
                <w:color w:val="000000" w:themeColor="text1"/>
                <w:sz w:val="21"/>
                <w:szCs w:val="21"/>
                <w:highlight w:val="none"/>
              </w:rPr>
            </w:pPr>
            <w:r>
              <w:rPr>
                <w:b/>
                <w:bCs/>
                <w:color w:val="000000" w:themeColor="text1"/>
                <w:sz w:val="21"/>
                <w:szCs w:val="21"/>
                <w:highlight w:val="none"/>
              </w:rPr>
              <w:t>主要环境保护目标</w:t>
            </w:r>
          </w:p>
          <w:tbl>
            <w:tblPr>
              <w:tblStyle w:val="22"/>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8"/>
              <w:gridCol w:w="1245"/>
              <w:gridCol w:w="1125"/>
              <w:gridCol w:w="1125"/>
              <w:gridCol w:w="690"/>
              <w:gridCol w:w="870"/>
              <w:gridCol w:w="645"/>
              <w:gridCol w:w="795"/>
              <w:gridCol w:w="11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restart"/>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环境要素</w:t>
                  </w:r>
                </w:p>
              </w:tc>
              <w:tc>
                <w:tcPr>
                  <w:tcW w:w="1425" w:type="pct"/>
                  <w:gridSpan w:val="2"/>
                  <w:tcBorders>
                    <w:bottom w:val="single" w:color="auto" w:sz="4" w:space="0"/>
                    <w:right w:val="single" w:color="auto" w:sz="4" w:space="0"/>
                  </w:tcBorders>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位置坐标</w:t>
                  </w:r>
                </w:p>
              </w:tc>
              <w:tc>
                <w:tcPr>
                  <w:tcW w:w="676" w:type="pct"/>
                  <w:vMerge w:val="restart"/>
                  <w:tcBorders>
                    <w:left w:val="single" w:color="auto" w:sz="4" w:space="0"/>
                    <w:right w:val="single" w:color="auto" w:sz="4" w:space="0"/>
                  </w:tcBorders>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保护对象</w:t>
                  </w:r>
                </w:p>
              </w:tc>
              <w:tc>
                <w:tcPr>
                  <w:tcW w:w="415" w:type="pct"/>
                  <w:vMerge w:val="restart"/>
                  <w:tcBorders>
                    <w:left w:val="single" w:color="auto" w:sz="4" w:space="0"/>
                  </w:tcBorders>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保护内容</w:t>
                  </w:r>
                </w:p>
              </w:tc>
              <w:tc>
                <w:tcPr>
                  <w:tcW w:w="523" w:type="pct"/>
                  <w:vMerge w:val="restart"/>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环境功能区</w:t>
                  </w:r>
                </w:p>
              </w:tc>
              <w:tc>
                <w:tcPr>
                  <w:tcW w:w="387" w:type="pct"/>
                  <w:vMerge w:val="restart"/>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相对方位</w:t>
                  </w:r>
                </w:p>
              </w:tc>
              <w:tc>
                <w:tcPr>
                  <w:tcW w:w="478" w:type="pct"/>
                  <w:vMerge w:val="restart"/>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相对距离(m)</w:t>
                  </w:r>
                </w:p>
              </w:tc>
              <w:tc>
                <w:tcPr>
                  <w:tcW w:w="679" w:type="pct"/>
                  <w:vMerge w:val="restart"/>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环境质量标准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b/>
                      <w:bCs/>
                      <w:color w:val="000000" w:themeColor="text1"/>
                      <w:sz w:val="21"/>
                      <w:szCs w:val="21"/>
                      <w:highlight w:val="none"/>
                    </w:rPr>
                  </w:pPr>
                </w:p>
              </w:tc>
              <w:tc>
                <w:tcPr>
                  <w:tcW w:w="748" w:type="pct"/>
                  <w:tcBorders>
                    <w:top w:val="single" w:color="auto" w:sz="4" w:space="0"/>
                    <w:right w:val="single" w:color="auto" w:sz="4" w:space="0"/>
                  </w:tcBorders>
                  <w:vAlign w:val="center"/>
                </w:tcPr>
                <w:p>
                  <w:pPr>
                    <w:pStyle w:val="63"/>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E</w:t>
                  </w:r>
                </w:p>
              </w:tc>
              <w:tc>
                <w:tcPr>
                  <w:tcW w:w="676" w:type="pct"/>
                  <w:tcBorders>
                    <w:top w:val="single" w:color="auto" w:sz="4" w:space="0"/>
                    <w:left w:val="single" w:color="auto" w:sz="4" w:space="0"/>
                    <w:right w:val="single" w:color="auto" w:sz="4" w:space="0"/>
                  </w:tcBorders>
                  <w:vAlign w:val="center"/>
                </w:tcPr>
                <w:p>
                  <w:pPr>
                    <w:pStyle w:val="63"/>
                    <w:spacing w:line="240" w:lineRule="auto"/>
                    <w:ind w:firstLine="0" w:firstLineChars="0"/>
                    <w:jc w:val="center"/>
                    <w:rPr>
                      <w:b/>
                      <w:bCs/>
                      <w:color w:val="000000" w:themeColor="text1"/>
                      <w:sz w:val="21"/>
                      <w:szCs w:val="21"/>
                      <w:highlight w:val="none"/>
                    </w:rPr>
                  </w:pPr>
                  <w:r>
                    <w:rPr>
                      <w:b/>
                      <w:bCs/>
                      <w:color w:val="000000" w:themeColor="text1"/>
                      <w:sz w:val="21"/>
                      <w:szCs w:val="21"/>
                      <w:highlight w:val="none"/>
                    </w:rPr>
                    <w:t>N</w:t>
                  </w:r>
                </w:p>
              </w:tc>
              <w:tc>
                <w:tcPr>
                  <w:tcW w:w="676" w:type="pct"/>
                  <w:vMerge w:val="continue"/>
                  <w:tcBorders>
                    <w:left w:val="single" w:color="auto" w:sz="4" w:space="0"/>
                    <w:right w:val="single" w:color="auto" w:sz="4" w:space="0"/>
                  </w:tcBorders>
                  <w:vAlign w:val="center"/>
                </w:tcPr>
                <w:p>
                  <w:pPr>
                    <w:topLinePunct/>
                    <w:spacing w:line="240" w:lineRule="auto"/>
                    <w:ind w:firstLine="0" w:firstLineChars="0"/>
                    <w:jc w:val="center"/>
                    <w:textAlignment w:val="center"/>
                    <w:rPr>
                      <w:b/>
                      <w:bCs/>
                      <w:color w:val="000000" w:themeColor="text1"/>
                      <w:sz w:val="21"/>
                      <w:szCs w:val="21"/>
                      <w:highlight w:val="none"/>
                    </w:rPr>
                  </w:pPr>
                </w:p>
              </w:tc>
              <w:tc>
                <w:tcPr>
                  <w:tcW w:w="415" w:type="pct"/>
                  <w:vMerge w:val="continue"/>
                  <w:tcBorders>
                    <w:left w:val="single" w:color="auto" w:sz="4" w:space="0"/>
                  </w:tcBorders>
                  <w:vAlign w:val="center"/>
                </w:tcPr>
                <w:p>
                  <w:pPr>
                    <w:topLinePunct/>
                    <w:spacing w:line="240" w:lineRule="auto"/>
                    <w:ind w:firstLine="0" w:firstLineChars="0"/>
                    <w:jc w:val="center"/>
                    <w:textAlignment w:val="center"/>
                    <w:rPr>
                      <w:b/>
                      <w:bCs/>
                      <w:color w:val="000000" w:themeColor="text1"/>
                      <w:sz w:val="21"/>
                      <w:szCs w:val="21"/>
                      <w:highlight w:val="none"/>
                    </w:rPr>
                  </w:pPr>
                </w:p>
              </w:tc>
              <w:tc>
                <w:tcPr>
                  <w:tcW w:w="523" w:type="pct"/>
                  <w:vMerge w:val="continue"/>
                  <w:vAlign w:val="center"/>
                </w:tcPr>
                <w:p>
                  <w:pPr>
                    <w:topLinePunct/>
                    <w:spacing w:line="240" w:lineRule="auto"/>
                    <w:ind w:firstLine="0" w:firstLineChars="0"/>
                    <w:jc w:val="center"/>
                    <w:textAlignment w:val="center"/>
                    <w:rPr>
                      <w:b/>
                      <w:bCs/>
                      <w:color w:val="000000" w:themeColor="text1"/>
                      <w:sz w:val="21"/>
                      <w:szCs w:val="21"/>
                      <w:highlight w:val="none"/>
                    </w:rPr>
                  </w:pPr>
                </w:p>
              </w:tc>
              <w:tc>
                <w:tcPr>
                  <w:tcW w:w="387" w:type="pct"/>
                  <w:vMerge w:val="continue"/>
                  <w:vAlign w:val="center"/>
                </w:tcPr>
                <w:p>
                  <w:pPr>
                    <w:topLinePunct/>
                    <w:spacing w:line="240" w:lineRule="auto"/>
                    <w:ind w:firstLine="0" w:firstLineChars="0"/>
                    <w:jc w:val="center"/>
                    <w:textAlignment w:val="center"/>
                    <w:rPr>
                      <w:b/>
                      <w:bCs/>
                      <w:color w:val="000000" w:themeColor="text1"/>
                      <w:sz w:val="21"/>
                      <w:szCs w:val="21"/>
                      <w:highlight w:val="none"/>
                    </w:rPr>
                  </w:pPr>
                </w:p>
              </w:tc>
              <w:tc>
                <w:tcPr>
                  <w:tcW w:w="478" w:type="pct"/>
                  <w:vMerge w:val="continue"/>
                  <w:vAlign w:val="center"/>
                </w:tcPr>
                <w:p>
                  <w:pPr>
                    <w:topLinePunct/>
                    <w:spacing w:line="240" w:lineRule="auto"/>
                    <w:ind w:firstLine="0" w:firstLineChars="0"/>
                    <w:jc w:val="center"/>
                    <w:textAlignment w:val="center"/>
                    <w:rPr>
                      <w:b/>
                      <w:bCs/>
                      <w:color w:val="000000" w:themeColor="text1"/>
                      <w:sz w:val="21"/>
                      <w:szCs w:val="21"/>
                      <w:highlight w:val="none"/>
                    </w:rPr>
                  </w:pPr>
                </w:p>
              </w:tc>
              <w:tc>
                <w:tcPr>
                  <w:tcW w:w="679" w:type="pct"/>
                  <w:vMerge w:val="continue"/>
                  <w:vAlign w:val="center"/>
                </w:tcPr>
                <w:p>
                  <w:pPr>
                    <w:topLinePunct/>
                    <w:spacing w:line="240" w:lineRule="auto"/>
                    <w:ind w:firstLine="0" w:firstLineChars="0"/>
                    <w:jc w:val="center"/>
                    <w:textAlignment w:val="center"/>
                    <w:rPr>
                      <w:b/>
                      <w:bCs/>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环境空气</w:t>
                  </w:r>
                </w:p>
              </w:tc>
              <w:tc>
                <w:tcPr>
                  <w:tcW w:w="748" w:type="pct"/>
                  <w:tcBorders>
                    <w:righ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117.251222</w:t>
                  </w:r>
                </w:p>
              </w:tc>
              <w:tc>
                <w:tcPr>
                  <w:tcW w:w="676" w:type="pct"/>
                  <w:tcBorders>
                    <w:left w:val="single" w:color="auto" w:sz="4" w:space="0"/>
                    <w:righ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40.240190</w:t>
                  </w:r>
                </w:p>
              </w:tc>
              <w:tc>
                <w:tcPr>
                  <w:tcW w:w="676" w:type="pct"/>
                  <w:tcBorders>
                    <w:left w:val="single" w:color="auto" w:sz="4" w:space="0"/>
                    <w:right w:val="single" w:color="auto" w:sz="4" w:space="0"/>
                  </w:tcBorders>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大苇塘村</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NE</w:t>
                  </w:r>
                </w:p>
              </w:tc>
              <w:tc>
                <w:tcPr>
                  <w:tcW w:w="478" w:type="pct"/>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267</w:t>
                  </w:r>
                </w:p>
              </w:tc>
              <w:tc>
                <w:tcPr>
                  <w:tcW w:w="679"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《环境空气质量标准》（GB3095-2012）及其修改单中的二级标准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117.260243</w:t>
                  </w:r>
                </w:p>
              </w:tc>
              <w:tc>
                <w:tcPr>
                  <w:tcW w:w="676" w:type="pct"/>
                  <w:tcBorders>
                    <w:left w:val="single" w:color="auto" w:sz="4" w:space="0"/>
                    <w:righ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40.240513</w:t>
                  </w:r>
                </w:p>
              </w:tc>
              <w:tc>
                <w:tcPr>
                  <w:tcW w:w="676" w:type="pct"/>
                  <w:tcBorders>
                    <w:left w:val="single" w:color="auto" w:sz="4" w:space="0"/>
                    <w:right w:val="single" w:color="auto" w:sz="4" w:space="0"/>
                  </w:tcBorders>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大苇塘</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E</w:t>
                  </w:r>
                </w:p>
              </w:tc>
              <w:tc>
                <w:tcPr>
                  <w:tcW w:w="478" w:type="pct"/>
                  <w:vAlign w:val="center"/>
                </w:tcPr>
                <w:p>
                  <w:pPr>
                    <w:spacing w:line="240" w:lineRule="auto"/>
                    <w:ind w:firstLine="0" w:firstLineChars="0"/>
                    <w:jc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693</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bCs/>
                      <w:snapToGrid w:val="0"/>
                      <w:color w:val="000000" w:themeColor="text1"/>
                      <w:kern w:val="0"/>
                      <w:sz w:val="21"/>
                      <w:szCs w:val="21"/>
                      <w:highlight w:val="none"/>
                    </w:rPr>
                    <w:t>117.251458</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bCs/>
                      <w:snapToGrid w:val="0"/>
                      <w:color w:val="000000" w:themeColor="text1"/>
                      <w:kern w:val="0"/>
                      <w:sz w:val="21"/>
                      <w:szCs w:val="21"/>
                      <w:highlight w:val="none"/>
                    </w:rPr>
                    <w:t>40.235621</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前苇塘村3#居民区</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E</w:t>
                  </w:r>
                </w:p>
              </w:tc>
              <w:tc>
                <w:tcPr>
                  <w:tcW w:w="478" w:type="pct"/>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226</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bCs/>
                      <w:snapToGrid w:val="0"/>
                      <w:color w:val="000000" w:themeColor="text1"/>
                      <w:kern w:val="0"/>
                      <w:sz w:val="21"/>
                      <w:szCs w:val="21"/>
                      <w:highlight w:val="none"/>
                    </w:rPr>
                    <w:t>117.252130</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bCs/>
                      <w:snapToGrid w:val="0"/>
                      <w:color w:val="000000" w:themeColor="text1"/>
                      <w:kern w:val="0"/>
                      <w:sz w:val="21"/>
                      <w:szCs w:val="21"/>
                      <w:highlight w:val="none"/>
                    </w:rPr>
                    <w:t>40.235748</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前苇塘村4#居民区</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E</w:t>
                  </w:r>
                </w:p>
              </w:tc>
              <w:tc>
                <w:tcPr>
                  <w:tcW w:w="478" w:type="pct"/>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346</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bCs/>
                      <w:snapToGrid w:val="0"/>
                      <w:color w:val="000000" w:themeColor="text1"/>
                      <w:kern w:val="0"/>
                      <w:sz w:val="21"/>
                      <w:szCs w:val="21"/>
                      <w:highlight w:val="none"/>
                    </w:rPr>
                    <w:t>117.252269</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bCs/>
                      <w:snapToGrid w:val="0"/>
                      <w:color w:val="000000" w:themeColor="text1"/>
                      <w:kern w:val="0"/>
                      <w:sz w:val="21"/>
                      <w:szCs w:val="21"/>
                      <w:highlight w:val="none"/>
                    </w:rPr>
                    <w:t>40.235012</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前苇塘村5#居民区</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E</w:t>
                  </w:r>
                </w:p>
              </w:tc>
              <w:tc>
                <w:tcPr>
                  <w:tcW w:w="478" w:type="pct"/>
                  <w:vAlign w:val="center"/>
                </w:tcPr>
                <w:p>
                  <w:pPr>
                    <w:topLinePunct/>
                    <w:spacing w:line="240" w:lineRule="auto"/>
                    <w:ind w:firstLine="0" w:firstLineChars="0"/>
                    <w:jc w:val="center"/>
                    <w:textAlignment w:val="center"/>
                    <w:rPr>
                      <w:rFonts w:hint="eastAsia"/>
                      <w:snapToGrid w:val="0"/>
                      <w:color w:val="000000" w:themeColor="text1"/>
                      <w:kern w:val="0"/>
                      <w:sz w:val="21"/>
                      <w:szCs w:val="21"/>
                      <w:highlight w:val="none"/>
                    </w:rPr>
                  </w:pPr>
                  <w:r>
                    <w:rPr>
                      <w:rFonts w:hint="eastAsia"/>
                      <w:bCs/>
                      <w:snapToGrid w:val="0"/>
                      <w:color w:val="000000" w:themeColor="text1"/>
                      <w:kern w:val="0"/>
                      <w:sz w:val="21"/>
                      <w:szCs w:val="21"/>
                      <w:highlight w:val="none"/>
                    </w:rPr>
                    <w:t>438</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rFonts w:hint="eastAsia"/>
                      <w:color w:val="000000" w:themeColor="text1"/>
                      <w:sz w:val="21"/>
                      <w:szCs w:val="21"/>
                      <w:highlight w:val="none"/>
                    </w:rPr>
                  </w:pPr>
                  <w:r>
                    <w:rPr>
                      <w:rFonts w:hint="eastAsia"/>
                      <w:color w:val="000000" w:themeColor="text1"/>
                      <w:sz w:val="21"/>
                      <w:szCs w:val="21"/>
                      <w:highlight w:val="none"/>
                    </w:rPr>
                    <w:t>117.250310</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color w:val="000000" w:themeColor="text1"/>
                      <w:sz w:val="21"/>
                      <w:szCs w:val="21"/>
                      <w:highlight w:val="none"/>
                    </w:rPr>
                  </w:pPr>
                  <w:r>
                    <w:rPr>
                      <w:rFonts w:hint="eastAsia"/>
                      <w:color w:val="000000" w:themeColor="text1"/>
                      <w:sz w:val="21"/>
                      <w:szCs w:val="21"/>
                      <w:highlight w:val="none"/>
                    </w:rPr>
                    <w:t>40.234077</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rPr>
                    <w:t>三大桶</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rPr>
                    <w:t>SE</w:t>
                  </w:r>
                </w:p>
              </w:tc>
              <w:tc>
                <w:tcPr>
                  <w:tcW w:w="478" w:type="pct"/>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rPr>
                    <w:t>149</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117.444356</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40.393543</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八十亩地</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rPr>
                    <w:t>SE</w:t>
                  </w:r>
                </w:p>
              </w:tc>
              <w:tc>
                <w:tcPr>
                  <w:tcW w:w="478" w:type="pct"/>
                  <w:vAlign w:val="center"/>
                </w:tcPr>
                <w:p>
                  <w:pPr>
                    <w:spacing w:line="240" w:lineRule="auto"/>
                    <w:ind w:firstLine="0" w:firstLineChars="0"/>
                    <w:jc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2169</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117.445185</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40.384140</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榆树湾子</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rPr>
                    <w:t>SE</w:t>
                  </w:r>
                </w:p>
              </w:tc>
              <w:tc>
                <w:tcPr>
                  <w:tcW w:w="478" w:type="pct"/>
                  <w:vAlign w:val="center"/>
                </w:tcPr>
                <w:p>
                  <w:pPr>
                    <w:spacing w:line="240" w:lineRule="auto"/>
                    <w:ind w:firstLine="0" w:firstLineChars="0"/>
                    <w:jc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2779</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rFonts w:hint="eastAsia"/>
                      <w:color w:val="000000" w:themeColor="text1"/>
                      <w:sz w:val="21"/>
                      <w:szCs w:val="21"/>
                      <w:highlight w:val="none"/>
                    </w:rPr>
                  </w:pPr>
                  <w:r>
                    <w:rPr>
                      <w:rFonts w:hint="eastAsia"/>
                      <w:color w:val="000000" w:themeColor="text1"/>
                      <w:sz w:val="21"/>
                      <w:szCs w:val="21"/>
                      <w:highlight w:val="none"/>
                      <w:lang w:val="en-US" w:eastAsia="zh-CN"/>
                    </w:rPr>
                    <w:t>117.409868</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color w:val="000000" w:themeColor="text1"/>
                      <w:sz w:val="21"/>
                      <w:szCs w:val="21"/>
                      <w:highlight w:val="none"/>
                    </w:rPr>
                  </w:pPr>
                  <w:r>
                    <w:rPr>
                      <w:rFonts w:hint="eastAsia"/>
                      <w:color w:val="000000" w:themeColor="text1"/>
                      <w:sz w:val="21"/>
                      <w:szCs w:val="21"/>
                      <w:highlight w:val="none"/>
                      <w:lang w:val="en-US" w:eastAsia="zh-CN"/>
                    </w:rPr>
                    <w:t>40.385028</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color w:val="000000" w:themeColor="text1"/>
                      <w:kern w:val="44"/>
                      <w:sz w:val="21"/>
                      <w:szCs w:val="21"/>
                      <w:highlight w:val="none"/>
                    </w:rPr>
                    <w:t>旱沟</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rPr>
                    <w:t>S</w:t>
                  </w:r>
                </w:p>
              </w:tc>
              <w:tc>
                <w:tcPr>
                  <w:tcW w:w="478" w:type="pct"/>
                  <w:vAlign w:val="center"/>
                </w:tcPr>
                <w:p>
                  <w:pPr>
                    <w:spacing w:line="240" w:lineRule="auto"/>
                    <w:ind w:firstLine="0" w:firstLineChars="0"/>
                    <w:jc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1494</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rPr>
                    <w:t>117.231983</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rPr>
                    <w:t>40.230173</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rPr>
                    <w:t>南火道</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rPr>
                    <w:t>SW</w:t>
                  </w:r>
                </w:p>
              </w:tc>
              <w:tc>
                <w:tcPr>
                  <w:tcW w:w="478" w:type="pct"/>
                  <w:vAlign w:val="center"/>
                </w:tcPr>
                <w:p>
                  <w:pPr>
                    <w:spacing w:line="240" w:lineRule="auto"/>
                    <w:ind w:firstLine="0" w:firstLineChars="0"/>
                    <w:jc w:val="center"/>
                    <w:rPr>
                      <w:rFonts w:hint="eastAsia"/>
                      <w:snapToGrid w:val="0"/>
                      <w:color w:val="000000" w:themeColor="text1"/>
                      <w:kern w:val="0"/>
                      <w:sz w:val="21"/>
                      <w:szCs w:val="21"/>
                      <w:highlight w:val="none"/>
                    </w:rPr>
                  </w:pPr>
                  <w:r>
                    <w:rPr>
                      <w:rFonts w:hint="eastAsia"/>
                      <w:snapToGrid w:val="0"/>
                      <w:color w:val="000000" w:themeColor="text1"/>
                      <w:kern w:val="0"/>
                      <w:sz w:val="21"/>
                      <w:szCs w:val="21"/>
                      <w:highlight w:val="none"/>
                      <w:lang w:val="en-US" w:eastAsia="zh-CN"/>
                    </w:rPr>
                    <w:t>2567</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117.391763</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40.377301</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木厂沟</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SW</w:t>
                  </w:r>
                </w:p>
              </w:tc>
              <w:tc>
                <w:tcPr>
                  <w:tcW w:w="478" w:type="pct"/>
                  <w:vAlign w:val="center"/>
                </w:tcPr>
                <w:p>
                  <w:pPr>
                    <w:spacing w:line="240" w:lineRule="auto"/>
                    <w:ind w:firstLine="0" w:firstLineChars="0"/>
                    <w:jc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2978</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bCs/>
                      <w:snapToGrid w:val="0"/>
                      <w:color w:val="000000" w:themeColor="text1"/>
                      <w:kern w:val="0"/>
                      <w:sz w:val="21"/>
                      <w:szCs w:val="21"/>
                      <w:highlight w:val="none"/>
                    </w:rPr>
                    <w:t>117.243777</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bCs/>
                      <w:snapToGrid w:val="0"/>
                      <w:color w:val="000000" w:themeColor="text1"/>
                      <w:kern w:val="0"/>
                      <w:sz w:val="21"/>
                      <w:szCs w:val="21"/>
                      <w:highlight w:val="none"/>
                    </w:rPr>
                    <w:t>40.235389</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color w:val="000000" w:themeColor="text1"/>
                      <w:kern w:val="44"/>
                      <w:sz w:val="21"/>
                      <w:szCs w:val="21"/>
                      <w:highlight w:val="none"/>
                    </w:rPr>
                  </w:pPr>
                  <w:r>
                    <w:rPr>
                      <w:rFonts w:hint="eastAsia"/>
                      <w:bCs/>
                      <w:snapToGrid w:val="0"/>
                      <w:color w:val="000000" w:themeColor="text1"/>
                      <w:kern w:val="0"/>
                      <w:sz w:val="21"/>
                      <w:szCs w:val="21"/>
                      <w:highlight w:val="none"/>
                    </w:rPr>
                    <w:t>前苇塘村6#居民区</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W</w:t>
                  </w:r>
                </w:p>
              </w:tc>
              <w:tc>
                <w:tcPr>
                  <w:tcW w:w="478" w:type="pct"/>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374</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117.403924</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40.400153</w:t>
                  </w:r>
                </w:p>
              </w:tc>
              <w:tc>
                <w:tcPr>
                  <w:tcW w:w="676" w:type="pct"/>
                  <w:tcBorders>
                    <w:left w:val="single" w:color="auto" w:sz="4" w:space="0"/>
                    <w:right w:val="single" w:color="auto" w:sz="4" w:space="0"/>
                  </w:tcBorders>
                  <w:vAlign w:val="center"/>
                </w:tcPr>
                <w:p>
                  <w:pPr>
                    <w:spacing w:line="240" w:lineRule="auto"/>
                    <w:ind w:firstLine="0" w:firstLineChars="0"/>
                    <w:jc w:val="center"/>
                    <w:rPr>
                      <w:rFonts w:hint="eastAsia"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前苇塘村</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W</w:t>
                  </w:r>
                </w:p>
              </w:tc>
              <w:tc>
                <w:tcPr>
                  <w:tcW w:w="478" w:type="pct"/>
                  <w:vAlign w:val="center"/>
                </w:tcPr>
                <w:p>
                  <w:pPr>
                    <w:spacing w:line="240" w:lineRule="auto"/>
                    <w:ind w:firstLine="0" w:firstLineChars="0"/>
                    <w:jc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708</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rFonts w:hint="default" w:eastAsia="宋体"/>
                      <w:bCs/>
                      <w:snapToGrid w:val="0"/>
                      <w:color w:val="000000" w:themeColor="text1"/>
                      <w:kern w:val="0"/>
                      <w:sz w:val="21"/>
                      <w:szCs w:val="21"/>
                      <w:highlight w:val="none"/>
                      <w:lang w:val="en-US" w:eastAsia="zh-CN"/>
                    </w:rPr>
                  </w:pPr>
                  <w:r>
                    <w:rPr>
                      <w:rFonts w:hint="eastAsia"/>
                      <w:bCs/>
                      <w:snapToGrid w:val="0"/>
                      <w:color w:val="000000" w:themeColor="text1"/>
                      <w:kern w:val="0"/>
                      <w:sz w:val="21"/>
                      <w:szCs w:val="21"/>
                      <w:highlight w:val="none"/>
                      <w:lang w:val="en-US" w:eastAsia="zh-CN"/>
                    </w:rPr>
                    <w:t>117.389988</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default" w:eastAsia="宋体"/>
                      <w:bCs/>
                      <w:snapToGrid w:val="0"/>
                      <w:color w:val="000000" w:themeColor="text1"/>
                      <w:kern w:val="0"/>
                      <w:sz w:val="21"/>
                      <w:szCs w:val="21"/>
                      <w:highlight w:val="none"/>
                      <w:lang w:val="en-US" w:eastAsia="zh-CN"/>
                    </w:rPr>
                  </w:pPr>
                  <w:r>
                    <w:rPr>
                      <w:rFonts w:hint="eastAsia"/>
                      <w:bCs/>
                      <w:snapToGrid w:val="0"/>
                      <w:color w:val="000000" w:themeColor="text1"/>
                      <w:kern w:val="0"/>
                      <w:sz w:val="21"/>
                      <w:szCs w:val="21"/>
                      <w:highlight w:val="none"/>
                      <w:lang w:val="en-US" w:eastAsia="zh-CN"/>
                    </w:rPr>
                    <w:t>40.397522</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eastAsia"/>
                      <w:bCs/>
                      <w:snapToGrid w:val="0"/>
                      <w:color w:val="000000" w:themeColor="text1"/>
                      <w:kern w:val="0"/>
                      <w:sz w:val="21"/>
                      <w:szCs w:val="21"/>
                      <w:highlight w:val="none"/>
                    </w:rPr>
                  </w:pPr>
                  <w:r>
                    <w:rPr>
                      <w:rFonts w:hint="eastAsia"/>
                      <w:bCs/>
                      <w:snapToGrid w:val="0"/>
                      <w:color w:val="000000" w:themeColor="text1"/>
                      <w:kern w:val="0"/>
                      <w:sz w:val="21"/>
                      <w:szCs w:val="21"/>
                      <w:highlight w:val="none"/>
                      <w:lang w:val="en-US" w:eastAsia="zh-CN"/>
                    </w:rPr>
                    <w:t>小杨树沟</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rFonts w:hint="eastAsia"/>
                      <w:bCs/>
                      <w:snapToGrid w:val="0"/>
                      <w:color w:val="000000" w:themeColor="text1"/>
                      <w:kern w:val="0"/>
                      <w:sz w:val="21"/>
                      <w:szCs w:val="21"/>
                      <w:highlight w:val="none"/>
                    </w:rPr>
                  </w:pPr>
                  <w:r>
                    <w:rPr>
                      <w:rFonts w:hint="eastAsia"/>
                      <w:bCs/>
                      <w:snapToGrid w:val="0"/>
                      <w:color w:val="000000" w:themeColor="text1"/>
                      <w:kern w:val="0"/>
                      <w:sz w:val="21"/>
                      <w:szCs w:val="21"/>
                      <w:highlight w:val="none"/>
                    </w:rPr>
                    <w:t>W</w:t>
                  </w:r>
                </w:p>
              </w:tc>
              <w:tc>
                <w:tcPr>
                  <w:tcW w:w="478" w:type="pct"/>
                  <w:vAlign w:val="center"/>
                </w:tcPr>
                <w:p>
                  <w:pPr>
                    <w:topLinePunct/>
                    <w:spacing w:line="240" w:lineRule="auto"/>
                    <w:ind w:firstLine="0" w:firstLineChars="0"/>
                    <w:jc w:val="center"/>
                    <w:textAlignment w:val="center"/>
                    <w:rPr>
                      <w:rFonts w:hint="default" w:eastAsia="宋体"/>
                      <w:bCs/>
                      <w:snapToGrid w:val="0"/>
                      <w:color w:val="000000" w:themeColor="text1"/>
                      <w:kern w:val="0"/>
                      <w:sz w:val="21"/>
                      <w:szCs w:val="21"/>
                      <w:highlight w:val="none"/>
                      <w:lang w:val="en-US" w:eastAsia="zh-CN"/>
                    </w:rPr>
                  </w:pPr>
                  <w:r>
                    <w:rPr>
                      <w:rFonts w:hint="eastAsia"/>
                      <w:bCs/>
                      <w:snapToGrid w:val="0"/>
                      <w:color w:val="000000" w:themeColor="text1"/>
                      <w:kern w:val="0"/>
                      <w:sz w:val="21"/>
                      <w:szCs w:val="21"/>
                      <w:highlight w:val="none"/>
                      <w:lang w:val="en-US" w:eastAsia="zh-CN"/>
                    </w:rPr>
                    <w:t>2104</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bCs/>
                      <w:snapToGrid w:val="0"/>
                      <w:color w:val="000000" w:themeColor="text1"/>
                      <w:kern w:val="0"/>
                      <w:sz w:val="21"/>
                      <w:szCs w:val="21"/>
                      <w:highlight w:val="none"/>
                    </w:rPr>
                    <w:t>117.245274</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bCs/>
                      <w:snapToGrid w:val="0"/>
                      <w:color w:val="000000" w:themeColor="text1"/>
                      <w:kern w:val="0"/>
                      <w:sz w:val="21"/>
                      <w:szCs w:val="21"/>
                      <w:highlight w:val="none"/>
                    </w:rPr>
                    <w:t>40.235988</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前苇塘村1#居民区</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NW</w:t>
                  </w:r>
                </w:p>
              </w:tc>
              <w:tc>
                <w:tcPr>
                  <w:tcW w:w="478" w:type="pct"/>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175</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bCs/>
                      <w:snapToGrid w:val="0"/>
                      <w:color w:val="000000" w:themeColor="text1"/>
                      <w:kern w:val="0"/>
                      <w:sz w:val="21"/>
                      <w:szCs w:val="21"/>
                      <w:highlight w:val="none"/>
                    </w:rPr>
                    <w:t>117.245519</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bCs/>
                      <w:snapToGrid w:val="0"/>
                      <w:color w:val="000000" w:themeColor="text1"/>
                      <w:kern w:val="0"/>
                      <w:sz w:val="21"/>
                      <w:szCs w:val="21"/>
                      <w:highlight w:val="none"/>
                    </w:rPr>
                    <w:t>40.240133</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前苇塘村2#居民区</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N</w:t>
                  </w:r>
                </w:p>
              </w:tc>
              <w:tc>
                <w:tcPr>
                  <w:tcW w:w="478" w:type="pct"/>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209</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117.401226</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40.410879</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eastAsia"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北火道村</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snapToGrid w:val="0"/>
                      <w:color w:val="000000" w:themeColor="text1"/>
                      <w:kern w:val="0"/>
                      <w:sz w:val="21"/>
                      <w:szCs w:val="21"/>
                      <w:highlight w:val="none"/>
                    </w:rPr>
                  </w:pPr>
                  <w:r>
                    <w:rPr>
                      <w:rFonts w:hint="eastAsia"/>
                      <w:bCs/>
                      <w:snapToGrid w:val="0"/>
                      <w:color w:val="000000" w:themeColor="text1"/>
                      <w:kern w:val="0"/>
                      <w:sz w:val="21"/>
                      <w:szCs w:val="21"/>
                      <w:highlight w:val="none"/>
                    </w:rPr>
                    <w:t>NW</w:t>
                  </w:r>
                </w:p>
              </w:tc>
              <w:tc>
                <w:tcPr>
                  <w:tcW w:w="478" w:type="pct"/>
                  <w:vAlign w:val="center"/>
                </w:tcPr>
                <w:p>
                  <w:pPr>
                    <w:topLinePunct/>
                    <w:spacing w:line="240" w:lineRule="auto"/>
                    <w:ind w:firstLine="0" w:firstLineChars="0"/>
                    <w:jc w:val="center"/>
                    <w:textAlignment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1759</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topLinePunct/>
                    <w:spacing w:line="240" w:lineRule="auto"/>
                    <w:ind w:firstLine="0" w:firstLineChars="0"/>
                    <w:jc w:val="center"/>
                    <w:textAlignment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117.422466</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40.404646</w:t>
                  </w:r>
                </w:p>
              </w:tc>
              <w:tc>
                <w:tcPr>
                  <w:tcW w:w="676" w:type="pct"/>
                  <w:tcBorders>
                    <w:left w:val="single" w:color="auto" w:sz="4" w:space="0"/>
                    <w:right w:val="single" w:color="auto" w:sz="4" w:space="0"/>
                  </w:tcBorders>
                  <w:vAlign w:val="center"/>
                </w:tcPr>
                <w:p>
                  <w:pPr>
                    <w:topLinePunct/>
                    <w:spacing w:line="240" w:lineRule="auto"/>
                    <w:ind w:firstLine="0" w:firstLineChars="0"/>
                    <w:jc w:val="center"/>
                    <w:textAlignment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老脖子北沟</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topLinePunct/>
                    <w:spacing w:line="240" w:lineRule="auto"/>
                    <w:ind w:firstLine="0" w:firstLineChars="0"/>
                    <w:jc w:val="center"/>
                    <w:textAlignment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NE</w:t>
                  </w:r>
                </w:p>
              </w:tc>
              <w:tc>
                <w:tcPr>
                  <w:tcW w:w="478" w:type="pct"/>
                  <w:vAlign w:val="center"/>
                </w:tcPr>
                <w:p>
                  <w:pPr>
                    <w:topLinePunct/>
                    <w:spacing w:line="240" w:lineRule="auto"/>
                    <w:ind w:firstLine="0" w:firstLineChars="0"/>
                    <w:jc w:val="center"/>
                    <w:textAlignment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792</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748" w:type="pct"/>
                  <w:tcBorders>
                    <w:righ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117.260029</w:t>
                  </w:r>
                </w:p>
              </w:tc>
              <w:tc>
                <w:tcPr>
                  <w:tcW w:w="676" w:type="pct"/>
                  <w:tcBorders>
                    <w:left w:val="single" w:color="auto" w:sz="4" w:space="0"/>
                    <w:righ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40.242508</w:t>
                  </w:r>
                </w:p>
              </w:tc>
              <w:tc>
                <w:tcPr>
                  <w:tcW w:w="676" w:type="pct"/>
                  <w:tcBorders>
                    <w:left w:val="single" w:color="auto" w:sz="4" w:space="0"/>
                    <w:right w:val="single" w:color="auto" w:sz="4" w:space="0"/>
                  </w:tcBorders>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北青石岭</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居民</w:t>
                  </w:r>
                </w:p>
              </w:tc>
              <w:tc>
                <w:tcPr>
                  <w:tcW w:w="523"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二类区</w:t>
                  </w:r>
                </w:p>
              </w:tc>
              <w:tc>
                <w:tcPr>
                  <w:tcW w:w="387" w:type="pct"/>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NE</w:t>
                  </w:r>
                </w:p>
              </w:tc>
              <w:tc>
                <w:tcPr>
                  <w:tcW w:w="478" w:type="pct"/>
                  <w:vAlign w:val="center"/>
                </w:tcPr>
                <w:p>
                  <w:pPr>
                    <w:spacing w:line="240" w:lineRule="auto"/>
                    <w:ind w:firstLine="0" w:firstLineChars="0"/>
                    <w:jc w:val="center"/>
                    <w:rPr>
                      <w:rFonts w:hint="default" w:eastAsia="宋体"/>
                      <w:snapToGrid w:val="0"/>
                      <w:color w:val="000000" w:themeColor="text1"/>
                      <w:kern w:val="0"/>
                      <w:sz w:val="21"/>
                      <w:szCs w:val="21"/>
                      <w:highlight w:val="none"/>
                      <w:lang w:val="en-US" w:eastAsia="zh-CN"/>
                    </w:rPr>
                  </w:pPr>
                  <w:r>
                    <w:rPr>
                      <w:rFonts w:hint="eastAsia"/>
                      <w:snapToGrid w:val="0"/>
                      <w:color w:val="000000" w:themeColor="text1"/>
                      <w:kern w:val="0"/>
                      <w:sz w:val="21"/>
                      <w:szCs w:val="21"/>
                      <w:highlight w:val="none"/>
                      <w:lang w:val="en-US" w:eastAsia="zh-CN"/>
                    </w:rPr>
                    <w:t>1493</w:t>
                  </w:r>
                </w:p>
              </w:tc>
              <w:tc>
                <w:tcPr>
                  <w:tcW w:w="679"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13"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地表水环境</w:t>
                  </w:r>
                </w:p>
              </w:tc>
              <w:tc>
                <w:tcPr>
                  <w:tcW w:w="748" w:type="pct"/>
                  <w:tcBorders>
                    <w:righ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6" w:type="pct"/>
                  <w:tcBorders>
                    <w:left w:val="single" w:color="auto" w:sz="4" w:space="0"/>
                    <w:righ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676" w:type="pct"/>
                  <w:tcBorders>
                    <w:left w:val="single" w:color="auto" w:sz="4" w:space="0"/>
                    <w:right w:val="single" w:color="auto" w:sz="4" w:space="0"/>
                  </w:tcBorders>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清水河</w:t>
                  </w:r>
                </w:p>
              </w:tc>
              <w:tc>
                <w:tcPr>
                  <w:tcW w:w="415" w:type="pct"/>
                  <w:tcBorders>
                    <w:left w:val="single" w:color="auto" w:sz="4" w:space="0"/>
                  </w:tcBorders>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w:t>
                  </w:r>
                </w:p>
              </w:tc>
              <w:tc>
                <w:tcPr>
                  <w:tcW w:w="523"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Ⅱ类区</w:t>
                  </w:r>
                </w:p>
              </w:tc>
              <w:tc>
                <w:tcPr>
                  <w:tcW w:w="387" w:type="pct"/>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N</w:t>
                  </w:r>
                </w:p>
              </w:tc>
              <w:tc>
                <w:tcPr>
                  <w:tcW w:w="478" w:type="pct"/>
                  <w:vAlign w:val="center"/>
                </w:tcPr>
                <w:p>
                  <w:pPr>
                    <w:spacing w:line="240" w:lineRule="auto"/>
                    <w:ind w:firstLine="0" w:firstLineChars="0"/>
                    <w:jc w:val="center"/>
                    <w:rPr>
                      <w:snapToGrid w:val="0"/>
                      <w:color w:val="000000" w:themeColor="text1"/>
                      <w:kern w:val="0"/>
                      <w:sz w:val="21"/>
                      <w:szCs w:val="21"/>
                      <w:highlight w:val="none"/>
                    </w:rPr>
                  </w:pPr>
                  <w:r>
                    <w:rPr>
                      <w:rFonts w:hint="eastAsia"/>
                      <w:snapToGrid w:val="0"/>
                      <w:color w:val="000000" w:themeColor="text1"/>
                      <w:kern w:val="0"/>
                      <w:sz w:val="21"/>
                      <w:szCs w:val="21"/>
                      <w:highlight w:val="none"/>
                    </w:rPr>
                    <w:t>523</w:t>
                  </w:r>
                </w:p>
              </w:tc>
              <w:tc>
                <w:tcPr>
                  <w:tcW w:w="679"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《地表水环境质量标准》（GB3838-2002）中Ⅱ类标准</w:t>
                  </w:r>
                </w:p>
              </w:tc>
            </w:tr>
          </w:tbl>
          <w:p>
            <w:pPr>
              <w:ind w:firstLine="0" w:firstLineChars="0"/>
              <w:rPr>
                <w:rFonts w:ascii="宋体" w:hAnsi="宋体" w:cs="宋体"/>
                <w:color w:val="000000" w:themeColor="text1"/>
                <w:kern w:val="21"/>
                <w:sz w:val="16"/>
                <w:szCs w:val="13"/>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89" w:hRule="atLeast"/>
          <w:jc w:val="center"/>
        </w:trPr>
        <w:tc>
          <w:tcPr>
            <w:tcW w:w="506" w:type="dxa"/>
            <w:noWrap/>
            <w:tcMar>
              <w:left w:w="28" w:type="dxa"/>
              <w:right w:w="28" w:type="dxa"/>
            </w:tcMar>
            <w:vAlign w:val="center"/>
          </w:tcPr>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污</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染</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物</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排</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放</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控</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制</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标</w:t>
            </w:r>
          </w:p>
          <w:p>
            <w:pPr>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准</w:t>
            </w:r>
          </w:p>
        </w:tc>
        <w:tc>
          <w:tcPr>
            <w:tcW w:w="8555" w:type="dxa"/>
            <w:noWrap/>
            <w:vAlign w:val="center"/>
          </w:tcPr>
          <w:p>
            <w:pPr>
              <w:ind w:firstLine="482"/>
              <w:rPr>
                <w:b/>
                <w:bCs/>
                <w:color w:val="000000" w:themeColor="text1"/>
                <w:highlight w:val="none"/>
              </w:rPr>
            </w:pPr>
            <w:r>
              <w:rPr>
                <w:rFonts w:hint="eastAsia"/>
                <w:b/>
                <w:bCs/>
                <w:color w:val="000000" w:themeColor="text1"/>
                <w:highlight w:val="none"/>
              </w:rPr>
              <w:t>1、大气污染物排放标准</w:t>
            </w:r>
          </w:p>
          <w:p>
            <w:pPr>
              <w:ind w:firstLine="480"/>
              <w:rPr>
                <w:color w:val="000000" w:themeColor="text1"/>
                <w:kern w:val="0"/>
                <w:highlight w:val="none"/>
              </w:rPr>
            </w:pPr>
            <w:r>
              <w:rPr>
                <w:rFonts w:hint="eastAsia"/>
                <w:color w:val="000000" w:themeColor="text1"/>
                <w:highlight w:val="none"/>
              </w:rPr>
              <w:t>施工期</w:t>
            </w:r>
            <w:r>
              <w:rPr>
                <w:color w:val="000000" w:themeColor="text1"/>
                <w:highlight w:val="none"/>
              </w:rPr>
              <w:t>颗粒物的排放</w:t>
            </w:r>
            <w:r>
              <w:rPr>
                <w:color w:val="000000" w:themeColor="text1"/>
                <w:kern w:val="0"/>
                <w:highlight w:val="none"/>
              </w:rPr>
              <w:t>执行《施工场地扬尘排放标准》（DB13/2934-2019）表1扬尘排放浓度限值</w:t>
            </w:r>
            <w:r>
              <w:rPr>
                <w:rFonts w:hint="eastAsia"/>
                <w:color w:val="000000" w:themeColor="text1"/>
                <w:kern w:val="0"/>
                <w:highlight w:val="none"/>
              </w:rPr>
              <w:t>。</w:t>
            </w:r>
            <w:r>
              <w:rPr>
                <w:color w:val="000000" w:themeColor="text1"/>
                <w:highlight w:val="none"/>
              </w:rPr>
              <w:t>具体标准限值详见下表：</w:t>
            </w:r>
          </w:p>
          <w:p>
            <w:pPr>
              <w:widowControl/>
              <w:numPr>
                <w:ilvl w:val="0"/>
                <w:numId w:val="4"/>
              </w:numPr>
              <w:adjustRightInd/>
              <w:ind w:firstLineChars="0"/>
              <w:jc w:val="center"/>
              <w:rPr>
                <w:b/>
                <w:color w:val="000000" w:themeColor="text1"/>
                <w:kern w:val="44"/>
                <w:sz w:val="21"/>
                <w:szCs w:val="21"/>
                <w:highlight w:val="none"/>
              </w:rPr>
            </w:pPr>
            <w:r>
              <w:rPr>
                <w:rFonts w:hint="eastAsia"/>
                <w:b/>
                <w:color w:val="000000" w:themeColor="text1"/>
                <w:kern w:val="44"/>
                <w:sz w:val="21"/>
                <w:szCs w:val="21"/>
                <w:highlight w:val="none"/>
              </w:rPr>
              <w:t>施工期</w:t>
            </w:r>
            <w:r>
              <w:rPr>
                <w:b/>
                <w:color w:val="000000" w:themeColor="text1"/>
                <w:kern w:val="44"/>
                <w:sz w:val="21"/>
                <w:szCs w:val="21"/>
                <w:highlight w:val="none"/>
              </w:rPr>
              <w:t>大气污染物排放标准</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2289"/>
              <w:gridCol w:w="916"/>
              <w:gridCol w:w="1393"/>
              <w:gridCol w:w="1117"/>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Align w:val="center"/>
                </w:tcPr>
                <w:p>
                  <w:pPr>
                    <w:topLinePunct/>
                    <w:spacing w:line="240" w:lineRule="auto"/>
                    <w:ind w:firstLine="0" w:firstLineChars="0"/>
                    <w:jc w:val="center"/>
                    <w:textAlignment w:val="center"/>
                    <w:rPr>
                      <w:b/>
                      <w:color w:val="000000" w:themeColor="text1"/>
                      <w:sz w:val="21"/>
                      <w:szCs w:val="21"/>
                      <w:highlight w:val="none"/>
                    </w:rPr>
                  </w:pPr>
                  <w:r>
                    <w:rPr>
                      <w:b/>
                      <w:color w:val="000000" w:themeColor="text1"/>
                      <w:sz w:val="21"/>
                      <w:szCs w:val="21"/>
                      <w:highlight w:val="none"/>
                    </w:rPr>
                    <w:t>污染源类别</w:t>
                  </w:r>
                </w:p>
              </w:tc>
              <w:tc>
                <w:tcPr>
                  <w:tcW w:w="1374" w:type="pct"/>
                  <w:vAlign w:val="center"/>
                </w:tcPr>
                <w:p>
                  <w:pPr>
                    <w:wordWrap w:val="0"/>
                    <w:topLinePunct/>
                    <w:spacing w:line="240" w:lineRule="auto"/>
                    <w:ind w:firstLine="0" w:firstLineChars="0"/>
                    <w:jc w:val="center"/>
                    <w:textAlignment w:val="center"/>
                    <w:rPr>
                      <w:b/>
                      <w:color w:val="000000" w:themeColor="text1"/>
                      <w:sz w:val="21"/>
                      <w:szCs w:val="21"/>
                      <w:highlight w:val="none"/>
                    </w:rPr>
                  </w:pPr>
                  <w:r>
                    <w:rPr>
                      <w:b/>
                      <w:color w:val="000000" w:themeColor="text1"/>
                      <w:sz w:val="21"/>
                      <w:szCs w:val="21"/>
                      <w:highlight w:val="none"/>
                    </w:rPr>
                    <w:t>标准名称</w:t>
                  </w:r>
                </w:p>
              </w:tc>
              <w:tc>
                <w:tcPr>
                  <w:tcW w:w="550" w:type="pct"/>
                  <w:vAlign w:val="center"/>
                </w:tcPr>
                <w:p>
                  <w:pPr>
                    <w:wordWrap w:val="0"/>
                    <w:topLinePunct/>
                    <w:spacing w:line="240" w:lineRule="auto"/>
                    <w:ind w:firstLine="0" w:firstLineChars="0"/>
                    <w:jc w:val="center"/>
                    <w:textAlignment w:val="center"/>
                    <w:rPr>
                      <w:b/>
                      <w:color w:val="000000" w:themeColor="text1"/>
                      <w:sz w:val="21"/>
                      <w:szCs w:val="21"/>
                      <w:highlight w:val="none"/>
                    </w:rPr>
                  </w:pPr>
                  <w:r>
                    <w:rPr>
                      <w:b/>
                      <w:color w:val="000000" w:themeColor="text1"/>
                      <w:sz w:val="21"/>
                      <w:szCs w:val="21"/>
                      <w:highlight w:val="none"/>
                    </w:rPr>
                    <w:t>污染物</w:t>
                  </w:r>
                </w:p>
              </w:tc>
              <w:tc>
                <w:tcPr>
                  <w:tcW w:w="836" w:type="pct"/>
                  <w:vAlign w:val="center"/>
                </w:tcPr>
                <w:p>
                  <w:pPr>
                    <w:wordWrap w:val="0"/>
                    <w:topLinePunct/>
                    <w:spacing w:line="240" w:lineRule="auto"/>
                    <w:ind w:firstLine="0" w:firstLineChars="0"/>
                    <w:jc w:val="center"/>
                    <w:textAlignment w:val="center"/>
                    <w:rPr>
                      <w:b/>
                      <w:color w:val="000000" w:themeColor="text1"/>
                      <w:sz w:val="21"/>
                      <w:szCs w:val="21"/>
                      <w:highlight w:val="none"/>
                    </w:rPr>
                  </w:pPr>
                  <w:r>
                    <w:rPr>
                      <w:b/>
                      <w:color w:val="000000" w:themeColor="text1"/>
                      <w:sz w:val="21"/>
                      <w:szCs w:val="21"/>
                      <w:highlight w:val="none"/>
                    </w:rPr>
                    <w:t>排放类型</w:t>
                  </w:r>
                </w:p>
              </w:tc>
              <w:tc>
                <w:tcPr>
                  <w:tcW w:w="670" w:type="pct"/>
                  <w:vAlign w:val="center"/>
                </w:tcPr>
                <w:p>
                  <w:pPr>
                    <w:topLinePunct/>
                    <w:spacing w:line="240" w:lineRule="auto"/>
                    <w:ind w:firstLine="0" w:firstLineChars="0"/>
                    <w:jc w:val="center"/>
                    <w:textAlignment w:val="center"/>
                    <w:rPr>
                      <w:b/>
                      <w:color w:val="000000" w:themeColor="text1"/>
                      <w:sz w:val="21"/>
                      <w:szCs w:val="21"/>
                      <w:highlight w:val="none"/>
                    </w:rPr>
                  </w:pPr>
                  <w:r>
                    <w:rPr>
                      <w:b/>
                      <w:color w:val="000000" w:themeColor="text1"/>
                      <w:sz w:val="21"/>
                      <w:szCs w:val="21"/>
                      <w:highlight w:val="none"/>
                    </w:rPr>
                    <w:t>浓度限值</w:t>
                  </w:r>
                </w:p>
              </w:tc>
              <w:tc>
                <w:tcPr>
                  <w:tcW w:w="812" w:type="pct"/>
                  <w:vAlign w:val="center"/>
                </w:tcPr>
                <w:p>
                  <w:pPr>
                    <w:topLinePunct/>
                    <w:spacing w:line="240" w:lineRule="auto"/>
                    <w:ind w:firstLine="0" w:firstLineChars="0"/>
                    <w:jc w:val="center"/>
                    <w:textAlignment w:val="center"/>
                    <w:rPr>
                      <w:b/>
                      <w:color w:val="000000" w:themeColor="text1"/>
                      <w:sz w:val="21"/>
                      <w:szCs w:val="21"/>
                      <w:highlight w:val="none"/>
                    </w:rPr>
                  </w:pPr>
                  <w:r>
                    <w:rPr>
                      <w:b/>
                      <w:color w:val="000000" w:themeColor="text1"/>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废气</w:t>
                  </w:r>
                </w:p>
              </w:tc>
              <w:tc>
                <w:tcPr>
                  <w:tcW w:w="1374"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《施工场地扬尘排放标准》(DB13/2934-2019)</w:t>
                  </w:r>
                </w:p>
              </w:tc>
              <w:tc>
                <w:tcPr>
                  <w:tcW w:w="550"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PM</w:t>
                  </w:r>
                  <w:r>
                    <w:rPr>
                      <w:color w:val="000000" w:themeColor="text1"/>
                      <w:sz w:val="21"/>
                      <w:szCs w:val="21"/>
                      <w:highlight w:val="none"/>
                      <w:vertAlign w:val="subscript"/>
                    </w:rPr>
                    <w:t>10</w:t>
                  </w:r>
                  <w:r>
                    <w:rPr>
                      <w:b/>
                      <w:bCs/>
                      <w:color w:val="000000" w:themeColor="text1"/>
                      <w:sz w:val="21"/>
                      <w:szCs w:val="21"/>
                      <w:highlight w:val="none"/>
                    </w:rPr>
                    <w:t>*</w:t>
                  </w:r>
                </w:p>
              </w:tc>
              <w:tc>
                <w:tcPr>
                  <w:tcW w:w="836"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无组织排放</w:t>
                  </w:r>
                </w:p>
              </w:tc>
              <w:tc>
                <w:tcPr>
                  <w:tcW w:w="670"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80</w:t>
                  </w:r>
                </w:p>
              </w:tc>
              <w:tc>
                <w:tcPr>
                  <w:tcW w:w="812"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1374"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550"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836"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70"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2</w:t>
                  </w:r>
                </w:p>
              </w:tc>
              <w:tc>
                <w:tcPr>
                  <w:tcW w:w="81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次/天</w:t>
                  </w:r>
                </w:p>
              </w:tc>
            </w:tr>
          </w:tbl>
          <w:p>
            <w:pPr>
              <w:pStyle w:val="10"/>
              <w:spacing w:line="240" w:lineRule="auto"/>
              <w:ind w:left="0" w:leftChars="0" w:firstLine="0" w:firstLineChars="0"/>
              <w:rPr>
                <w:color w:val="000000" w:themeColor="text1"/>
                <w:highlight w:val="none"/>
              </w:rPr>
            </w:pPr>
            <w:r>
              <w:rPr>
                <w:b/>
                <w:color w:val="000000" w:themeColor="text1"/>
                <w:spacing w:val="-11"/>
                <w:kern w:val="44"/>
                <w:sz w:val="20"/>
                <w:szCs w:val="21"/>
                <w:highlight w:val="none"/>
              </w:rPr>
              <w:t>备注：PM</w:t>
            </w:r>
            <w:r>
              <w:rPr>
                <w:b/>
                <w:color w:val="000000" w:themeColor="text1"/>
                <w:spacing w:val="-11"/>
                <w:kern w:val="44"/>
                <w:sz w:val="20"/>
                <w:szCs w:val="21"/>
                <w:highlight w:val="none"/>
                <w:vertAlign w:val="subscript"/>
              </w:rPr>
              <w:t>10</w:t>
            </w:r>
            <w:r>
              <w:rPr>
                <w:b/>
                <w:color w:val="000000" w:themeColor="text1"/>
                <w:spacing w:val="-11"/>
                <w:kern w:val="44"/>
                <w:sz w:val="20"/>
                <w:szCs w:val="21"/>
                <w:highlight w:val="none"/>
              </w:rPr>
              <w:t>排放</w:t>
            </w:r>
            <w:r>
              <w:rPr>
                <w:b/>
                <w:color w:val="000000" w:themeColor="text1"/>
                <w:spacing w:val="-11"/>
                <w:sz w:val="20"/>
                <w:highlight w:val="none"/>
              </w:rPr>
              <w:t>标准为</w:t>
            </w:r>
            <w:r>
              <w:rPr>
                <w:b/>
                <w:color w:val="000000" w:themeColor="text1"/>
                <w:spacing w:val="-11"/>
                <w:kern w:val="44"/>
                <w:sz w:val="20"/>
                <w:szCs w:val="21"/>
                <w:highlight w:val="none"/>
              </w:rPr>
              <w:t>监测点浓度限值，指监测点PM</w:t>
            </w:r>
            <w:r>
              <w:rPr>
                <w:b/>
                <w:color w:val="000000" w:themeColor="text1"/>
                <w:spacing w:val="-11"/>
                <w:kern w:val="44"/>
                <w:sz w:val="20"/>
                <w:szCs w:val="21"/>
                <w:highlight w:val="none"/>
                <w:vertAlign w:val="subscript"/>
              </w:rPr>
              <w:t>10</w:t>
            </w:r>
            <w:r>
              <w:rPr>
                <w:b/>
                <w:color w:val="000000" w:themeColor="text1"/>
                <w:spacing w:val="-11"/>
                <w:kern w:val="44"/>
                <w:sz w:val="20"/>
                <w:szCs w:val="21"/>
                <w:highlight w:val="none"/>
              </w:rPr>
              <w:t>小时平均浓度实测值与同时段所属县（市、区）PM</w:t>
            </w:r>
            <w:r>
              <w:rPr>
                <w:b/>
                <w:color w:val="000000" w:themeColor="text1"/>
                <w:spacing w:val="-11"/>
                <w:kern w:val="44"/>
                <w:sz w:val="20"/>
                <w:szCs w:val="21"/>
                <w:highlight w:val="none"/>
                <w:vertAlign w:val="subscript"/>
              </w:rPr>
              <w:t>10</w:t>
            </w:r>
            <w:r>
              <w:rPr>
                <w:b/>
                <w:color w:val="000000" w:themeColor="text1"/>
                <w:spacing w:val="-11"/>
                <w:kern w:val="44"/>
                <w:sz w:val="20"/>
                <w:szCs w:val="21"/>
                <w:highlight w:val="none"/>
              </w:rPr>
              <w:t>小时平均浓度的差值。当县（市、区）PM</w:t>
            </w:r>
            <w:r>
              <w:rPr>
                <w:b/>
                <w:color w:val="000000" w:themeColor="text1"/>
                <w:spacing w:val="-11"/>
                <w:kern w:val="44"/>
                <w:sz w:val="20"/>
                <w:szCs w:val="21"/>
                <w:highlight w:val="none"/>
                <w:vertAlign w:val="subscript"/>
              </w:rPr>
              <w:t>10</w:t>
            </w:r>
            <w:r>
              <w:rPr>
                <w:b/>
                <w:color w:val="000000" w:themeColor="text1"/>
                <w:spacing w:val="-11"/>
                <w:kern w:val="44"/>
                <w:sz w:val="20"/>
                <w:szCs w:val="21"/>
                <w:highlight w:val="none"/>
              </w:rPr>
              <w:t>小时平均浓度值大于150μg/m³时，以150μg/m³计</w:t>
            </w:r>
            <w:r>
              <w:rPr>
                <w:rFonts w:hint="eastAsia"/>
                <w:b/>
                <w:color w:val="000000" w:themeColor="text1"/>
                <w:kern w:val="44"/>
                <w:sz w:val="20"/>
                <w:szCs w:val="21"/>
                <w:highlight w:val="none"/>
              </w:rPr>
              <w:t>。</w:t>
            </w:r>
          </w:p>
          <w:p>
            <w:pPr>
              <w:rPr>
                <w:rFonts w:hint="eastAsia" w:eastAsia="宋体"/>
                <w:color w:val="000000" w:themeColor="text1"/>
                <w:highlight w:val="none"/>
                <w:lang w:val="en-US" w:eastAsia="zh-CN"/>
              </w:rPr>
            </w:pPr>
            <w:r>
              <w:rPr>
                <w:rFonts w:hint="eastAsia"/>
                <w:color w:val="000000" w:themeColor="text1"/>
                <w:highlight w:val="none"/>
                <w:lang w:val="en-US" w:eastAsia="zh-CN"/>
              </w:rPr>
              <w:t>运行期骨料</w:t>
            </w:r>
            <w:r>
              <w:rPr>
                <w:rFonts w:hint="eastAsia"/>
                <w:color w:val="000000" w:themeColor="text1"/>
                <w:highlight w:val="none"/>
              </w:rPr>
              <w:t>筛分及烘干滚筒</w:t>
            </w:r>
            <w:r>
              <w:rPr>
                <w:color w:val="000000" w:themeColor="text1"/>
                <w:highlight w:val="none"/>
              </w:rPr>
              <w:t>废气</w:t>
            </w:r>
            <w:r>
              <w:rPr>
                <w:rFonts w:hint="eastAsia"/>
                <w:color w:val="000000" w:themeColor="text1"/>
                <w:highlight w:val="none"/>
                <w:lang w:val="en-US" w:eastAsia="zh-CN"/>
              </w:rPr>
              <w:t>经一根15m高排气筒排放，有组织颗粒物、SO</w:t>
            </w:r>
            <w:r>
              <w:rPr>
                <w:rFonts w:hint="eastAsia"/>
                <w:color w:val="000000" w:themeColor="text1"/>
                <w:highlight w:val="none"/>
                <w:vertAlign w:val="subscript"/>
                <w:lang w:val="en-US" w:eastAsia="zh-CN"/>
              </w:rPr>
              <w:t>2</w:t>
            </w:r>
            <w:r>
              <w:rPr>
                <w:rFonts w:hint="eastAsia"/>
                <w:color w:val="000000" w:themeColor="text1"/>
                <w:highlight w:val="none"/>
                <w:vertAlign w:val="baseline"/>
                <w:lang w:val="en-US" w:eastAsia="zh-CN"/>
              </w:rPr>
              <w:t>、NOx、烟气黑度</w:t>
            </w:r>
            <w:r>
              <w:rPr>
                <w:color w:val="000000" w:themeColor="text1"/>
                <w:highlight w:val="none"/>
              </w:rPr>
              <w:t>执行《工业炉窑大气污染物排放标准》（DB13/1640-2012）表1、表2工业炉窑污染物排放限值</w:t>
            </w:r>
            <w:r>
              <w:rPr>
                <w:rFonts w:hint="eastAsia"/>
                <w:color w:val="000000" w:themeColor="text1"/>
                <w:highlight w:val="none"/>
              </w:rPr>
              <w:t>及《承德市工业炉窑综合治理实施方案》承环办【2020】72号</w:t>
            </w:r>
            <w:r>
              <w:rPr>
                <w:color w:val="000000" w:themeColor="text1"/>
                <w:highlight w:val="none"/>
              </w:rPr>
              <w:t>工业炉窑污染物排放限值</w:t>
            </w:r>
            <w:r>
              <w:rPr>
                <w:rFonts w:hint="eastAsia"/>
                <w:color w:val="000000" w:themeColor="text1"/>
                <w:highlight w:val="none"/>
                <w:lang w:eastAsia="zh-CN"/>
              </w:rPr>
              <w:t>。各种工业炉窑烟囱（或排气筒）最低允许高度为15m，</w:t>
            </w:r>
            <w:r>
              <w:rPr>
                <w:rFonts w:hint="eastAsia"/>
                <w:color w:val="000000" w:themeColor="text1"/>
                <w:highlight w:val="none"/>
              </w:rPr>
              <w:t>当烟囱（或排气筒）周围半径200m距离内有建筑物时，烟囱（或排气筒）还应高出最高建筑物3.0m以上</w:t>
            </w:r>
            <w:r>
              <w:rPr>
                <w:rFonts w:hint="eastAsia"/>
                <w:color w:val="000000" w:themeColor="text1"/>
                <w:highlight w:val="none"/>
                <w:lang w:eastAsia="zh-CN"/>
              </w:rPr>
              <w:t>。</w:t>
            </w:r>
          </w:p>
          <w:p>
            <w:pPr>
              <w:rPr>
                <w:rFonts w:hint="eastAsia"/>
                <w:color w:val="000000" w:themeColor="text1"/>
                <w:highlight w:val="none"/>
                <w:lang w:val="en-US" w:eastAsia="zh-CN"/>
              </w:rPr>
            </w:pPr>
            <w:r>
              <w:rPr>
                <w:rFonts w:hint="eastAsia"/>
                <w:color w:val="000000" w:themeColor="text1"/>
                <w:highlight w:val="none"/>
                <w:lang w:val="en-US" w:eastAsia="zh-CN"/>
              </w:rPr>
              <w:t>运行期</w:t>
            </w:r>
            <w:r>
              <w:rPr>
                <w:rFonts w:hint="eastAsia"/>
                <w:color w:val="000000" w:themeColor="text1"/>
                <w:highlight w:val="none"/>
              </w:rPr>
              <w:t>沥青储罐</w:t>
            </w:r>
            <w:r>
              <w:rPr>
                <w:rFonts w:hint="eastAsia"/>
                <w:color w:val="000000" w:themeColor="text1"/>
                <w:highlight w:val="none"/>
                <w:lang w:val="en-US" w:eastAsia="zh-CN"/>
              </w:rPr>
              <w:t>及沥青卸料池</w:t>
            </w:r>
            <w:r>
              <w:rPr>
                <w:rFonts w:hint="eastAsia"/>
                <w:color w:val="000000" w:themeColor="text1"/>
                <w:highlight w:val="none"/>
              </w:rPr>
              <w:t>呼吸、</w:t>
            </w:r>
            <w:r>
              <w:rPr>
                <w:rFonts w:hint="eastAsia"/>
                <w:color w:val="000000" w:themeColor="text1"/>
                <w:highlight w:val="none"/>
                <w:lang w:val="en-US" w:eastAsia="zh-CN"/>
              </w:rPr>
              <w:t>搅拌机</w:t>
            </w:r>
            <w:r>
              <w:rPr>
                <w:rFonts w:hint="eastAsia"/>
                <w:color w:val="000000" w:themeColor="text1"/>
                <w:highlight w:val="none"/>
              </w:rPr>
              <w:t>呼吸口及卸料口</w:t>
            </w:r>
            <w:r>
              <w:rPr>
                <w:rFonts w:hint="eastAsia"/>
                <w:color w:val="000000" w:themeColor="text1"/>
                <w:highlight w:val="none"/>
                <w:lang w:val="en-US" w:eastAsia="zh-CN"/>
              </w:rPr>
              <w:t>产生的废气经一根17m高排气筒排放，有组织颗粒物、</w:t>
            </w:r>
            <w:r>
              <w:rPr>
                <w:rFonts w:hint="eastAsia"/>
                <w:color w:val="000000" w:themeColor="text1"/>
                <w:kern w:val="0"/>
                <w:highlight w:val="none"/>
              </w:rPr>
              <w:t>沥青烟、苯并[a]芘的</w:t>
            </w:r>
            <w:r>
              <w:rPr>
                <w:color w:val="000000" w:themeColor="text1"/>
                <w:highlight w:val="none"/>
              </w:rPr>
              <w:t>排放执行《大气污染物综合排放标准》（GB16297-1996）表2二级标准</w:t>
            </w:r>
            <w:r>
              <w:rPr>
                <w:rFonts w:hint="eastAsia"/>
                <w:color w:val="000000" w:themeColor="text1"/>
                <w:highlight w:val="none"/>
                <w:lang w:eastAsia="zh-CN"/>
              </w:rPr>
              <w:t>，</w:t>
            </w:r>
            <w:r>
              <w:rPr>
                <w:rFonts w:hint="eastAsia"/>
                <w:color w:val="000000" w:themeColor="text1"/>
                <w:highlight w:val="none"/>
              </w:rPr>
              <w:t>排气筒高度</w:t>
            </w:r>
            <w:r>
              <w:rPr>
                <w:rFonts w:hint="eastAsia"/>
                <w:color w:val="000000" w:themeColor="text1"/>
                <w:highlight w:val="none"/>
                <w:lang w:val="en-US" w:eastAsia="zh-CN"/>
              </w:rPr>
              <w:t>除应遵守表列排放速率标准值外还应</w:t>
            </w:r>
            <w:r>
              <w:rPr>
                <w:rFonts w:hint="eastAsia"/>
                <w:color w:val="000000" w:themeColor="text1"/>
                <w:highlight w:val="none"/>
              </w:rPr>
              <w:t>高</w:t>
            </w:r>
            <w:r>
              <w:rPr>
                <w:rFonts w:hint="eastAsia"/>
                <w:color w:val="000000" w:themeColor="text1"/>
                <w:highlight w:val="none"/>
                <w:lang w:val="en-US" w:eastAsia="zh-CN"/>
              </w:rPr>
              <w:t>出</w:t>
            </w:r>
            <w:r>
              <w:rPr>
                <w:rFonts w:hint="eastAsia"/>
                <w:color w:val="000000" w:themeColor="text1"/>
                <w:highlight w:val="none"/>
              </w:rPr>
              <w:t>周围200m半径范围的建筑5m以上</w:t>
            </w:r>
            <w:r>
              <w:rPr>
                <w:rFonts w:hint="eastAsia"/>
                <w:color w:val="000000" w:themeColor="text1"/>
                <w:highlight w:val="none"/>
                <w:lang w:eastAsia="zh-CN"/>
              </w:rPr>
              <w:t>，</w:t>
            </w:r>
            <w:r>
              <w:rPr>
                <w:rFonts w:hint="eastAsia"/>
                <w:color w:val="000000" w:themeColor="text1"/>
                <w:highlight w:val="none"/>
                <w:lang w:val="en-US" w:eastAsia="zh-CN"/>
              </w:rPr>
              <w:t>当不能达到该要求时，应按其高度对应的表列排放速率标准值严格50%执行。有组织</w:t>
            </w:r>
            <w:r>
              <w:rPr>
                <w:rFonts w:hint="eastAsia"/>
                <w:color w:val="000000" w:themeColor="text1"/>
                <w:highlight w:val="none"/>
              </w:rPr>
              <w:t>非甲烷总烃排放执行《工业企业挥发性有机物排放控制标准》（DB13/2322-2016）表1中其他行业最高允许排放浓度限值</w:t>
            </w:r>
            <w:r>
              <w:rPr>
                <w:rFonts w:hint="eastAsia"/>
                <w:color w:val="000000" w:themeColor="text1"/>
                <w:highlight w:val="none"/>
                <w:lang w:eastAsia="zh-CN"/>
              </w:rPr>
              <w:t>。</w:t>
            </w:r>
            <w:r>
              <w:rPr>
                <w:rFonts w:hint="eastAsia"/>
                <w:color w:val="000000" w:themeColor="text1"/>
                <w:highlight w:val="none"/>
                <w:lang w:val="en-US" w:eastAsia="zh-CN"/>
              </w:rPr>
              <w:t>企业排气筒高度一般不应低于15m。排气筒高度应高出周围200m半径范围的建筑5m以上。高度如果达不到规定时，按排放限值的50%执行。</w:t>
            </w:r>
          </w:p>
          <w:p>
            <w:pPr>
              <w:rPr>
                <w:rFonts w:hint="eastAsia"/>
                <w:color w:val="000000" w:themeColor="text1"/>
                <w:highlight w:val="none"/>
                <w:lang w:eastAsia="zh-CN"/>
              </w:rPr>
            </w:pPr>
            <w:r>
              <w:rPr>
                <w:rFonts w:hint="eastAsia"/>
                <w:color w:val="000000" w:themeColor="text1"/>
                <w:highlight w:val="none"/>
                <w:lang w:val="en-US" w:eastAsia="zh-CN"/>
              </w:rPr>
              <w:t>运行期</w:t>
            </w:r>
            <w:r>
              <w:rPr>
                <w:color w:val="000000" w:themeColor="text1"/>
                <w:highlight w:val="none"/>
              </w:rPr>
              <w:t>导热油炉</w:t>
            </w:r>
            <w:r>
              <w:rPr>
                <w:rFonts w:hint="eastAsia"/>
                <w:color w:val="000000" w:themeColor="text1"/>
                <w:highlight w:val="none"/>
              </w:rPr>
              <w:t>燃气</w:t>
            </w:r>
            <w:r>
              <w:rPr>
                <w:color w:val="000000" w:themeColor="text1"/>
                <w:highlight w:val="none"/>
              </w:rPr>
              <w:t>废气</w:t>
            </w:r>
            <w:r>
              <w:rPr>
                <w:rFonts w:hint="eastAsia"/>
                <w:color w:val="000000" w:themeColor="text1"/>
                <w:highlight w:val="none"/>
                <w:lang w:val="en-US" w:eastAsia="zh-CN"/>
              </w:rPr>
              <w:t>经一根15m高排气筒排放，有组织颗粒物、SO</w:t>
            </w:r>
            <w:r>
              <w:rPr>
                <w:rFonts w:hint="eastAsia"/>
                <w:color w:val="000000" w:themeColor="text1"/>
                <w:highlight w:val="none"/>
                <w:vertAlign w:val="subscript"/>
                <w:lang w:val="en-US" w:eastAsia="zh-CN"/>
              </w:rPr>
              <w:t>2</w:t>
            </w:r>
            <w:r>
              <w:rPr>
                <w:rFonts w:hint="eastAsia"/>
                <w:color w:val="000000" w:themeColor="text1"/>
                <w:highlight w:val="none"/>
                <w:vertAlign w:val="baseline"/>
                <w:lang w:val="en-US" w:eastAsia="zh-CN"/>
              </w:rPr>
              <w:t>、NOx、烟气黑度</w:t>
            </w:r>
            <w:r>
              <w:rPr>
                <w:rFonts w:hint="eastAsia"/>
                <w:color w:val="000000" w:themeColor="text1"/>
                <w:highlight w:val="none"/>
              </w:rPr>
              <w:t>的</w:t>
            </w:r>
            <w:r>
              <w:rPr>
                <w:color w:val="000000" w:themeColor="text1"/>
                <w:highlight w:val="none"/>
              </w:rPr>
              <w:t>排放执行《锅炉大气污染物排放标准》（DB13/5161-2020）表1大气污染物排放限值</w:t>
            </w:r>
            <w:r>
              <w:rPr>
                <w:rFonts w:hint="eastAsia"/>
                <w:color w:val="000000" w:themeColor="text1"/>
                <w:highlight w:val="none"/>
                <w:lang w:eastAsia="zh-CN"/>
              </w:rPr>
              <w:t>。</w:t>
            </w:r>
            <w:r>
              <w:rPr>
                <w:rFonts w:hint="eastAsia"/>
                <w:color w:val="000000" w:themeColor="text1"/>
                <w:highlight w:val="none"/>
              </w:rPr>
              <w:t xml:space="preserve"> </w:t>
            </w:r>
            <w:r>
              <w:rPr>
                <w:rFonts w:hint="eastAsia"/>
                <w:color w:val="000000" w:themeColor="text1"/>
                <w:highlight w:val="none"/>
                <w:lang w:val="en-US" w:eastAsia="zh-CN"/>
              </w:rPr>
              <w:t>燃油、燃气锅炉烟囱不低于</w:t>
            </w:r>
            <w:r>
              <w:rPr>
                <w:rFonts w:hint="default"/>
                <w:color w:val="000000" w:themeColor="text1"/>
                <w:highlight w:val="none"/>
                <w:lang w:val="en-US" w:eastAsia="zh-CN"/>
              </w:rPr>
              <w:t>8</w:t>
            </w:r>
            <w:r>
              <w:rPr>
                <w:rFonts w:hint="eastAsia"/>
                <w:color w:val="000000" w:themeColor="text1"/>
                <w:highlight w:val="none"/>
                <w:lang w:val="en-US" w:eastAsia="zh-CN"/>
              </w:rPr>
              <w:t>米，</w:t>
            </w:r>
            <w:r>
              <w:rPr>
                <w:rFonts w:hint="eastAsia"/>
                <w:color w:val="000000" w:themeColor="text1"/>
                <w:highlight w:val="none"/>
              </w:rPr>
              <w:t>新建锅炉房的烟囱周围半径200m距离内有建筑物时，其烟囱应高出最高建筑物3m以上</w:t>
            </w:r>
            <w:r>
              <w:rPr>
                <w:rFonts w:hint="eastAsia"/>
                <w:color w:val="000000" w:themeColor="text1"/>
                <w:highlight w:val="none"/>
                <w:lang w:eastAsia="zh-CN"/>
              </w:rPr>
              <w:t>。</w:t>
            </w:r>
          </w:p>
          <w:p>
            <w:pPr>
              <w:rPr>
                <w:rFonts w:hint="eastAsia"/>
                <w:color w:val="000000" w:themeColor="text1"/>
                <w:highlight w:val="none"/>
                <w:lang w:eastAsia="zh-CN"/>
              </w:rPr>
            </w:pPr>
            <w:r>
              <w:rPr>
                <w:rFonts w:hint="eastAsia"/>
                <w:color w:val="000000" w:themeColor="text1"/>
                <w:highlight w:val="none"/>
                <w:lang w:val="en-US" w:eastAsia="zh-CN"/>
              </w:rPr>
              <w:t>运行期</w:t>
            </w:r>
            <w:r>
              <w:rPr>
                <w:rFonts w:hint="eastAsia"/>
                <w:color w:val="000000" w:themeColor="text1"/>
                <w:highlight w:val="none"/>
              </w:rPr>
              <w:t>矿粉筒仓有组织颗粒物的排放执行</w:t>
            </w:r>
            <w:r>
              <w:rPr>
                <w:color w:val="000000" w:themeColor="text1"/>
                <w:highlight w:val="none"/>
              </w:rPr>
              <w:t>《大气污染物综合排放标准》（GB16297-1996）表2</w:t>
            </w:r>
            <w:r>
              <w:rPr>
                <w:rFonts w:hint="eastAsia"/>
                <w:color w:val="000000" w:themeColor="text1"/>
                <w:highlight w:val="none"/>
              </w:rPr>
              <w:t>二级标准限值</w:t>
            </w:r>
            <w:r>
              <w:rPr>
                <w:rFonts w:hint="eastAsia"/>
                <w:color w:val="000000" w:themeColor="text1"/>
                <w:highlight w:val="none"/>
                <w:lang w:eastAsia="zh-CN"/>
              </w:rPr>
              <w:t>，</w:t>
            </w:r>
            <w:r>
              <w:rPr>
                <w:rFonts w:hint="eastAsia"/>
                <w:color w:val="000000" w:themeColor="text1"/>
                <w:highlight w:val="none"/>
              </w:rPr>
              <w:t>排气筒高度</w:t>
            </w:r>
            <w:r>
              <w:rPr>
                <w:rFonts w:hint="eastAsia"/>
                <w:color w:val="000000" w:themeColor="text1"/>
                <w:highlight w:val="none"/>
                <w:lang w:val="en-US" w:eastAsia="zh-CN"/>
              </w:rPr>
              <w:t>除应遵守表列排放速率标准值外还应</w:t>
            </w:r>
            <w:r>
              <w:rPr>
                <w:rFonts w:hint="eastAsia"/>
                <w:color w:val="000000" w:themeColor="text1"/>
                <w:highlight w:val="none"/>
              </w:rPr>
              <w:t>高</w:t>
            </w:r>
            <w:r>
              <w:rPr>
                <w:rFonts w:hint="eastAsia"/>
                <w:color w:val="000000" w:themeColor="text1"/>
                <w:highlight w:val="none"/>
                <w:lang w:val="en-US" w:eastAsia="zh-CN"/>
              </w:rPr>
              <w:t>出</w:t>
            </w:r>
            <w:r>
              <w:rPr>
                <w:rFonts w:hint="eastAsia"/>
                <w:color w:val="000000" w:themeColor="text1"/>
                <w:highlight w:val="none"/>
              </w:rPr>
              <w:t>周围200m半径范围的建筑5m以上</w:t>
            </w:r>
            <w:r>
              <w:rPr>
                <w:rFonts w:hint="eastAsia"/>
                <w:color w:val="000000" w:themeColor="text1"/>
                <w:highlight w:val="none"/>
                <w:lang w:eastAsia="zh-CN"/>
              </w:rPr>
              <w:t>，</w:t>
            </w:r>
            <w:r>
              <w:rPr>
                <w:rFonts w:hint="eastAsia"/>
                <w:color w:val="000000" w:themeColor="text1"/>
                <w:highlight w:val="none"/>
                <w:lang w:val="en-US" w:eastAsia="zh-CN"/>
              </w:rPr>
              <w:t>当不能达到该要求时，应按其高度对应的表列排放速率标准值严格50%执行</w:t>
            </w:r>
            <w:r>
              <w:rPr>
                <w:rFonts w:hint="eastAsia"/>
                <w:color w:val="000000" w:themeColor="text1"/>
                <w:highlight w:val="none"/>
                <w:lang w:eastAsia="zh-CN"/>
              </w:rPr>
              <w:t>。</w:t>
            </w:r>
          </w:p>
          <w:p>
            <w:pPr>
              <w:ind w:firstLine="480"/>
              <w:rPr>
                <w:color w:val="000000" w:themeColor="text1"/>
                <w:highlight w:val="none"/>
              </w:rPr>
            </w:pPr>
            <w:r>
              <w:rPr>
                <w:rFonts w:hint="eastAsia"/>
                <w:color w:val="000000" w:themeColor="text1"/>
                <w:highlight w:val="none"/>
                <w:lang w:val="en-US" w:eastAsia="zh-CN"/>
              </w:rPr>
              <w:t>运行期</w:t>
            </w:r>
            <w:r>
              <w:rPr>
                <w:rFonts w:hint="eastAsia"/>
                <w:color w:val="000000" w:themeColor="text1"/>
                <w:highlight w:val="none"/>
              </w:rPr>
              <w:t>厂界无组织颗粒物</w:t>
            </w:r>
            <w:r>
              <w:rPr>
                <w:rFonts w:hint="eastAsia"/>
                <w:color w:val="000000" w:themeColor="text1"/>
                <w:highlight w:val="none"/>
                <w:lang w:eastAsia="zh-CN"/>
              </w:rPr>
              <w:t>、</w:t>
            </w:r>
            <w:r>
              <w:rPr>
                <w:rFonts w:hint="eastAsia"/>
                <w:color w:val="000000" w:themeColor="text1"/>
                <w:kern w:val="0"/>
                <w:highlight w:val="none"/>
              </w:rPr>
              <w:t>沥青烟、苯并[a]芘</w:t>
            </w:r>
            <w:r>
              <w:rPr>
                <w:color w:val="000000" w:themeColor="text1"/>
                <w:highlight w:val="none"/>
              </w:rPr>
              <w:t>执行《大气污染物综合排放标准》（GB16297-1996）表2</w:t>
            </w:r>
            <w:r>
              <w:rPr>
                <w:rFonts w:hint="eastAsia"/>
                <w:color w:val="000000" w:themeColor="text1"/>
                <w:highlight w:val="none"/>
              </w:rPr>
              <w:t>无组织排放监控浓度限值要求</w:t>
            </w:r>
            <w:r>
              <w:rPr>
                <w:rFonts w:hint="eastAsia"/>
                <w:color w:val="000000" w:themeColor="text1"/>
                <w:highlight w:val="none"/>
                <w:lang w:eastAsia="zh-CN"/>
              </w:rPr>
              <w:t>。</w:t>
            </w:r>
            <w:r>
              <w:rPr>
                <w:rFonts w:hint="eastAsia"/>
                <w:color w:val="000000" w:themeColor="text1"/>
                <w:highlight w:val="none"/>
                <w:lang w:val="en-US" w:eastAsia="zh-CN"/>
              </w:rPr>
              <w:t>厂界无组织非甲烷总烃执行《工业企业挥发性有机物排放控制标准》（DB13/2322-2016）表2企业边界大气污染物浓度限值要求。厂界无组织臭气浓度执行</w:t>
            </w:r>
            <w:r>
              <w:rPr>
                <w:color w:val="000000" w:themeColor="text1"/>
                <w:highlight w:val="none"/>
              </w:rPr>
              <w:t>《恶臭污染物排放标准》（</w:t>
            </w:r>
            <w:r>
              <w:rPr>
                <w:rFonts w:hint="eastAsia"/>
                <w:color w:val="000000" w:themeColor="text1"/>
                <w:highlight w:val="none"/>
              </w:rPr>
              <w:t>GB</w:t>
            </w:r>
            <w:r>
              <w:rPr>
                <w:color w:val="000000" w:themeColor="text1"/>
                <w:highlight w:val="none"/>
              </w:rPr>
              <w:t>14554-93）表1二级标准</w:t>
            </w:r>
            <w:r>
              <w:rPr>
                <w:rFonts w:hint="eastAsia"/>
                <w:color w:val="000000" w:themeColor="text1"/>
                <w:highlight w:val="none"/>
                <w:lang w:val="en-US" w:eastAsia="zh-CN"/>
              </w:rPr>
              <w:t>限值要求。</w:t>
            </w:r>
          </w:p>
          <w:p>
            <w:pPr>
              <w:widowControl/>
              <w:numPr>
                <w:ilvl w:val="0"/>
                <w:numId w:val="4"/>
              </w:numPr>
              <w:adjustRightInd/>
              <w:ind w:firstLineChars="0"/>
              <w:jc w:val="center"/>
              <w:rPr>
                <w:b/>
                <w:color w:val="000000" w:themeColor="text1"/>
                <w:kern w:val="44"/>
                <w:sz w:val="21"/>
                <w:szCs w:val="21"/>
                <w:highlight w:val="none"/>
              </w:rPr>
            </w:pPr>
            <w:r>
              <w:rPr>
                <w:rFonts w:hint="eastAsia"/>
                <w:b/>
                <w:color w:val="000000" w:themeColor="text1"/>
                <w:kern w:val="44"/>
                <w:sz w:val="21"/>
                <w:szCs w:val="21"/>
                <w:highlight w:val="none"/>
              </w:rPr>
              <w:t>运营期</w:t>
            </w:r>
            <w:r>
              <w:rPr>
                <w:b/>
                <w:color w:val="000000" w:themeColor="text1"/>
                <w:kern w:val="44"/>
                <w:sz w:val="21"/>
                <w:szCs w:val="21"/>
                <w:highlight w:val="none"/>
              </w:rPr>
              <w:t>大气污染物排放标准</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5"/>
              <w:gridCol w:w="755"/>
              <w:gridCol w:w="612"/>
              <w:gridCol w:w="1135"/>
              <w:gridCol w:w="1200"/>
              <w:gridCol w:w="960"/>
              <w:gridCol w:w="945"/>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Align w:val="center"/>
                </w:tcPr>
                <w:p>
                  <w:pPr>
                    <w:topLinePunct/>
                    <w:spacing w:line="240" w:lineRule="auto"/>
                    <w:ind w:firstLine="0" w:firstLineChars="0"/>
                    <w:jc w:val="center"/>
                    <w:textAlignment w:val="center"/>
                    <w:rPr>
                      <w:b/>
                      <w:color w:val="000000" w:themeColor="text1"/>
                      <w:sz w:val="21"/>
                      <w:szCs w:val="21"/>
                      <w:highlight w:val="none"/>
                    </w:rPr>
                  </w:pPr>
                  <w:r>
                    <w:rPr>
                      <w:rFonts w:hint="eastAsia"/>
                      <w:b/>
                      <w:color w:val="000000" w:themeColor="text1"/>
                      <w:sz w:val="21"/>
                      <w:szCs w:val="21"/>
                      <w:highlight w:val="none"/>
                    </w:rPr>
                    <w:t>阶段</w:t>
                  </w:r>
                </w:p>
              </w:tc>
              <w:tc>
                <w:tcPr>
                  <w:tcW w:w="453" w:type="pct"/>
                  <w:vAlign w:val="center"/>
                </w:tcPr>
                <w:p>
                  <w:pPr>
                    <w:topLinePunct/>
                    <w:spacing w:line="240" w:lineRule="auto"/>
                    <w:ind w:firstLine="0" w:firstLineChars="0"/>
                    <w:jc w:val="center"/>
                    <w:textAlignment w:val="center"/>
                    <w:rPr>
                      <w:b/>
                      <w:color w:val="000000" w:themeColor="text1"/>
                      <w:sz w:val="21"/>
                      <w:szCs w:val="21"/>
                      <w:highlight w:val="none"/>
                    </w:rPr>
                  </w:pPr>
                  <w:r>
                    <w:rPr>
                      <w:rFonts w:hint="eastAsia"/>
                      <w:b/>
                      <w:color w:val="000000" w:themeColor="text1"/>
                      <w:sz w:val="21"/>
                      <w:szCs w:val="21"/>
                      <w:highlight w:val="none"/>
                    </w:rPr>
                    <w:t>适用范围</w:t>
                  </w:r>
                </w:p>
              </w:tc>
              <w:tc>
                <w:tcPr>
                  <w:tcW w:w="367" w:type="pct"/>
                  <w:vAlign w:val="center"/>
                </w:tcPr>
                <w:p>
                  <w:pPr>
                    <w:topLinePunct/>
                    <w:spacing w:line="240" w:lineRule="auto"/>
                    <w:ind w:firstLine="0" w:firstLineChars="0"/>
                    <w:jc w:val="center"/>
                    <w:textAlignment w:val="center"/>
                    <w:rPr>
                      <w:b/>
                      <w:color w:val="000000" w:themeColor="text1"/>
                      <w:sz w:val="21"/>
                      <w:szCs w:val="21"/>
                      <w:highlight w:val="none"/>
                    </w:rPr>
                  </w:pPr>
                  <w:r>
                    <w:rPr>
                      <w:b/>
                      <w:color w:val="000000" w:themeColor="text1"/>
                      <w:sz w:val="21"/>
                      <w:szCs w:val="21"/>
                      <w:highlight w:val="none"/>
                    </w:rPr>
                    <w:t>排放类型</w:t>
                  </w:r>
                </w:p>
              </w:tc>
              <w:tc>
                <w:tcPr>
                  <w:tcW w:w="682" w:type="pct"/>
                  <w:vAlign w:val="center"/>
                </w:tcPr>
                <w:p>
                  <w:pPr>
                    <w:topLinePunct/>
                    <w:spacing w:line="240" w:lineRule="auto"/>
                    <w:ind w:firstLine="0" w:firstLineChars="0"/>
                    <w:jc w:val="center"/>
                    <w:textAlignment w:val="center"/>
                    <w:rPr>
                      <w:b/>
                      <w:color w:val="000000" w:themeColor="text1"/>
                      <w:sz w:val="21"/>
                      <w:szCs w:val="21"/>
                      <w:highlight w:val="none"/>
                    </w:rPr>
                  </w:pPr>
                  <w:r>
                    <w:rPr>
                      <w:rFonts w:hint="eastAsia"/>
                      <w:b/>
                      <w:color w:val="000000" w:themeColor="text1"/>
                      <w:sz w:val="21"/>
                      <w:szCs w:val="21"/>
                      <w:highlight w:val="none"/>
                    </w:rPr>
                    <w:t>污染因子</w:t>
                  </w:r>
                </w:p>
              </w:tc>
              <w:tc>
                <w:tcPr>
                  <w:tcW w:w="721" w:type="pct"/>
                  <w:vAlign w:val="center"/>
                </w:tcPr>
                <w:p>
                  <w:pPr>
                    <w:topLinePunct/>
                    <w:spacing w:line="240" w:lineRule="auto"/>
                    <w:ind w:firstLine="0" w:firstLineChars="0"/>
                    <w:jc w:val="center"/>
                    <w:textAlignment w:val="center"/>
                    <w:rPr>
                      <w:b/>
                      <w:color w:val="000000" w:themeColor="text1"/>
                      <w:sz w:val="21"/>
                      <w:szCs w:val="21"/>
                      <w:highlight w:val="none"/>
                    </w:rPr>
                  </w:pPr>
                  <w:r>
                    <w:rPr>
                      <w:rFonts w:hint="eastAsia"/>
                      <w:b/>
                      <w:color w:val="000000" w:themeColor="text1"/>
                      <w:sz w:val="21"/>
                      <w:szCs w:val="21"/>
                      <w:highlight w:val="none"/>
                    </w:rPr>
                    <w:t>排放</w:t>
                  </w:r>
                  <w:r>
                    <w:rPr>
                      <w:b/>
                      <w:color w:val="000000" w:themeColor="text1"/>
                      <w:sz w:val="21"/>
                      <w:szCs w:val="21"/>
                      <w:highlight w:val="none"/>
                    </w:rPr>
                    <w:t>浓度</w:t>
                  </w:r>
                  <w:r>
                    <w:rPr>
                      <w:rFonts w:hint="eastAsia"/>
                      <w:b/>
                      <w:color w:val="000000" w:themeColor="text1"/>
                      <w:sz w:val="21"/>
                      <w:szCs w:val="21"/>
                      <w:highlight w:val="none"/>
                    </w:rPr>
                    <w:t>（</w:t>
                  </w:r>
                  <w:r>
                    <w:rPr>
                      <w:b/>
                      <w:bCs/>
                      <w:color w:val="000000" w:themeColor="text1"/>
                      <w:sz w:val="21"/>
                      <w:szCs w:val="21"/>
                      <w:highlight w:val="none"/>
                    </w:rPr>
                    <w:t>mg/m</w:t>
                  </w:r>
                  <w:r>
                    <w:rPr>
                      <w:b/>
                      <w:bCs/>
                      <w:color w:val="000000" w:themeColor="text1"/>
                      <w:sz w:val="21"/>
                      <w:szCs w:val="21"/>
                      <w:highlight w:val="none"/>
                      <w:vertAlign w:val="superscript"/>
                    </w:rPr>
                    <w:t>3</w:t>
                  </w:r>
                  <w:r>
                    <w:rPr>
                      <w:rFonts w:hint="eastAsia"/>
                      <w:b/>
                      <w:color w:val="000000" w:themeColor="text1"/>
                      <w:sz w:val="21"/>
                      <w:szCs w:val="21"/>
                      <w:highlight w:val="none"/>
                    </w:rPr>
                    <w:t>）</w:t>
                  </w:r>
                </w:p>
              </w:tc>
              <w:tc>
                <w:tcPr>
                  <w:tcW w:w="576" w:type="pct"/>
                  <w:vAlign w:val="center"/>
                </w:tcPr>
                <w:p>
                  <w:pPr>
                    <w:topLinePunct/>
                    <w:spacing w:line="240" w:lineRule="auto"/>
                    <w:ind w:firstLine="0" w:firstLineChars="0"/>
                    <w:jc w:val="center"/>
                    <w:textAlignment w:val="center"/>
                    <w:rPr>
                      <w:b/>
                      <w:color w:val="000000" w:themeColor="text1"/>
                      <w:sz w:val="21"/>
                      <w:szCs w:val="21"/>
                      <w:highlight w:val="none"/>
                    </w:rPr>
                  </w:pPr>
                  <w:r>
                    <w:rPr>
                      <w:rFonts w:hint="eastAsia"/>
                      <w:b/>
                      <w:color w:val="000000" w:themeColor="text1"/>
                      <w:sz w:val="21"/>
                      <w:szCs w:val="21"/>
                      <w:highlight w:val="none"/>
                    </w:rPr>
                    <w:t>排放速率（k</w:t>
                  </w:r>
                  <w:r>
                    <w:rPr>
                      <w:b/>
                      <w:bCs/>
                      <w:color w:val="000000" w:themeColor="text1"/>
                      <w:sz w:val="21"/>
                      <w:szCs w:val="21"/>
                      <w:highlight w:val="none"/>
                    </w:rPr>
                    <w:t>g/</w:t>
                  </w:r>
                  <w:r>
                    <w:rPr>
                      <w:rFonts w:hint="eastAsia"/>
                      <w:b/>
                      <w:bCs/>
                      <w:color w:val="000000" w:themeColor="text1"/>
                      <w:sz w:val="21"/>
                      <w:szCs w:val="21"/>
                      <w:highlight w:val="none"/>
                    </w:rPr>
                    <w:t>h</w:t>
                  </w:r>
                  <w:r>
                    <w:rPr>
                      <w:rFonts w:hint="eastAsia"/>
                      <w:b/>
                      <w:color w:val="000000" w:themeColor="text1"/>
                      <w:sz w:val="21"/>
                      <w:szCs w:val="21"/>
                      <w:highlight w:val="none"/>
                    </w:rPr>
                    <w:t>）</w:t>
                  </w:r>
                </w:p>
              </w:tc>
              <w:tc>
                <w:tcPr>
                  <w:tcW w:w="567" w:type="pct"/>
                  <w:vAlign w:val="center"/>
                </w:tcPr>
                <w:p>
                  <w:pPr>
                    <w:topLinePunct/>
                    <w:spacing w:line="240" w:lineRule="auto"/>
                    <w:ind w:firstLine="0" w:firstLineChars="0"/>
                    <w:jc w:val="center"/>
                    <w:textAlignment w:val="center"/>
                    <w:rPr>
                      <w:rFonts w:hint="eastAsia" w:eastAsia="宋体"/>
                      <w:b/>
                      <w:color w:val="000000" w:themeColor="text1"/>
                      <w:sz w:val="21"/>
                      <w:szCs w:val="21"/>
                      <w:highlight w:val="none"/>
                      <w:lang w:eastAsia="zh-CN"/>
                    </w:rPr>
                  </w:pPr>
                  <w:r>
                    <w:rPr>
                      <w:rFonts w:hint="eastAsia"/>
                      <w:b/>
                      <w:color w:val="000000" w:themeColor="text1"/>
                      <w:sz w:val="21"/>
                      <w:szCs w:val="21"/>
                      <w:highlight w:val="none"/>
                    </w:rPr>
                    <w:t>排气筒高度</w:t>
                  </w:r>
                  <w:r>
                    <w:rPr>
                      <w:rFonts w:hint="eastAsia"/>
                      <w:b/>
                      <w:color w:val="000000" w:themeColor="text1"/>
                      <w:sz w:val="21"/>
                      <w:szCs w:val="21"/>
                      <w:highlight w:val="none"/>
                      <w:lang w:eastAsia="zh-CN"/>
                    </w:rPr>
                    <w:t>（</w:t>
                  </w:r>
                  <w:r>
                    <w:rPr>
                      <w:rFonts w:hint="eastAsia"/>
                      <w:b/>
                      <w:color w:val="000000" w:themeColor="text1"/>
                      <w:sz w:val="21"/>
                      <w:szCs w:val="21"/>
                      <w:highlight w:val="none"/>
                      <w:lang w:val="en-US" w:eastAsia="zh-CN"/>
                    </w:rPr>
                    <w:t>m</w:t>
                  </w:r>
                  <w:r>
                    <w:rPr>
                      <w:rFonts w:hint="eastAsia"/>
                      <w:b/>
                      <w:color w:val="000000" w:themeColor="text1"/>
                      <w:sz w:val="21"/>
                      <w:szCs w:val="21"/>
                      <w:highlight w:val="none"/>
                      <w:lang w:eastAsia="zh-CN"/>
                    </w:rPr>
                    <w:t>）</w:t>
                  </w:r>
                </w:p>
              </w:tc>
              <w:tc>
                <w:tcPr>
                  <w:tcW w:w="1375" w:type="pct"/>
                  <w:vAlign w:val="center"/>
                </w:tcPr>
                <w:p>
                  <w:pPr>
                    <w:topLinePunct/>
                    <w:spacing w:line="240" w:lineRule="auto"/>
                    <w:ind w:firstLine="0" w:firstLineChars="0"/>
                    <w:jc w:val="center"/>
                    <w:textAlignment w:val="center"/>
                    <w:rPr>
                      <w:b/>
                      <w:color w:val="000000" w:themeColor="text1"/>
                      <w:sz w:val="21"/>
                      <w:szCs w:val="21"/>
                      <w:highlight w:val="none"/>
                    </w:rPr>
                  </w:pPr>
                  <w:r>
                    <w:rPr>
                      <w:b/>
                      <w:color w:val="000000" w:themeColor="text1"/>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restart"/>
                  <w:vAlign w:val="center"/>
                </w:tcPr>
                <w:p>
                  <w:pPr>
                    <w:topLinePunct/>
                    <w:spacing w:line="240" w:lineRule="auto"/>
                    <w:ind w:firstLine="0" w:firstLineChars="0"/>
                    <w:jc w:val="center"/>
                    <w:textAlignment w:val="center"/>
                    <w:rPr>
                      <w:color w:val="000000" w:themeColor="text1"/>
                      <w:kern w:val="0"/>
                      <w:sz w:val="21"/>
                      <w:szCs w:val="21"/>
                      <w:highlight w:val="none"/>
                    </w:rPr>
                  </w:pPr>
                  <w:r>
                    <w:rPr>
                      <w:rFonts w:hint="eastAsia"/>
                      <w:bCs/>
                      <w:color w:val="000000" w:themeColor="text1"/>
                      <w:sz w:val="21"/>
                      <w:szCs w:val="21"/>
                      <w:highlight w:val="none"/>
                    </w:rPr>
                    <w:t>运营期</w:t>
                  </w:r>
                </w:p>
              </w:tc>
              <w:tc>
                <w:tcPr>
                  <w:tcW w:w="453" w:type="pct"/>
                  <w:vMerge w:val="restart"/>
                  <w:vAlign w:val="center"/>
                </w:tcPr>
                <w:p>
                  <w:pPr>
                    <w:topLinePunct/>
                    <w:spacing w:line="240" w:lineRule="auto"/>
                    <w:ind w:firstLine="0" w:firstLineChars="0"/>
                    <w:jc w:val="center"/>
                    <w:textAlignment w:val="center"/>
                    <w:rPr>
                      <w:color w:val="000000" w:themeColor="text1"/>
                      <w:kern w:val="0"/>
                      <w:sz w:val="21"/>
                      <w:szCs w:val="21"/>
                      <w:highlight w:val="none"/>
                    </w:rPr>
                  </w:pPr>
                  <w:r>
                    <w:rPr>
                      <w:rFonts w:hint="eastAsia"/>
                      <w:color w:val="000000" w:themeColor="text1"/>
                      <w:sz w:val="21"/>
                      <w:szCs w:val="21"/>
                      <w:highlight w:val="none"/>
                    </w:rPr>
                    <w:t>筛分、烘干滚筒</w:t>
                  </w:r>
                  <w:r>
                    <w:rPr>
                      <w:color w:val="000000" w:themeColor="text1"/>
                      <w:sz w:val="21"/>
                      <w:szCs w:val="21"/>
                      <w:highlight w:val="none"/>
                    </w:rPr>
                    <w:t>废气</w:t>
                  </w:r>
                </w:p>
              </w:tc>
              <w:tc>
                <w:tcPr>
                  <w:tcW w:w="367"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有组织</w:t>
                  </w: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颗粒物</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30</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Merge w:val="restart"/>
                  <w:vAlign w:val="center"/>
                </w:tcPr>
                <w:p>
                  <w:pPr>
                    <w:topLinePunct/>
                    <w:spacing w:line="240" w:lineRule="auto"/>
                    <w:ind w:firstLine="0" w:firstLineChars="0"/>
                    <w:jc w:val="center"/>
                    <w:textAlignment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15</w:t>
                  </w:r>
                </w:p>
              </w:tc>
              <w:tc>
                <w:tcPr>
                  <w:tcW w:w="1375" w:type="pct"/>
                  <w:vMerge w:val="restart"/>
                  <w:vAlign w:val="center"/>
                </w:tcPr>
                <w:p>
                  <w:pPr>
                    <w:topLinePunct/>
                    <w:spacing w:line="240" w:lineRule="auto"/>
                    <w:ind w:firstLine="0" w:firstLineChars="0"/>
                    <w:jc w:val="center"/>
                    <w:textAlignment w:val="center"/>
                    <w:rPr>
                      <w:rFonts w:hAnsi="宋体"/>
                      <w:color w:val="000000" w:themeColor="text1"/>
                      <w:sz w:val="21"/>
                      <w:szCs w:val="21"/>
                      <w:highlight w:val="none"/>
                    </w:rPr>
                  </w:pPr>
                  <w:r>
                    <w:rPr>
                      <w:color w:val="000000" w:themeColor="text1"/>
                      <w:sz w:val="21"/>
                      <w:szCs w:val="21"/>
                      <w:highlight w:val="none"/>
                    </w:rPr>
                    <w:t>《工业炉窑大气污染物排放标准》（DB13/1640-2012）</w:t>
                  </w:r>
                  <w:r>
                    <w:rPr>
                      <w:rFonts w:hint="eastAsia"/>
                      <w:color w:val="000000" w:themeColor="text1"/>
                      <w:sz w:val="21"/>
                      <w:szCs w:val="21"/>
                      <w:highlight w:val="none"/>
                    </w:rPr>
                    <w:t>及《承德市工业炉窑综合治理实施方案》承环办【2020】72号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kern w:val="0"/>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kern w:val="0"/>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SO</w:t>
                  </w:r>
                  <w:r>
                    <w:rPr>
                      <w:rFonts w:hint="eastAsia"/>
                      <w:color w:val="000000" w:themeColor="text1"/>
                      <w:sz w:val="21"/>
                      <w:szCs w:val="21"/>
                      <w:highlight w:val="none"/>
                      <w:vertAlign w:val="subscript"/>
                    </w:rPr>
                    <w:t>2</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200</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137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kern w:val="0"/>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kern w:val="0"/>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NO</w:t>
                  </w:r>
                  <w:r>
                    <w:rPr>
                      <w:rFonts w:hint="eastAsia"/>
                      <w:color w:val="000000" w:themeColor="text1"/>
                      <w:sz w:val="21"/>
                      <w:szCs w:val="21"/>
                      <w:highlight w:val="none"/>
                      <w:vertAlign w:val="subscript"/>
                    </w:rPr>
                    <w:t>x</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300</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137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kern w:val="0"/>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kern w:val="0"/>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烟气黑度（林格曼黑度，级）</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≤1</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137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沥青储罐</w:t>
                  </w:r>
                  <w:r>
                    <w:rPr>
                      <w:rFonts w:hint="eastAsia"/>
                      <w:color w:val="000000" w:themeColor="text1"/>
                      <w:kern w:val="0"/>
                      <w:sz w:val="21"/>
                      <w:szCs w:val="21"/>
                      <w:highlight w:val="none"/>
                      <w:lang w:val="en-US" w:eastAsia="zh-CN" w:bidi="ar"/>
                    </w:rPr>
                    <w:t>及卸料池</w:t>
                  </w:r>
                  <w:r>
                    <w:rPr>
                      <w:color w:val="000000" w:themeColor="text1"/>
                      <w:kern w:val="0"/>
                      <w:sz w:val="21"/>
                      <w:szCs w:val="21"/>
                      <w:highlight w:val="none"/>
                      <w:lang w:bidi="ar"/>
                    </w:rPr>
                    <w:t>呼吸、沥青拌合站呼吸口及卸料口</w:t>
                  </w:r>
                  <w:r>
                    <w:rPr>
                      <w:rFonts w:hint="eastAsia"/>
                      <w:color w:val="000000" w:themeColor="text1"/>
                      <w:kern w:val="0"/>
                      <w:sz w:val="21"/>
                      <w:szCs w:val="21"/>
                      <w:highlight w:val="none"/>
                      <w:lang w:bidi="ar"/>
                    </w:rPr>
                    <w:t>废气</w:t>
                  </w:r>
                </w:p>
              </w:tc>
              <w:tc>
                <w:tcPr>
                  <w:tcW w:w="367"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有组织</w:t>
                  </w: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颗粒物</w:t>
                  </w:r>
                </w:p>
              </w:tc>
              <w:tc>
                <w:tcPr>
                  <w:tcW w:w="721" w:type="pct"/>
                  <w:vAlign w:val="center"/>
                </w:tcPr>
                <w:p>
                  <w:pPr>
                    <w:pStyle w:val="72"/>
                    <w:spacing w:line="240" w:lineRule="auto"/>
                    <w:ind w:firstLine="0" w:firstLineChars="0"/>
                    <w:rPr>
                      <w:color w:val="000000" w:themeColor="text1"/>
                      <w:sz w:val="21"/>
                      <w:highlight w:val="none"/>
                    </w:rPr>
                  </w:pPr>
                  <w:r>
                    <w:rPr>
                      <w:color w:val="000000" w:themeColor="text1"/>
                      <w:sz w:val="21"/>
                      <w:highlight w:val="none"/>
                    </w:rPr>
                    <w:t>≤</w:t>
                  </w:r>
                  <w:r>
                    <w:rPr>
                      <w:rFonts w:hint="eastAsia"/>
                      <w:color w:val="000000" w:themeColor="text1"/>
                      <w:sz w:val="21"/>
                      <w:highlight w:val="none"/>
                    </w:rPr>
                    <w:t>120</w:t>
                  </w:r>
                </w:p>
              </w:tc>
              <w:tc>
                <w:tcPr>
                  <w:tcW w:w="576" w:type="pct"/>
                  <w:vAlign w:val="center"/>
                </w:tcPr>
                <w:p>
                  <w:pPr>
                    <w:pStyle w:val="72"/>
                    <w:spacing w:line="240" w:lineRule="auto"/>
                    <w:ind w:firstLine="0" w:firstLineChars="0"/>
                    <w:rPr>
                      <w:color w:val="000000" w:themeColor="text1"/>
                      <w:sz w:val="21"/>
                      <w:highlight w:val="none"/>
                    </w:rPr>
                  </w:pPr>
                  <w:r>
                    <w:rPr>
                      <w:color w:val="000000" w:themeColor="text1"/>
                      <w:sz w:val="21"/>
                      <w:highlight w:val="none"/>
                    </w:rPr>
                    <w:t>≤</w:t>
                  </w:r>
                  <w:r>
                    <w:rPr>
                      <w:rFonts w:hint="eastAsia"/>
                      <w:color w:val="000000" w:themeColor="text1"/>
                      <w:sz w:val="21"/>
                      <w:highlight w:val="none"/>
                    </w:rPr>
                    <w:t>4.5</w:t>
                  </w:r>
                </w:p>
              </w:tc>
              <w:tc>
                <w:tcPr>
                  <w:tcW w:w="567" w:type="pct"/>
                  <w:vMerge w:val="restart"/>
                  <w:vAlign w:val="center"/>
                </w:tcPr>
                <w:p>
                  <w:pPr>
                    <w:topLinePunct/>
                    <w:spacing w:line="240" w:lineRule="auto"/>
                    <w:ind w:firstLine="0" w:firstLineChars="0"/>
                    <w:jc w:val="center"/>
                    <w:textAlignment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17</w:t>
                  </w:r>
                </w:p>
              </w:tc>
              <w:tc>
                <w:tcPr>
                  <w:tcW w:w="1375"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rFonts w:hAnsi="宋体"/>
                      <w:color w:val="000000" w:themeColor="text1"/>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kern w:val="0"/>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沥青烟</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75</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0.23</w:t>
                  </w:r>
                </w:p>
              </w:tc>
              <w:tc>
                <w:tcPr>
                  <w:tcW w:w="5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1375" w:type="pct"/>
                  <w:vMerge w:val="continue"/>
                  <w:vAlign w:val="center"/>
                </w:tcPr>
                <w:p>
                  <w:pPr>
                    <w:topLinePunct/>
                    <w:spacing w:line="240" w:lineRule="auto"/>
                    <w:ind w:firstLine="0" w:firstLineChars="0"/>
                    <w:jc w:val="center"/>
                    <w:textAlignment w:val="center"/>
                    <w:rPr>
                      <w:rFonts w:hAnsi="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苯并[a]芘</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0.3×10</w:t>
                  </w:r>
                  <w:r>
                    <w:rPr>
                      <w:rFonts w:hint="eastAsia"/>
                      <w:color w:val="000000" w:themeColor="text1"/>
                      <w:sz w:val="21"/>
                      <w:szCs w:val="21"/>
                      <w:highlight w:val="none"/>
                      <w:vertAlign w:val="superscript"/>
                    </w:rPr>
                    <w:t>-3</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0.064×10</w:t>
                  </w:r>
                  <w:r>
                    <w:rPr>
                      <w:rFonts w:hint="eastAsia"/>
                      <w:color w:val="000000" w:themeColor="text1"/>
                      <w:sz w:val="21"/>
                      <w:szCs w:val="21"/>
                      <w:highlight w:val="none"/>
                      <w:vertAlign w:val="superscript"/>
                    </w:rPr>
                    <w:t>-3</w:t>
                  </w:r>
                </w:p>
              </w:tc>
              <w:tc>
                <w:tcPr>
                  <w:tcW w:w="5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1375" w:type="pct"/>
                  <w:vMerge w:val="continue"/>
                  <w:vAlign w:val="center"/>
                </w:tcPr>
                <w:p>
                  <w:pPr>
                    <w:topLinePunct/>
                    <w:spacing w:line="240" w:lineRule="auto"/>
                    <w:ind w:firstLine="0" w:firstLineChars="0"/>
                    <w:jc w:val="center"/>
                    <w:textAlignment w:val="center"/>
                    <w:rPr>
                      <w:rFonts w:hAnsi="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非甲烷总烃</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80</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1375" w:type="pct"/>
                  <w:vAlign w:val="center"/>
                </w:tcPr>
                <w:p>
                  <w:pPr>
                    <w:topLinePunct/>
                    <w:spacing w:line="240" w:lineRule="auto"/>
                    <w:ind w:firstLine="0" w:firstLineChars="0"/>
                    <w:jc w:val="center"/>
                    <w:textAlignment w:val="center"/>
                    <w:rPr>
                      <w:rFonts w:hAnsi="宋体"/>
                      <w:color w:val="000000" w:themeColor="text1"/>
                      <w:sz w:val="21"/>
                      <w:szCs w:val="21"/>
                      <w:highlight w:val="none"/>
                    </w:rPr>
                  </w:pPr>
                  <w:r>
                    <w:rPr>
                      <w:rFonts w:hint="eastAsia" w:hAnsi="宋体"/>
                      <w:color w:val="000000" w:themeColor="text1"/>
                      <w:sz w:val="21"/>
                      <w:szCs w:val="21"/>
                      <w:highlight w:val="none"/>
                    </w:rPr>
                    <w:t>《工业企业挥发性有机物排放控制标准》（DB13/2322-2016）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导热油炉废气</w:t>
                  </w:r>
                </w:p>
              </w:tc>
              <w:tc>
                <w:tcPr>
                  <w:tcW w:w="367" w:type="pct"/>
                  <w:vMerge w:val="restar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有组织</w:t>
                  </w:r>
                </w:p>
              </w:tc>
              <w:tc>
                <w:tcPr>
                  <w:tcW w:w="682"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color w:val="000000" w:themeColor="text1"/>
                      <w:sz w:val="21"/>
                      <w:szCs w:val="21"/>
                      <w:highlight w:val="none"/>
                    </w:rPr>
                    <w:t>颗粒物</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≤5</w:t>
                  </w:r>
                </w:p>
              </w:tc>
              <w:tc>
                <w:tcPr>
                  <w:tcW w:w="576"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color w:val="000000" w:themeColor="text1"/>
                      <w:sz w:val="21"/>
                      <w:szCs w:val="21"/>
                      <w:highlight w:val="none"/>
                    </w:rPr>
                    <w:t>/</w:t>
                  </w:r>
                </w:p>
              </w:tc>
              <w:tc>
                <w:tcPr>
                  <w:tcW w:w="567" w:type="pct"/>
                  <w:vMerge w:val="restart"/>
                  <w:vAlign w:val="center"/>
                </w:tcPr>
                <w:p>
                  <w:pPr>
                    <w:topLinePunct/>
                    <w:spacing w:line="240" w:lineRule="auto"/>
                    <w:ind w:firstLine="0" w:firstLineChars="0"/>
                    <w:jc w:val="center"/>
                    <w:textAlignment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rPr>
                    <w:t xml:space="preserve"> </w:t>
                  </w:r>
                  <w:r>
                    <w:rPr>
                      <w:rFonts w:hint="eastAsia"/>
                      <w:color w:val="000000" w:themeColor="text1"/>
                      <w:sz w:val="21"/>
                      <w:szCs w:val="21"/>
                      <w:highlight w:val="none"/>
                      <w:lang w:val="en-US" w:eastAsia="zh-CN"/>
                    </w:rPr>
                    <w:t>15</w:t>
                  </w:r>
                </w:p>
              </w:tc>
              <w:tc>
                <w:tcPr>
                  <w:tcW w:w="1375" w:type="pct"/>
                  <w:vMerge w:val="restart"/>
                  <w:vAlign w:val="center"/>
                </w:tcPr>
                <w:p>
                  <w:pPr>
                    <w:topLinePunct/>
                    <w:spacing w:line="240" w:lineRule="auto"/>
                    <w:ind w:firstLine="0" w:firstLineChars="0"/>
                    <w:jc w:val="center"/>
                    <w:textAlignment w:val="center"/>
                    <w:rPr>
                      <w:rFonts w:hint="eastAsia" w:hAnsi="宋体"/>
                      <w:color w:val="000000" w:themeColor="text1"/>
                      <w:sz w:val="21"/>
                      <w:szCs w:val="21"/>
                      <w:highlight w:val="none"/>
                    </w:rPr>
                  </w:pPr>
                  <w:r>
                    <w:rPr>
                      <w:color w:val="000000" w:themeColor="text1"/>
                      <w:sz w:val="21"/>
                      <w:szCs w:val="21"/>
                      <w:highlight w:val="none"/>
                    </w:rPr>
                    <w:t>《锅炉大气污染物排放标准》（DB13/5161-2020）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color w:val="000000" w:themeColor="text1"/>
                      <w:sz w:val="21"/>
                      <w:szCs w:val="21"/>
                      <w:highlight w:val="none"/>
                    </w:rPr>
                    <w:t>SO</w:t>
                  </w:r>
                  <w:r>
                    <w:rPr>
                      <w:rFonts w:hint="eastAsia"/>
                      <w:color w:val="000000" w:themeColor="text1"/>
                      <w:sz w:val="21"/>
                      <w:szCs w:val="21"/>
                      <w:highlight w:val="none"/>
                      <w:vertAlign w:val="subscript"/>
                    </w:rPr>
                    <w:t>2</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≤1</w:t>
                  </w:r>
                  <w:r>
                    <w:rPr>
                      <w:rFonts w:hint="eastAsia"/>
                      <w:color w:val="000000" w:themeColor="text1"/>
                      <w:sz w:val="21"/>
                      <w:szCs w:val="21"/>
                      <w:highlight w:val="none"/>
                    </w:rPr>
                    <w:t>0</w:t>
                  </w:r>
                </w:p>
              </w:tc>
              <w:tc>
                <w:tcPr>
                  <w:tcW w:w="576"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color w:val="000000" w:themeColor="text1"/>
                      <w:sz w:val="21"/>
                      <w:szCs w:val="21"/>
                      <w:highlight w:val="none"/>
                    </w:rPr>
                    <w:t>/</w:t>
                  </w:r>
                </w:p>
              </w:tc>
              <w:tc>
                <w:tcPr>
                  <w:tcW w:w="567" w:type="pct"/>
                  <w:vMerge w:val="continue"/>
                  <w:vAlign w:val="center"/>
                </w:tcPr>
                <w:p>
                  <w:pPr>
                    <w:topLinePunct/>
                    <w:spacing w:line="240" w:lineRule="auto"/>
                    <w:ind w:firstLine="0" w:firstLineChars="0"/>
                    <w:jc w:val="center"/>
                    <w:textAlignment w:val="center"/>
                    <w:rPr>
                      <w:rFonts w:hint="eastAsia"/>
                      <w:color w:val="000000" w:themeColor="text1"/>
                      <w:sz w:val="21"/>
                      <w:szCs w:val="21"/>
                      <w:highlight w:val="none"/>
                    </w:rPr>
                  </w:pPr>
                </w:p>
              </w:tc>
              <w:tc>
                <w:tcPr>
                  <w:tcW w:w="1375" w:type="pct"/>
                  <w:vMerge w:val="continue"/>
                  <w:vAlign w:val="center"/>
                </w:tcPr>
                <w:p>
                  <w:pPr>
                    <w:topLinePunct/>
                    <w:spacing w:line="240" w:lineRule="auto"/>
                    <w:ind w:firstLine="0" w:firstLineChars="0"/>
                    <w:jc w:val="center"/>
                    <w:textAlignment w:val="center"/>
                    <w:rPr>
                      <w:rFonts w:hint="eastAsia" w:hAnsi="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color w:val="000000" w:themeColor="text1"/>
                      <w:sz w:val="21"/>
                      <w:szCs w:val="21"/>
                      <w:highlight w:val="none"/>
                    </w:rPr>
                    <w:t>NO</w:t>
                  </w:r>
                  <w:r>
                    <w:rPr>
                      <w:rFonts w:hint="eastAsia"/>
                      <w:color w:val="000000" w:themeColor="text1"/>
                      <w:sz w:val="21"/>
                      <w:szCs w:val="21"/>
                      <w:highlight w:val="none"/>
                      <w:vertAlign w:val="subscript"/>
                    </w:rPr>
                    <w:t>x</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50</w:t>
                  </w:r>
                </w:p>
              </w:tc>
              <w:tc>
                <w:tcPr>
                  <w:tcW w:w="576"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color w:val="000000" w:themeColor="text1"/>
                      <w:sz w:val="21"/>
                      <w:szCs w:val="21"/>
                      <w:highlight w:val="none"/>
                    </w:rPr>
                    <w:t>/</w:t>
                  </w:r>
                </w:p>
              </w:tc>
              <w:tc>
                <w:tcPr>
                  <w:tcW w:w="567" w:type="pct"/>
                  <w:vMerge w:val="continue"/>
                  <w:vAlign w:val="center"/>
                </w:tcPr>
                <w:p>
                  <w:pPr>
                    <w:topLinePunct/>
                    <w:spacing w:line="240" w:lineRule="auto"/>
                    <w:ind w:firstLine="0" w:firstLineChars="0"/>
                    <w:jc w:val="center"/>
                    <w:textAlignment w:val="center"/>
                    <w:rPr>
                      <w:rFonts w:hint="eastAsia"/>
                      <w:color w:val="000000" w:themeColor="text1"/>
                      <w:sz w:val="21"/>
                      <w:szCs w:val="21"/>
                      <w:highlight w:val="none"/>
                    </w:rPr>
                  </w:pPr>
                </w:p>
              </w:tc>
              <w:tc>
                <w:tcPr>
                  <w:tcW w:w="1375" w:type="pct"/>
                  <w:vMerge w:val="continue"/>
                  <w:vAlign w:val="center"/>
                </w:tcPr>
                <w:p>
                  <w:pPr>
                    <w:topLinePunct/>
                    <w:spacing w:line="240" w:lineRule="auto"/>
                    <w:ind w:firstLine="0" w:firstLineChars="0"/>
                    <w:jc w:val="center"/>
                    <w:textAlignment w:val="center"/>
                    <w:rPr>
                      <w:rFonts w:hint="eastAsia" w:hAnsi="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color w:val="000000" w:themeColor="text1"/>
                      <w:sz w:val="21"/>
                      <w:szCs w:val="21"/>
                      <w:highlight w:val="none"/>
                    </w:rPr>
                    <w:t>烟气黑度（林格曼黑度，级）</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≤1</w:t>
                  </w:r>
                </w:p>
              </w:tc>
              <w:tc>
                <w:tcPr>
                  <w:tcW w:w="576"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color w:val="000000" w:themeColor="text1"/>
                      <w:sz w:val="21"/>
                      <w:szCs w:val="21"/>
                      <w:highlight w:val="none"/>
                    </w:rPr>
                    <w:t>/</w:t>
                  </w:r>
                </w:p>
              </w:tc>
              <w:tc>
                <w:tcPr>
                  <w:tcW w:w="567" w:type="pct"/>
                  <w:vMerge w:val="continue"/>
                  <w:vAlign w:val="center"/>
                </w:tcPr>
                <w:p>
                  <w:pPr>
                    <w:topLinePunct/>
                    <w:spacing w:line="240" w:lineRule="auto"/>
                    <w:ind w:firstLine="0" w:firstLineChars="0"/>
                    <w:jc w:val="center"/>
                    <w:textAlignment w:val="center"/>
                    <w:rPr>
                      <w:rFonts w:hint="eastAsia"/>
                      <w:color w:val="000000" w:themeColor="text1"/>
                      <w:sz w:val="21"/>
                      <w:szCs w:val="21"/>
                      <w:highlight w:val="none"/>
                    </w:rPr>
                  </w:pPr>
                </w:p>
              </w:tc>
              <w:tc>
                <w:tcPr>
                  <w:tcW w:w="1375" w:type="pct"/>
                  <w:vMerge w:val="continue"/>
                  <w:vAlign w:val="center"/>
                </w:tcPr>
                <w:p>
                  <w:pPr>
                    <w:topLinePunct/>
                    <w:spacing w:line="240" w:lineRule="auto"/>
                    <w:ind w:firstLine="0" w:firstLineChars="0"/>
                    <w:jc w:val="center"/>
                    <w:textAlignment w:val="center"/>
                    <w:rPr>
                      <w:rFonts w:hint="eastAsia" w:hAnsi="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bCs/>
                      <w:color w:val="000000" w:themeColor="text1"/>
                      <w:sz w:val="21"/>
                      <w:szCs w:val="21"/>
                      <w:highlight w:val="none"/>
                    </w:rPr>
                    <w:t>矿粉筒仓</w:t>
                  </w:r>
                </w:p>
              </w:tc>
              <w:tc>
                <w:tcPr>
                  <w:tcW w:w="367"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bCs/>
                      <w:color w:val="000000" w:themeColor="text1"/>
                      <w:sz w:val="21"/>
                      <w:szCs w:val="21"/>
                      <w:highlight w:val="none"/>
                    </w:rPr>
                    <w:t>有组织</w:t>
                  </w:r>
                </w:p>
              </w:tc>
              <w:tc>
                <w:tcPr>
                  <w:tcW w:w="682"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rFonts w:hint="eastAsia"/>
                      <w:bCs/>
                      <w:color w:val="000000" w:themeColor="text1"/>
                      <w:sz w:val="21"/>
                      <w:szCs w:val="21"/>
                      <w:highlight w:val="none"/>
                    </w:rPr>
                    <w:t>颗粒物</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bCs/>
                      <w:color w:val="000000" w:themeColor="text1"/>
                      <w:sz w:val="21"/>
                      <w:szCs w:val="21"/>
                      <w:highlight w:val="none"/>
                    </w:rPr>
                    <w:t>120</w:t>
                  </w:r>
                </w:p>
              </w:tc>
              <w:tc>
                <w:tcPr>
                  <w:tcW w:w="576" w:type="pct"/>
                  <w:vAlign w:val="center"/>
                </w:tcPr>
                <w:p>
                  <w:pPr>
                    <w:topLinePunct/>
                    <w:spacing w:line="240" w:lineRule="auto"/>
                    <w:ind w:firstLine="0" w:firstLineChars="0"/>
                    <w:jc w:val="center"/>
                    <w:textAlignment w:val="center"/>
                    <w:rPr>
                      <w:rFonts w:hint="eastAsia"/>
                      <w:color w:val="000000" w:themeColor="text1"/>
                      <w:sz w:val="21"/>
                      <w:szCs w:val="21"/>
                      <w:highlight w:val="none"/>
                    </w:rPr>
                  </w:pPr>
                  <w:r>
                    <w:rPr>
                      <w:color w:val="000000" w:themeColor="text1"/>
                      <w:sz w:val="21"/>
                      <w:szCs w:val="21"/>
                      <w:highlight w:val="none"/>
                    </w:rPr>
                    <w:t>≤</w:t>
                  </w:r>
                  <w:r>
                    <w:rPr>
                      <w:rFonts w:hint="eastAsia"/>
                      <w:bCs/>
                      <w:color w:val="000000" w:themeColor="text1"/>
                      <w:sz w:val="21"/>
                      <w:szCs w:val="21"/>
                      <w:highlight w:val="none"/>
                    </w:rPr>
                    <w:t>4.5</w:t>
                  </w:r>
                </w:p>
              </w:tc>
              <w:tc>
                <w:tcPr>
                  <w:tcW w:w="567" w:type="pct"/>
                  <w:vAlign w:val="center"/>
                </w:tcPr>
                <w:p>
                  <w:pPr>
                    <w:topLinePunct/>
                    <w:spacing w:line="240" w:lineRule="auto"/>
                    <w:ind w:firstLine="0" w:firstLineChars="0"/>
                    <w:jc w:val="center"/>
                    <w:textAlignment w:val="center"/>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17</w:t>
                  </w:r>
                </w:p>
              </w:tc>
              <w:tc>
                <w:tcPr>
                  <w:tcW w:w="1375" w:type="pct"/>
                  <w:vAlign w:val="center"/>
                </w:tcPr>
                <w:p>
                  <w:pPr>
                    <w:topLinePunct/>
                    <w:spacing w:line="240" w:lineRule="auto"/>
                    <w:ind w:firstLine="0" w:firstLineChars="0"/>
                    <w:jc w:val="center"/>
                    <w:textAlignment w:val="center"/>
                    <w:rPr>
                      <w:rFonts w:hint="eastAsia" w:hAnsi="宋体"/>
                      <w:color w:val="000000" w:themeColor="text1"/>
                      <w:sz w:val="21"/>
                      <w:szCs w:val="21"/>
                      <w:highlight w:val="none"/>
                    </w:rPr>
                  </w:pPr>
                  <w:r>
                    <w:rPr>
                      <w:rFonts w:hAnsi="宋体"/>
                      <w:color w:val="000000" w:themeColor="text1"/>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restart"/>
                  <w:vAlign w:val="center"/>
                </w:tcPr>
                <w:p>
                  <w:pPr>
                    <w:topLinePunct/>
                    <w:spacing w:line="240" w:lineRule="auto"/>
                    <w:ind w:firstLine="0" w:firstLineChars="0"/>
                    <w:jc w:val="center"/>
                    <w:textAlignment w:val="center"/>
                    <w:rPr>
                      <w:bCs/>
                      <w:color w:val="000000" w:themeColor="text1"/>
                      <w:sz w:val="21"/>
                      <w:szCs w:val="21"/>
                      <w:highlight w:val="none"/>
                    </w:rPr>
                  </w:pPr>
                  <w:r>
                    <w:rPr>
                      <w:rFonts w:hint="eastAsia"/>
                      <w:bCs/>
                      <w:color w:val="000000" w:themeColor="text1"/>
                      <w:sz w:val="21"/>
                      <w:szCs w:val="21"/>
                      <w:highlight w:val="none"/>
                    </w:rPr>
                    <w:t>厂界</w:t>
                  </w:r>
                </w:p>
                <w:p>
                  <w:pPr>
                    <w:topLinePunct/>
                    <w:spacing w:line="240" w:lineRule="auto"/>
                    <w:ind w:firstLine="0" w:firstLineChars="0"/>
                    <w:jc w:val="center"/>
                    <w:textAlignment w:val="center"/>
                    <w:rPr>
                      <w:color w:val="000000" w:themeColor="text1"/>
                      <w:sz w:val="21"/>
                      <w:szCs w:val="21"/>
                      <w:highlight w:val="none"/>
                    </w:rPr>
                  </w:pPr>
                </w:p>
              </w:tc>
              <w:tc>
                <w:tcPr>
                  <w:tcW w:w="367" w:type="pct"/>
                  <w:vMerge w:val="restart"/>
                  <w:vAlign w:val="center"/>
                </w:tcPr>
                <w:p>
                  <w:pPr>
                    <w:topLinePunct/>
                    <w:spacing w:line="240" w:lineRule="auto"/>
                    <w:ind w:firstLine="0" w:firstLineChars="0"/>
                    <w:jc w:val="center"/>
                    <w:textAlignment w:val="center"/>
                    <w:rPr>
                      <w:bCs/>
                      <w:color w:val="000000" w:themeColor="text1"/>
                      <w:sz w:val="21"/>
                      <w:szCs w:val="21"/>
                      <w:highlight w:val="none"/>
                    </w:rPr>
                  </w:pPr>
                  <w:r>
                    <w:rPr>
                      <w:rFonts w:hint="eastAsia"/>
                      <w:bCs/>
                      <w:color w:val="000000" w:themeColor="text1"/>
                      <w:sz w:val="21"/>
                      <w:szCs w:val="21"/>
                      <w:highlight w:val="none"/>
                    </w:rPr>
                    <w:t>无组织</w:t>
                  </w:r>
                </w:p>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bCs/>
                      <w:color w:val="000000" w:themeColor="text1"/>
                      <w:sz w:val="21"/>
                      <w:szCs w:val="21"/>
                      <w:highlight w:val="none"/>
                    </w:rPr>
                  </w:pPr>
                  <w:r>
                    <w:rPr>
                      <w:rFonts w:hint="eastAsia"/>
                      <w:bCs/>
                      <w:color w:val="000000" w:themeColor="text1"/>
                      <w:sz w:val="21"/>
                      <w:szCs w:val="21"/>
                      <w:highlight w:val="none"/>
                    </w:rPr>
                    <w:t>颗粒物</w:t>
                  </w:r>
                </w:p>
              </w:tc>
              <w:tc>
                <w:tcPr>
                  <w:tcW w:w="721" w:type="pct"/>
                  <w:vAlign w:val="center"/>
                </w:tcPr>
                <w:p>
                  <w:pPr>
                    <w:topLinePunct/>
                    <w:spacing w:line="240" w:lineRule="auto"/>
                    <w:ind w:firstLine="0" w:firstLineChars="0"/>
                    <w:jc w:val="center"/>
                    <w:textAlignment w:val="center"/>
                    <w:rPr>
                      <w:b/>
                      <w:color w:val="000000" w:themeColor="text1"/>
                      <w:sz w:val="21"/>
                      <w:szCs w:val="21"/>
                      <w:highlight w:val="none"/>
                    </w:rPr>
                  </w:pPr>
                  <w:r>
                    <w:rPr>
                      <w:rFonts w:hint="eastAsia"/>
                      <w:bCs/>
                      <w:color w:val="000000" w:themeColor="text1"/>
                      <w:sz w:val="21"/>
                      <w:szCs w:val="21"/>
                      <w:highlight w:val="none"/>
                    </w:rPr>
                    <w:t>1.0</w:t>
                  </w:r>
                </w:p>
              </w:tc>
              <w:tc>
                <w:tcPr>
                  <w:tcW w:w="576" w:type="pct"/>
                  <w:vAlign w:val="center"/>
                </w:tcPr>
                <w:p>
                  <w:pPr>
                    <w:topLinePunct/>
                    <w:spacing w:line="240" w:lineRule="auto"/>
                    <w:ind w:firstLine="0" w:firstLineChars="0"/>
                    <w:jc w:val="center"/>
                    <w:textAlignment w:val="center"/>
                    <w:rPr>
                      <w:bCs/>
                      <w:color w:val="000000" w:themeColor="text1"/>
                      <w:sz w:val="21"/>
                      <w:szCs w:val="21"/>
                      <w:highlight w:val="none"/>
                    </w:rPr>
                  </w:pPr>
                  <w:r>
                    <w:rPr>
                      <w:rFonts w:hint="eastAsia"/>
                      <w:bCs/>
                      <w:color w:val="000000" w:themeColor="text1"/>
                      <w:sz w:val="21"/>
                      <w:szCs w:val="21"/>
                      <w:highlight w:val="none"/>
                    </w:rPr>
                    <w:t>/</w:t>
                  </w:r>
                </w:p>
              </w:tc>
              <w:tc>
                <w:tcPr>
                  <w:tcW w:w="567" w:type="pct"/>
                  <w:vAlign w:val="center"/>
                </w:tcPr>
                <w:p>
                  <w:pPr>
                    <w:topLinePunct/>
                    <w:spacing w:line="240" w:lineRule="auto"/>
                    <w:ind w:firstLine="0" w:firstLineChars="0"/>
                    <w:jc w:val="center"/>
                    <w:textAlignment w:val="center"/>
                    <w:rPr>
                      <w:bCs/>
                      <w:color w:val="000000" w:themeColor="text1"/>
                      <w:sz w:val="21"/>
                      <w:szCs w:val="21"/>
                      <w:highlight w:val="none"/>
                    </w:rPr>
                  </w:pPr>
                  <w:r>
                    <w:rPr>
                      <w:rFonts w:hint="eastAsia"/>
                      <w:bCs/>
                      <w:color w:val="000000" w:themeColor="text1"/>
                      <w:sz w:val="21"/>
                      <w:szCs w:val="21"/>
                      <w:highlight w:val="none"/>
                    </w:rPr>
                    <w:t>/</w:t>
                  </w:r>
                </w:p>
              </w:tc>
              <w:tc>
                <w:tcPr>
                  <w:tcW w:w="1375" w:type="pct"/>
                  <w:vMerge w:val="restart"/>
                  <w:vAlign w:val="center"/>
                </w:tcPr>
                <w:p>
                  <w:pPr>
                    <w:topLinePunct/>
                    <w:spacing w:line="240" w:lineRule="auto"/>
                    <w:ind w:firstLine="0" w:firstLineChars="0"/>
                    <w:jc w:val="center"/>
                    <w:textAlignment w:val="center"/>
                    <w:rPr>
                      <w:rFonts w:hAnsi="宋体"/>
                      <w:color w:val="000000" w:themeColor="text1"/>
                      <w:sz w:val="21"/>
                      <w:szCs w:val="21"/>
                      <w:highlight w:val="none"/>
                    </w:rPr>
                  </w:pPr>
                  <w:r>
                    <w:rPr>
                      <w:rFonts w:hAnsi="宋体"/>
                      <w:color w:val="000000" w:themeColor="text1"/>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苯并[a]芘</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≤0.008</w:t>
                  </w:r>
                  <w:r>
                    <w:rPr>
                      <w:rFonts w:hint="eastAsia" w:ascii="宋体" w:hAnsi="宋体" w:cs="宋体"/>
                      <w:color w:val="000000" w:themeColor="text1"/>
                      <w:sz w:val="21"/>
                      <w:szCs w:val="21"/>
                      <w:highlight w:val="none"/>
                    </w:rPr>
                    <w:t>×</w:t>
                  </w:r>
                  <w:r>
                    <w:rPr>
                      <w:color w:val="000000" w:themeColor="text1"/>
                      <w:sz w:val="21"/>
                      <w:szCs w:val="21"/>
                      <w:highlight w:val="none"/>
                    </w:rPr>
                    <w:t>10</w:t>
                  </w:r>
                  <w:r>
                    <w:rPr>
                      <w:color w:val="000000" w:themeColor="text1"/>
                      <w:sz w:val="21"/>
                      <w:szCs w:val="21"/>
                      <w:highlight w:val="none"/>
                      <w:vertAlign w:val="superscript"/>
                    </w:rPr>
                    <w:t>-3</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1375" w:type="pct"/>
                  <w:vMerge w:val="continue"/>
                  <w:vAlign w:val="center"/>
                </w:tcPr>
                <w:p>
                  <w:pPr>
                    <w:topLinePunct/>
                    <w:spacing w:line="240" w:lineRule="auto"/>
                    <w:ind w:firstLine="0" w:firstLineChars="0"/>
                    <w:jc w:val="center"/>
                    <w:textAlignment w:val="center"/>
                    <w:rPr>
                      <w:rFonts w:hAnsi="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沥青烟</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生产设备不得有明显的无组织排放存在</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1375" w:type="pct"/>
                  <w:vMerge w:val="continue"/>
                  <w:vAlign w:val="center"/>
                </w:tcPr>
                <w:p>
                  <w:pPr>
                    <w:topLinePunct/>
                    <w:spacing w:line="240" w:lineRule="auto"/>
                    <w:ind w:firstLine="0" w:firstLineChars="0"/>
                    <w:jc w:val="center"/>
                    <w:textAlignment w:val="center"/>
                    <w:rPr>
                      <w:rFonts w:hAnsi="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非甲烷总烃</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2.0</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1375" w:type="pct"/>
                  <w:vAlign w:val="center"/>
                </w:tcPr>
                <w:p>
                  <w:pPr>
                    <w:topLinePunct/>
                    <w:spacing w:line="240" w:lineRule="auto"/>
                    <w:ind w:firstLine="0" w:firstLineChars="0"/>
                    <w:jc w:val="center"/>
                    <w:textAlignment w:val="center"/>
                    <w:rPr>
                      <w:rFonts w:hAnsi="宋体"/>
                      <w:color w:val="000000" w:themeColor="text1"/>
                      <w:sz w:val="21"/>
                      <w:szCs w:val="21"/>
                      <w:highlight w:val="none"/>
                    </w:rPr>
                  </w:pPr>
                  <w:r>
                    <w:rPr>
                      <w:rFonts w:hint="eastAsia" w:hAnsi="宋体"/>
                      <w:color w:val="000000" w:themeColor="text1"/>
                      <w:sz w:val="21"/>
                      <w:szCs w:val="21"/>
                      <w:highlight w:val="none"/>
                    </w:rPr>
                    <w:t>《工业企业挥发性有机物排放控制标准》（DB13/2322-2016）</w:t>
                  </w:r>
                  <w:r>
                    <w:rPr>
                      <w:rFonts w:hint="eastAsia" w:hAnsi="宋体"/>
                      <w:color w:val="000000" w:themeColor="text1"/>
                      <w:sz w:val="21"/>
                      <w:szCs w:val="21"/>
                      <w:highlight w:val="none"/>
                      <w:lang w:val="en-US" w:eastAsia="zh-CN"/>
                    </w:rPr>
                    <w:t>企业边界大气污染物浓度限值</w:t>
                  </w:r>
                  <w:r>
                    <w:rPr>
                      <w:rFonts w:hint="eastAsia" w:hAnsi="宋体"/>
                      <w:color w:val="000000" w:themeColor="text1"/>
                      <w:sz w:val="21"/>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5"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453"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367" w:type="pct"/>
                  <w:vMerge w:val="continue"/>
                  <w:vAlign w:val="center"/>
                </w:tcPr>
                <w:p>
                  <w:pPr>
                    <w:topLinePunct/>
                    <w:spacing w:line="240" w:lineRule="auto"/>
                    <w:ind w:firstLine="0" w:firstLineChars="0"/>
                    <w:jc w:val="center"/>
                    <w:textAlignment w:val="center"/>
                    <w:rPr>
                      <w:color w:val="000000" w:themeColor="text1"/>
                      <w:sz w:val="21"/>
                      <w:szCs w:val="21"/>
                      <w:highlight w:val="none"/>
                    </w:rPr>
                  </w:pPr>
                </w:p>
              </w:tc>
              <w:tc>
                <w:tcPr>
                  <w:tcW w:w="682"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臭气浓度</w:t>
                  </w:r>
                </w:p>
              </w:tc>
              <w:tc>
                <w:tcPr>
                  <w:tcW w:w="721" w:type="pct"/>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w:t>
                  </w:r>
                  <w:r>
                    <w:rPr>
                      <w:rFonts w:hint="eastAsia"/>
                      <w:color w:val="000000" w:themeColor="text1"/>
                      <w:sz w:val="21"/>
                      <w:szCs w:val="21"/>
                      <w:highlight w:val="none"/>
                    </w:rPr>
                    <w:t>20（无量纲）</w:t>
                  </w:r>
                </w:p>
              </w:tc>
              <w:tc>
                <w:tcPr>
                  <w:tcW w:w="576"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567"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w:t>
                  </w:r>
                </w:p>
              </w:tc>
              <w:tc>
                <w:tcPr>
                  <w:tcW w:w="1375" w:type="pct"/>
                  <w:vAlign w:val="center"/>
                </w:tcPr>
                <w:p>
                  <w:pPr>
                    <w:topLinePunct/>
                    <w:spacing w:line="240" w:lineRule="auto"/>
                    <w:ind w:firstLine="0" w:firstLineChars="0"/>
                    <w:jc w:val="center"/>
                    <w:textAlignment w:val="center"/>
                    <w:rPr>
                      <w:rFonts w:hAnsi="宋体"/>
                      <w:color w:val="000000" w:themeColor="text1"/>
                      <w:sz w:val="21"/>
                      <w:szCs w:val="21"/>
                      <w:highlight w:val="none"/>
                    </w:rPr>
                  </w:pPr>
                  <w:r>
                    <w:rPr>
                      <w:rFonts w:hint="eastAsia"/>
                      <w:color w:val="000000" w:themeColor="text1"/>
                      <w:sz w:val="21"/>
                      <w:szCs w:val="21"/>
                      <w:highlight w:val="none"/>
                    </w:rPr>
                    <w:t>《恶臭污染物排放标准》（GB14554-93）</w:t>
                  </w:r>
                </w:p>
              </w:tc>
            </w:tr>
          </w:tbl>
          <w:p>
            <w:pPr>
              <w:spacing w:before="120" w:beforeLines="50"/>
              <w:ind w:firstLine="482"/>
              <w:rPr>
                <w:b/>
                <w:bCs/>
                <w:color w:val="000000" w:themeColor="text1"/>
                <w:highlight w:val="none"/>
              </w:rPr>
            </w:pPr>
            <w:r>
              <w:rPr>
                <w:rFonts w:hint="eastAsia"/>
                <w:b/>
                <w:bCs/>
                <w:color w:val="000000" w:themeColor="text1"/>
                <w:highlight w:val="none"/>
              </w:rPr>
              <w:t>2、噪声排放标准</w:t>
            </w:r>
          </w:p>
          <w:p>
            <w:pPr>
              <w:ind w:firstLine="480"/>
              <w:rPr>
                <w:color w:val="000000" w:themeColor="text1"/>
                <w:highlight w:val="none"/>
              </w:rPr>
            </w:pPr>
            <w:r>
              <w:rPr>
                <w:color w:val="000000" w:themeColor="text1"/>
                <w:highlight w:val="none"/>
              </w:rPr>
              <w:t>施工期噪声执行《建筑施工场界环境噪声排放标准》（GB12523-2011）标准。</w:t>
            </w:r>
          </w:p>
          <w:p>
            <w:pPr>
              <w:ind w:firstLine="480"/>
              <w:rPr>
                <w:color w:val="000000" w:themeColor="text1"/>
                <w:highlight w:val="none"/>
              </w:rPr>
            </w:pPr>
            <w:r>
              <w:rPr>
                <w:rFonts w:hint="eastAsia"/>
                <w:color w:val="000000" w:themeColor="text1"/>
                <w:highlight w:val="none"/>
              </w:rPr>
              <w:t>运营期厂界噪声执行《工业企业厂界环境噪声排放标准》（</w:t>
            </w:r>
            <w:r>
              <w:rPr>
                <w:color w:val="000000" w:themeColor="text1"/>
                <w:highlight w:val="none"/>
              </w:rPr>
              <w:t>GB12348</w:t>
            </w:r>
            <w:r>
              <w:rPr>
                <w:rFonts w:hint="eastAsia"/>
                <w:color w:val="000000" w:themeColor="text1"/>
                <w:highlight w:val="none"/>
              </w:rPr>
              <w:t>－</w:t>
            </w:r>
            <w:r>
              <w:rPr>
                <w:color w:val="000000" w:themeColor="text1"/>
                <w:highlight w:val="none"/>
              </w:rPr>
              <w:t>2008</w:t>
            </w:r>
            <w:r>
              <w:rPr>
                <w:rFonts w:hint="eastAsia"/>
                <w:color w:val="000000" w:themeColor="text1"/>
                <w:highlight w:val="none"/>
              </w:rPr>
              <w:t>）</w:t>
            </w:r>
            <w:r>
              <w:rPr>
                <w:color w:val="000000" w:themeColor="text1"/>
                <w:highlight w:val="none"/>
              </w:rPr>
              <w:t>2</w:t>
            </w:r>
            <w:r>
              <w:rPr>
                <w:rFonts w:hint="eastAsia"/>
                <w:color w:val="000000" w:themeColor="text1"/>
                <w:highlight w:val="none"/>
              </w:rPr>
              <w:t>类标准。具体标准限值详见下表：</w:t>
            </w:r>
          </w:p>
          <w:p>
            <w:pPr>
              <w:numPr>
                <w:ilvl w:val="0"/>
                <w:numId w:val="4"/>
              </w:numPr>
              <w:autoSpaceDE w:val="0"/>
              <w:autoSpaceDN w:val="0"/>
              <w:ind w:left="0" w:firstLine="0" w:firstLineChars="0"/>
              <w:jc w:val="center"/>
              <w:rPr>
                <w:b/>
                <w:bCs/>
                <w:color w:val="000000" w:themeColor="text1"/>
                <w:sz w:val="21"/>
                <w:szCs w:val="21"/>
                <w:highlight w:val="none"/>
              </w:rPr>
            </w:pPr>
            <w:r>
              <w:rPr>
                <w:b/>
                <w:bCs/>
                <w:color w:val="000000" w:themeColor="text1"/>
                <w:sz w:val="21"/>
                <w:szCs w:val="21"/>
                <w:highlight w:val="none"/>
              </w:rPr>
              <w:t>噪声排放标准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45"/>
              <w:gridCol w:w="1185"/>
              <w:gridCol w:w="1642"/>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tcBorders>
                    <w:top w:val="single" w:color="auto" w:sz="4" w:space="0"/>
                    <w:left w:val="single" w:color="auto" w:sz="4" w:space="0"/>
                    <w:bottom w:val="single" w:color="auto" w:sz="4" w:space="0"/>
                    <w:right w:val="single" w:color="auto" w:sz="4" w:space="0"/>
                  </w:tcBorders>
                  <w:noWrap/>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类别</w:t>
                  </w:r>
                </w:p>
              </w:tc>
              <w:tc>
                <w:tcPr>
                  <w:tcW w:w="747"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排放类型</w:t>
                  </w:r>
                </w:p>
              </w:tc>
              <w:tc>
                <w:tcPr>
                  <w:tcW w:w="711"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b/>
                      <w:bCs/>
                      <w:color w:val="000000" w:themeColor="text1"/>
                      <w:sz w:val="21"/>
                      <w:szCs w:val="21"/>
                      <w:highlight w:val="none"/>
                    </w:rPr>
                  </w:pPr>
                  <w:r>
                    <w:rPr>
                      <w:rFonts w:hint="eastAsia"/>
                      <w:b/>
                      <w:bCs/>
                      <w:color w:val="000000" w:themeColor="text1"/>
                      <w:sz w:val="21"/>
                      <w:szCs w:val="21"/>
                      <w:highlight w:val="none"/>
                    </w:rPr>
                    <w:t>排放时期</w:t>
                  </w:r>
                </w:p>
              </w:tc>
              <w:tc>
                <w:tcPr>
                  <w:tcW w:w="985"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标准限值</w:t>
                  </w:r>
                </w:p>
              </w:tc>
              <w:tc>
                <w:tcPr>
                  <w:tcW w:w="2129"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b/>
                      <w:bCs/>
                      <w:color w:val="000000" w:themeColor="text1"/>
                      <w:sz w:val="21"/>
                      <w:szCs w:val="21"/>
                      <w:highlight w:val="none"/>
                    </w:rPr>
                  </w:pPr>
                  <w:r>
                    <w:rPr>
                      <w:b/>
                      <w:bCs/>
                      <w:color w:val="000000" w:themeColor="text1"/>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vMerge w:val="restart"/>
                  <w:tcBorders>
                    <w:top w:val="nil"/>
                    <w:left w:val="single" w:color="auto" w:sz="4" w:space="0"/>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噪声</w:t>
                  </w:r>
                </w:p>
              </w:tc>
              <w:tc>
                <w:tcPr>
                  <w:tcW w:w="747" w:type="pct"/>
                  <w:vMerge w:val="restart"/>
                  <w:tcBorders>
                    <w:top w:val="nil"/>
                    <w:left w:val="nil"/>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等效连续A声级</w:t>
                  </w:r>
                </w:p>
              </w:tc>
              <w:tc>
                <w:tcPr>
                  <w:tcW w:w="711"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施工期</w:t>
                  </w:r>
                </w:p>
              </w:tc>
              <w:tc>
                <w:tcPr>
                  <w:tcW w:w="985"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昼间≤70dB(A)</w:t>
                  </w:r>
                </w:p>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夜间≤55dB(A)</w:t>
                  </w:r>
                </w:p>
              </w:tc>
              <w:tc>
                <w:tcPr>
                  <w:tcW w:w="2129"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《建筑施工场界环境噪声排放标准》（GB12523-2011）标准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vMerge w:val="continue"/>
                  <w:tcBorders>
                    <w:left w:val="single" w:color="auto" w:sz="4" w:space="0"/>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p>
              </w:tc>
              <w:tc>
                <w:tcPr>
                  <w:tcW w:w="747" w:type="pct"/>
                  <w:vMerge w:val="continue"/>
                  <w:tcBorders>
                    <w:left w:val="nil"/>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p>
              </w:tc>
              <w:tc>
                <w:tcPr>
                  <w:tcW w:w="711"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运营期</w:t>
                  </w:r>
                </w:p>
              </w:tc>
              <w:tc>
                <w:tcPr>
                  <w:tcW w:w="985"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昼间≤60dB(A)</w:t>
                  </w:r>
                </w:p>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夜间≤50dB(A)</w:t>
                  </w:r>
                </w:p>
              </w:tc>
              <w:tc>
                <w:tcPr>
                  <w:tcW w:w="2129" w:type="pct"/>
                  <w:tcBorders>
                    <w:top w:val="single" w:color="auto" w:sz="4" w:space="0"/>
                    <w:left w:val="nil"/>
                    <w:bottom w:val="single" w:color="auto" w:sz="4" w:space="0"/>
                    <w:right w:val="single" w:color="auto" w:sz="4" w:space="0"/>
                  </w:tcBorders>
                  <w:noWrap/>
                  <w:vAlign w:val="center"/>
                </w:tcPr>
                <w:p>
                  <w:pPr>
                    <w:topLinePunct/>
                    <w:spacing w:line="240" w:lineRule="auto"/>
                    <w:ind w:firstLine="0" w:firstLineChars="0"/>
                    <w:jc w:val="center"/>
                    <w:textAlignment w:val="center"/>
                    <w:rPr>
                      <w:color w:val="000000" w:themeColor="text1"/>
                      <w:sz w:val="21"/>
                      <w:szCs w:val="21"/>
                      <w:highlight w:val="none"/>
                    </w:rPr>
                  </w:pPr>
                  <w:r>
                    <w:rPr>
                      <w:color w:val="000000" w:themeColor="text1"/>
                      <w:sz w:val="21"/>
                      <w:szCs w:val="21"/>
                      <w:highlight w:val="none"/>
                    </w:rPr>
                    <w:t>《工业企业厂界环境噪声排放标准》(GB12348-2008)2类标准</w:t>
                  </w:r>
                </w:p>
              </w:tc>
            </w:tr>
          </w:tbl>
          <w:p>
            <w:pPr>
              <w:ind w:firstLine="482"/>
              <w:rPr>
                <w:b/>
                <w:bCs/>
                <w:color w:val="000000" w:themeColor="text1"/>
                <w:highlight w:val="none"/>
              </w:rPr>
            </w:pPr>
            <w:r>
              <w:rPr>
                <w:rFonts w:hint="eastAsia"/>
                <w:b/>
                <w:bCs/>
                <w:color w:val="000000" w:themeColor="text1"/>
                <w:highlight w:val="none"/>
              </w:rPr>
              <w:t>3、</w:t>
            </w:r>
            <w:r>
              <w:rPr>
                <w:rFonts w:hint="eastAsia"/>
                <w:b/>
                <w:bCs/>
                <w:color w:val="000000" w:themeColor="text1"/>
                <w:highlight w:val="none"/>
                <w:lang w:val="en-US" w:eastAsia="zh-CN"/>
              </w:rPr>
              <w:t>污染控制标准</w:t>
            </w:r>
            <w:r>
              <w:rPr>
                <w:rFonts w:hint="eastAsia"/>
                <w:b/>
                <w:bCs/>
                <w:color w:val="000000" w:themeColor="text1"/>
                <w:highlight w:val="none"/>
              </w:rPr>
              <w:t xml:space="preserve"> </w:t>
            </w:r>
          </w:p>
          <w:p>
            <w:pPr>
              <w:ind w:firstLine="480"/>
              <w:rPr>
                <w:rFonts w:ascii="宋体" w:hAnsi="宋体" w:cs="宋体"/>
                <w:color w:val="000000" w:themeColor="text1"/>
                <w:kern w:val="21"/>
                <w:szCs w:val="21"/>
                <w:highlight w:val="none"/>
              </w:rPr>
            </w:pPr>
            <w:r>
              <w:rPr>
                <w:color w:val="000000" w:themeColor="text1"/>
                <w:highlight w:val="none"/>
              </w:rPr>
              <w:t>危险废</w:t>
            </w:r>
            <w:r>
              <w:rPr>
                <w:rFonts w:hint="eastAsia"/>
                <w:color w:val="000000" w:themeColor="text1"/>
                <w:highlight w:val="none"/>
                <w:lang w:val="en-US" w:eastAsia="zh-CN"/>
              </w:rPr>
              <w:t>物贮存</w:t>
            </w:r>
            <w:r>
              <w:rPr>
                <w:color w:val="000000" w:themeColor="text1"/>
                <w:highlight w:val="none"/>
              </w:rPr>
              <w:t>执行《危险废物贮存污染控制标准》（GB18597-20</w:t>
            </w:r>
            <w:r>
              <w:rPr>
                <w:rFonts w:hint="eastAsia"/>
                <w:color w:val="000000" w:themeColor="text1"/>
                <w:highlight w:val="none"/>
              </w:rPr>
              <w:t>23</w:t>
            </w:r>
            <w:r>
              <w:rPr>
                <w:color w:val="000000" w:themeColor="text1"/>
                <w:highlight w:val="none"/>
              </w:rPr>
              <w:t>）</w:t>
            </w:r>
            <w:r>
              <w:rPr>
                <w:snapToGrid w:val="0"/>
                <w:color w:val="000000" w:themeColor="text1"/>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506" w:type="dxa"/>
            <w:noWrap/>
            <w:tcMar>
              <w:left w:w="28" w:type="dxa"/>
              <w:right w:w="28" w:type="dxa"/>
            </w:tcMar>
            <w:vAlign w:val="center"/>
          </w:tcPr>
          <w:p>
            <w:pPr>
              <w:spacing w:line="240" w:lineRule="auto"/>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总量</w:t>
            </w:r>
          </w:p>
          <w:p>
            <w:pPr>
              <w:spacing w:line="240" w:lineRule="auto"/>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控制</w:t>
            </w:r>
          </w:p>
          <w:p>
            <w:pPr>
              <w:spacing w:line="240" w:lineRule="auto"/>
              <w:ind w:firstLine="0" w:firstLineChars="0"/>
              <w:jc w:val="center"/>
              <w:rPr>
                <w:rFonts w:ascii="宋体" w:hAnsi="宋体" w:cs="宋体"/>
                <w:color w:val="000000" w:themeColor="text1"/>
                <w:kern w:val="21"/>
                <w:szCs w:val="21"/>
                <w:highlight w:val="none"/>
              </w:rPr>
            </w:pPr>
            <w:r>
              <w:rPr>
                <w:rFonts w:hint="eastAsia" w:ascii="宋体" w:hAnsi="宋体" w:cs="宋体"/>
                <w:color w:val="000000" w:themeColor="text1"/>
                <w:kern w:val="21"/>
                <w:szCs w:val="21"/>
                <w:highlight w:val="none"/>
              </w:rPr>
              <w:t>指标</w:t>
            </w:r>
          </w:p>
        </w:tc>
        <w:tc>
          <w:tcPr>
            <w:tcW w:w="8555" w:type="dxa"/>
            <w:noWrap/>
            <w:vAlign w:val="center"/>
          </w:tcPr>
          <w:p>
            <w:pPr>
              <w:ind w:firstLine="480"/>
              <w:rPr>
                <w:color w:val="000000" w:themeColor="text1"/>
                <w:highlight w:val="none"/>
              </w:rPr>
            </w:pPr>
            <w:r>
              <w:rPr>
                <w:color w:val="000000" w:themeColor="text1"/>
                <w:sz w:val="24"/>
                <w:highlight w:val="none"/>
              </w:rPr>
              <w:t>本</w:t>
            </w:r>
            <w:r>
              <w:rPr>
                <w:rFonts w:hint="eastAsia"/>
                <w:color w:val="000000" w:themeColor="text1"/>
                <w:sz w:val="24"/>
                <w:highlight w:val="none"/>
              </w:rPr>
              <w:t>项目无生活污水及生产污水排放，</w:t>
            </w:r>
            <w:r>
              <w:rPr>
                <w:color w:val="000000" w:themeColor="text1"/>
                <w:sz w:val="24"/>
                <w:highlight w:val="none"/>
              </w:rPr>
              <w:t>因此本项目不给出水污染物总量控制指标</w:t>
            </w:r>
            <w:r>
              <w:rPr>
                <w:rFonts w:hint="eastAsia"/>
                <w:color w:val="000000" w:themeColor="text1"/>
                <w:sz w:val="24"/>
                <w:highlight w:val="none"/>
              </w:rPr>
              <w:t>。</w:t>
            </w:r>
            <w:r>
              <w:rPr>
                <w:color w:val="000000" w:themeColor="text1"/>
                <w:sz w:val="24"/>
                <w:highlight w:val="none"/>
              </w:rPr>
              <w:t>本项目给出</w:t>
            </w:r>
            <w:r>
              <w:rPr>
                <w:rFonts w:hint="eastAsia"/>
                <w:color w:val="000000" w:themeColor="text1"/>
                <w:sz w:val="24"/>
                <w:highlight w:val="none"/>
              </w:rPr>
              <w:t>大气</w:t>
            </w:r>
            <w:r>
              <w:rPr>
                <w:color w:val="000000" w:themeColor="text1"/>
                <w:sz w:val="24"/>
                <w:highlight w:val="none"/>
              </w:rPr>
              <w:t>污染物总量控制指标</w:t>
            </w:r>
            <w:r>
              <w:rPr>
                <w:rFonts w:hint="eastAsia"/>
                <w:color w:val="000000" w:themeColor="text1"/>
                <w:sz w:val="24"/>
                <w:highlight w:val="none"/>
                <w:lang w:eastAsia="zh-CN"/>
              </w:rPr>
              <w:t>，</w:t>
            </w:r>
            <w:r>
              <w:rPr>
                <w:rFonts w:hint="eastAsia"/>
                <w:color w:val="000000" w:themeColor="text1"/>
                <w:highlight w:val="none"/>
              </w:rPr>
              <w:t>二氧化硫：</w:t>
            </w:r>
            <w:r>
              <w:rPr>
                <w:rFonts w:hint="eastAsia"/>
                <w:color w:val="000000" w:themeColor="text1"/>
                <w:highlight w:val="none"/>
                <w:lang w:val="en-US" w:eastAsia="zh-CN"/>
              </w:rPr>
              <w:t>1.315</w:t>
            </w:r>
            <w:r>
              <w:rPr>
                <w:rFonts w:hint="eastAsia"/>
                <w:color w:val="000000" w:themeColor="text1"/>
                <w:highlight w:val="none"/>
              </w:rPr>
              <w:t>t/a；氮氧化物：</w:t>
            </w:r>
            <w:r>
              <w:rPr>
                <w:rFonts w:hint="eastAsia"/>
                <w:color w:val="000000" w:themeColor="text1"/>
                <w:highlight w:val="none"/>
                <w:lang w:val="en-US" w:eastAsia="zh-CN"/>
              </w:rPr>
              <w:t>2.048</w:t>
            </w:r>
            <w:r>
              <w:rPr>
                <w:rFonts w:hint="eastAsia"/>
                <w:color w:val="000000" w:themeColor="text1"/>
                <w:highlight w:val="none"/>
              </w:rPr>
              <w:t>t/a；非甲烷总烃：0.00177t/a。</w:t>
            </w:r>
            <w:r>
              <w:rPr>
                <w:rFonts w:hint="eastAsia"/>
                <w:color w:val="000000" w:themeColor="text1"/>
                <w:sz w:val="24"/>
                <w:highlight w:val="none"/>
              </w:rPr>
              <w:t>项目</w:t>
            </w:r>
            <w:r>
              <w:rPr>
                <w:rFonts w:hint="eastAsia"/>
                <w:color w:val="000000" w:themeColor="text1"/>
                <w:sz w:val="24"/>
                <w:highlight w:val="none"/>
                <w:lang w:val="en-US" w:eastAsia="zh-CN"/>
              </w:rPr>
              <w:t>新增</w:t>
            </w:r>
            <w:r>
              <w:rPr>
                <w:rFonts w:hint="eastAsia"/>
                <w:color w:val="000000" w:themeColor="text1"/>
                <w:sz w:val="24"/>
                <w:highlight w:val="none"/>
              </w:rPr>
              <w:t>主要污染物排放量核算过程如下所示：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000000" w:themeColor="text1"/>
                <w:sz w:val="24"/>
                <w:szCs w:val="24"/>
                <w:highlight w:val="none"/>
                <w:lang w:eastAsia="zh-CN"/>
              </w:rPr>
            </w:pPr>
            <w:r>
              <w:rPr>
                <w:rFonts w:hint="eastAsia" w:ascii="Times New Roman" w:hAnsi="Times New Roman" w:cs="Times New Roman"/>
                <w:b/>
                <w:bCs/>
                <w:color w:val="000000" w:themeColor="text1"/>
                <w:sz w:val="24"/>
                <w:szCs w:val="24"/>
                <w:highlight w:val="none"/>
                <w:lang w:val="en-US" w:eastAsia="zh-CN"/>
              </w:rPr>
              <w:t>1、烘干滚筒</w:t>
            </w:r>
            <w:r>
              <w:rPr>
                <w:rFonts w:hint="default" w:ascii="Times New Roman" w:hAnsi="Times New Roman" w:cs="Times New Roman"/>
                <w:b/>
                <w:bCs/>
                <w:color w:val="000000" w:themeColor="text1"/>
                <w:sz w:val="24"/>
                <w:szCs w:val="24"/>
                <w:highlight w:val="none"/>
              </w:rPr>
              <w:t>废气排放量核算</w:t>
            </w:r>
            <w:r>
              <w:rPr>
                <w:rFonts w:hint="default" w:ascii="Times New Roman" w:hAnsi="Times New Roman" w:cs="Times New Roman"/>
                <w:b/>
                <w:bCs/>
                <w:color w:val="000000" w:themeColor="text1"/>
                <w:sz w:val="24"/>
                <w:szCs w:val="24"/>
                <w:highlight w:val="none"/>
                <w:lang w:eastAsia="zh-CN"/>
              </w:rPr>
              <w:t>（标准值法）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本项目烘干滚筒燃烧器以天然气为燃料，燃烧时会产生SO</w:t>
            </w:r>
            <w:r>
              <w:rPr>
                <w:rFonts w:hint="eastAsia" w:ascii="Times New Roman" w:hAnsi="Times New Roman" w:eastAsia="宋体" w:cs="Times New Roman"/>
                <w:color w:val="000000" w:themeColor="text1"/>
                <w:sz w:val="24"/>
                <w:szCs w:val="24"/>
                <w:highlight w:val="none"/>
                <w:vertAlign w:val="subscript"/>
                <w:lang w:val="en-US" w:eastAsia="zh-CN"/>
              </w:rPr>
              <w:t>2</w:t>
            </w:r>
            <w:r>
              <w:rPr>
                <w:rFonts w:hint="eastAsia" w:ascii="Times New Roman" w:hAnsi="Times New Roman" w:eastAsia="宋体" w:cs="Times New Roman"/>
                <w:color w:val="000000" w:themeColor="text1"/>
                <w:sz w:val="24"/>
                <w:szCs w:val="24"/>
                <w:highlight w:val="none"/>
                <w:lang w:val="en-US" w:eastAsia="zh-CN"/>
              </w:rPr>
              <w:t>、NOx。参考《排放源统计调查产排污核算方法和系数手册》中4430工业锅炉（热力生产和供应行业）行业系数手册，工业废气量为107753标立方米/万立方米-燃料，天然气年用量为60万m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，年运行时间1440h，根据《工业炉窑大气污染物排放标准》（DB13/1640-2012）及《承德市工业炉窑综合治理实施方案》承环办【2020】72号，二氧化硫排放浓度限值为200mg/m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，氮氧化物排放浓度限值为300mg/m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工业废气量=107753（Nm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/万m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燃料）×60（</w:t>
            </w:r>
            <w:r>
              <w:rPr>
                <w:rFonts w:hint="eastAsia" w:cs="Times New Roman"/>
                <w:color w:val="000000" w:themeColor="text1"/>
                <w:sz w:val="24"/>
                <w:szCs w:val="24"/>
                <w:highlight w:val="none"/>
                <w:lang w:val="en-US" w:eastAsia="zh-CN"/>
              </w:rPr>
              <w:t>万</w:t>
            </w:r>
            <w:r>
              <w:rPr>
                <w:rFonts w:hint="eastAsia" w:ascii="Times New Roman" w:hAnsi="Times New Roman" w:eastAsia="宋体" w:cs="Times New Roman"/>
                <w:color w:val="000000" w:themeColor="text1"/>
                <w:sz w:val="24"/>
                <w:szCs w:val="24"/>
                <w:highlight w:val="none"/>
                <w:lang w:val="en-US" w:eastAsia="zh-CN"/>
              </w:rPr>
              <w:t>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cs="Times New Roman"/>
                <w:color w:val="000000" w:themeColor="text1"/>
                <w:sz w:val="24"/>
                <w:szCs w:val="24"/>
                <w:highlight w:val="none"/>
                <w:vertAlign w:val="baseline"/>
                <w:lang w:val="en-US" w:eastAsia="zh-CN"/>
              </w:rPr>
              <w:t>燃料</w:t>
            </w:r>
            <w:r>
              <w:rPr>
                <w:rFonts w:hint="eastAsia" w:ascii="Times New Roman" w:hAnsi="Times New Roman" w:eastAsia="宋体" w:cs="Times New Roman"/>
                <w:color w:val="000000" w:themeColor="text1"/>
                <w:sz w:val="24"/>
                <w:szCs w:val="24"/>
                <w:highlight w:val="none"/>
                <w:lang w:val="en-US" w:eastAsia="zh-CN"/>
              </w:rPr>
              <w:t>）/1440（h）=</w:t>
            </w:r>
            <w:r>
              <w:rPr>
                <w:rFonts w:hint="eastAsia" w:cs="Times New Roman"/>
                <w:color w:val="000000" w:themeColor="text1"/>
                <w:sz w:val="24"/>
                <w:szCs w:val="24"/>
                <w:highlight w:val="none"/>
                <w:lang w:val="en-US" w:eastAsia="zh-CN"/>
              </w:rPr>
              <w:t>4490</w:t>
            </w:r>
            <w:r>
              <w:rPr>
                <w:rFonts w:hint="eastAsia" w:ascii="Times New Roman" w:hAnsi="Times New Roman" w:eastAsia="宋体" w:cs="Times New Roman"/>
                <w:color w:val="000000" w:themeColor="text1"/>
                <w:sz w:val="24"/>
                <w:szCs w:val="24"/>
                <w:highlight w:val="none"/>
                <w:lang w:val="en-US" w:eastAsia="zh-CN"/>
              </w:rPr>
              <w:t>（m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二氧化硫产生量=</w:t>
            </w:r>
            <w:r>
              <w:rPr>
                <w:rFonts w:hint="eastAsia" w:cs="Times New Roman"/>
                <w:color w:val="000000" w:themeColor="text1"/>
                <w:sz w:val="24"/>
                <w:szCs w:val="24"/>
                <w:highlight w:val="none"/>
                <w:lang w:val="en-US" w:eastAsia="zh-CN"/>
              </w:rPr>
              <w:t>4490</w:t>
            </w:r>
            <w:r>
              <w:rPr>
                <w:rFonts w:hint="eastAsia" w:ascii="Times New Roman" w:hAnsi="Times New Roman" w:eastAsia="宋体" w:cs="Times New Roman"/>
                <w:color w:val="000000" w:themeColor="text1"/>
                <w:sz w:val="24"/>
                <w:szCs w:val="24"/>
                <w:highlight w:val="none"/>
                <w:lang w:val="en-US" w:eastAsia="zh-CN"/>
              </w:rPr>
              <w:t>（m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/h）×1440（h/a）×200（mg/m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）×10</w:t>
            </w:r>
            <w:r>
              <w:rPr>
                <w:rFonts w:hint="eastAsia" w:ascii="Times New Roman" w:hAnsi="Times New Roman" w:eastAsia="宋体" w:cs="Times New Roman"/>
                <w:color w:val="000000" w:themeColor="text1"/>
                <w:sz w:val="24"/>
                <w:szCs w:val="24"/>
                <w:highlight w:val="none"/>
                <w:vertAlign w:val="superscript"/>
                <w:lang w:val="en-US" w:eastAsia="zh-CN"/>
              </w:rPr>
              <w:t>-9</w:t>
            </w:r>
            <w:r>
              <w:rPr>
                <w:rFonts w:hint="eastAsia" w:ascii="Times New Roman" w:hAnsi="Times New Roman" w:eastAsia="宋体" w:cs="Times New Roman"/>
                <w:color w:val="000000" w:themeColor="text1"/>
                <w:sz w:val="24"/>
                <w:szCs w:val="24"/>
                <w:highlight w:val="none"/>
                <w:lang w:val="en-US" w:eastAsia="zh-CN"/>
              </w:rPr>
              <w:t>（t/mg）=1.</w:t>
            </w:r>
            <w:r>
              <w:rPr>
                <w:rFonts w:hint="eastAsia" w:cs="Times New Roman"/>
                <w:color w:val="000000" w:themeColor="text1"/>
                <w:sz w:val="24"/>
                <w:szCs w:val="24"/>
                <w:highlight w:val="none"/>
                <w:lang w:val="en-US" w:eastAsia="zh-CN"/>
              </w:rPr>
              <w:t>293</w:t>
            </w:r>
            <w:r>
              <w:rPr>
                <w:rFonts w:hint="eastAsia" w:ascii="Times New Roman" w:hAnsi="Times New Roman" w:eastAsia="宋体" w:cs="Times New Roman"/>
                <w:color w:val="000000" w:themeColor="text1"/>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氮氧化物产生量=</w:t>
            </w:r>
            <w:r>
              <w:rPr>
                <w:rFonts w:hint="eastAsia" w:cs="Times New Roman"/>
                <w:color w:val="000000" w:themeColor="text1"/>
                <w:sz w:val="24"/>
                <w:szCs w:val="24"/>
                <w:highlight w:val="none"/>
                <w:lang w:val="en-US" w:eastAsia="zh-CN"/>
              </w:rPr>
              <w:t>4490</w:t>
            </w:r>
            <w:r>
              <w:rPr>
                <w:rFonts w:hint="eastAsia" w:ascii="Times New Roman" w:hAnsi="Times New Roman" w:eastAsia="宋体" w:cs="Times New Roman"/>
                <w:color w:val="000000" w:themeColor="text1"/>
                <w:sz w:val="24"/>
                <w:szCs w:val="24"/>
                <w:highlight w:val="none"/>
                <w:lang w:val="en-US" w:eastAsia="zh-CN"/>
              </w:rPr>
              <w:t>（m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/h）×1440（h/a）×300（mg/m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）×10</w:t>
            </w:r>
            <w:r>
              <w:rPr>
                <w:rFonts w:hint="eastAsia" w:ascii="Times New Roman" w:hAnsi="Times New Roman" w:eastAsia="宋体" w:cs="Times New Roman"/>
                <w:color w:val="000000" w:themeColor="text1"/>
                <w:sz w:val="24"/>
                <w:szCs w:val="24"/>
                <w:highlight w:val="none"/>
                <w:vertAlign w:val="superscript"/>
                <w:lang w:val="en-US" w:eastAsia="zh-CN"/>
              </w:rPr>
              <w:t>-9</w:t>
            </w:r>
            <w:r>
              <w:rPr>
                <w:rFonts w:hint="eastAsia" w:ascii="Times New Roman" w:hAnsi="Times New Roman" w:eastAsia="宋体" w:cs="Times New Roman"/>
                <w:color w:val="000000" w:themeColor="text1"/>
                <w:sz w:val="24"/>
                <w:szCs w:val="24"/>
                <w:highlight w:val="none"/>
                <w:lang w:val="en-US" w:eastAsia="zh-CN"/>
              </w:rPr>
              <w:t>（t/mg）=</w:t>
            </w:r>
            <w:r>
              <w:rPr>
                <w:rFonts w:hint="eastAsia" w:cs="Times New Roman"/>
                <w:color w:val="000000" w:themeColor="text1"/>
                <w:sz w:val="24"/>
                <w:szCs w:val="24"/>
                <w:highlight w:val="none"/>
                <w:lang w:val="en-US" w:eastAsia="zh-CN"/>
              </w:rPr>
              <w:t>1.940</w:t>
            </w:r>
            <w:r>
              <w:rPr>
                <w:rFonts w:hint="eastAsia" w:ascii="Times New Roman" w:hAnsi="Times New Roman" w:eastAsia="宋体" w:cs="Times New Roman"/>
                <w:color w:val="000000" w:themeColor="text1"/>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综上采用</w:t>
            </w:r>
            <w:r>
              <w:rPr>
                <w:rFonts w:hint="eastAsia" w:cs="Times New Roman"/>
                <w:color w:val="000000" w:themeColor="text1"/>
                <w:sz w:val="24"/>
                <w:szCs w:val="24"/>
                <w:highlight w:val="none"/>
                <w:lang w:val="en-US" w:eastAsia="zh-CN"/>
              </w:rPr>
              <w:t>标准值法</w:t>
            </w:r>
            <w:r>
              <w:rPr>
                <w:rFonts w:hint="eastAsia" w:ascii="Times New Roman" w:hAnsi="Times New Roman" w:eastAsia="宋体" w:cs="Times New Roman"/>
                <w:color w:val="000000" w:themeColor="text1"/>
                <w:sz w:val="24"/>
                <w:szCs w:val="24"/>
                <w:highlight w:val="none"/>
                <w:lang w:val="en-US" w:eastAsia="zh-CN"/>
              </w:rPr>
              <w:t>，</w:t>
            </w:r>
            <w:r>
              <w:rPr>
                <w:rFonts w:hint="default" w:ascii="Times New Roman" w:hAnsi="Times New Roman" w:eastAsia="宋体" w:cs="Times New Roman"/>
                <w:color w:val="000000" w:themeColor="text1"/>
                <w:sz w:val="24"/>
                <w:szCs w:val="24"/>
                <w:highlight w:val="none"/>
                <w:lang w:val="en-US" w:eastAsia="zh-CN"/>
              </w:rPr>
              <w:t>二氧化硫产生量</w:t>
            </w:r>
            <w:r>
              <w:rPr>
                <w:rFonts w:hint="eastAsia" w:ascii="Times New Roman" w:hAnsi="Times New Roman" w:eastAsia="宋体" w:cs="Times New Roman"/>
                <w:color w:val="000000" w:themeColor="text1"/>
                <w:sz w:val="24"/>
                <w:szCs w:val="24"/>
                <w:highlight w:val="none"/>
                <w:lang w:val="en-US" w:eastAsia="zh-CN"/>
              </w:rPr>
              <w:t>：</w:t>
            </w:r>
            <w:r>
              <w:rPr>
                <w:rFonts w:hint="eastAsia" w:cs="Times New Roman"/>
                <w:color w:val="000000" w:themeColor="text1"/>
                <w:sz w:val="24"/>
                <w:szCs w:val="24"/>
                <w:highlight w:val="none"/>
                <w:lang w:val="en-US" w:eastAsia="zh-CN"/>
              </w:rPr>
              <w:t>1.293</w:t>
            </w:r>
            <w:r>
              <w:rPr>
                <w:rFonts w:hint="default" w:ascii="Times New Roman" w:hAnsi="Times New Roman" w:eastAsia="宋体" w:cs="Times New Roman"/>
                <w:color w:val="000000" w:themeColor="text1"/>
                <w:sz w:val="24"/>
                <w:szCs w:val="24"/>
                <w:highlight w:val="none"/>
                <w:lang w:val="en-US" w:eastAsia="zh-CN"/>
              </w:rPr>
              <w:t>t/a；氮氧化物产生量</w:t>
            </w:r>
            <w:r>
              <w:rPr>
                <w:rFonts w:hint="eastAsia" w:ascii="Times New Roman" w:hAnsi="Times New Roman" w:eastAsia="宋体" w:cs="Times New Roman"/>
                <w:color w:val="000000" w:themeColor="text1"/>
                <w:sz w:val="24"/>
                <w:szCs w:val="24"/>
                <w:highlight w:val="none"/>
                <w:lang w:val="en-US" w:eastAsia="zh-CN"/>
              </w:rPr>
              <w:t>：</w:t>
            </w:r>
            <w:r>
              <w:rPr>
                <w:rFonts w:hint="eastAsia" w:cs="Times New Roman"/>
                <w:color w:val="000000" w:themeColor="text1"/>
                <w:sz w:val="24"/>
                <w:szCs w:val="24"/>
                <w:highlight w:val="none"/>
                <w:lang w:val="en-US" w:eastAsia="zh-CN"/>
              </w:rPr>
              <w:t>1.940</w:t>
            </w:r>
            <w:r>
              <w:rPr>
                <w:rFonts w:hint="default" w:ascii="Times New Roman" w:hAnsi="Times New Roman" w:eastAsia="宋体" w:cs="Times New Roman"/>
                <w:color w:val="000000" w:themeColor="text1"/>
                <w:sz w:val="24"/>
                <w:szCs w:val="24"/>
                <w:highlight w:val="none"/>
                <w:lang w:val="en-US" w:eastAsia="zh-CN"/>
              </w:rPr>
              <w:t>t/a</w:t>
            </w:r>
            <w:r>
              <w:rPr>
                <w:rFonts w:hint="eastAsia" w:ascii="Times New Roman" w:hAnsi="Times New Roman" w:eastAsia="宋体" w:cs="Times New Roman"/>
                <w:color w:val="000000" w:themeColor="text1"/>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spacing w:after="0" w:line="360" w:lineRule="auto"/>
              <w:ind w:firstLine="482" w:firstLineChars="200"/>
              <w:jc w:val="left"/>
              <w:textAlignment w:val="auto"/>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highlight w:val="none"/>
                <w:lang w:val="en-US" w:eastAsia="zh-CN"/>
              </w:rPr>
              <w:t>2、导热油炉</w:t>
            </w:r>
            <w:r>
              <w:rPr>
                <w:rFonts w:hint="default" w:ascii="Times New Roman" w:hAnsi="Times New Roman" w:cs="Times New Roman"/>
                <w:b/>
                <w:bCs/>
                <w:color w:val="000000" w:themeColor="text1"/>
                <w:sz w:val="24"/>
                <w:szCs w:val="24"/>
                <w:highlight w:val="none"/>
              </w:rPr>
              <w:t>废气排放量核算</w:t>
            </w:r>
            <w:r>
              <w:rPr>
                <w:rFonts w:hint="default" w:ascii="Times New Roman" w:hAnsi="Times New Roman" w:cs="Times New Roman"/>
                <w:b/>
                <w:bCs/>
                <w:color w:val="000000" w:themeColor="text1"/>
                <w:sz w:val="24"/>
                <w:szCs w:val="24"/>
                <w:highlight w:val="none"/>
                <w:lang w:eastAsia="zh-CN"/>
              </w:rPr>
              <w:t>（标准值法）</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本项目导热油炉以天然气为燃料，燃烧时会产生SO</w:t>
            </w:r>
            <w:r>
              <w:rPr>
                <w:rFonts w:hint="eastAsia" w:ascii="Times New Roman" w:hAnsi="Times New Roman" w:eastAsia="宋体" w:cs="Times New Roman"/>
                <w:color w:val="000000" w:themeColor="text1"/>
                <w:sz w:val="24"/>
                <w:szCs w:val="24"/>
                <w:highlight w:val="none"/>
                <w:vertAlign w:val="subscript"/>
                <w:lang w:val="en-US" w:eastAsia="zh-CN"/>
              </w:rPr>
              <w:t>2</w:t>
            </w:r>
            <w:r>
              <w:rPr>
                <w:rFonts w:hint="eastAsia" w:ascii="Times New Roman" w:hAnsi="Times New Roman" w:eastAsia="宋体" w:cs="Times New Roman"/>
                <w:color w:val="000000" w:themeColor="text1"/>
                <w:sz w:val="24"/>
                <w:szCs w:val="24"/>
                <w:highlight w:val="none"/>
                <w:lang w:val="en-US" w:eastAsia="zh-CN"/>
              </w:rPr>
              <w:t>、NOx。导热油炉天然气年用量为20万m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，导热油炉年运行时间2160h，参考《排放源统计调查产排污核算方法和系数手册》中4430工业锅炉（热力生产和供应行业）行业系数手册，工业废气量为107753标立方米/万立方米-燃料核算</w:t>
            </w:r>
            <w:r>
              <w:rPr>
                <w:rFonts w:hint="eastAsia" w:cs="Times New Roman"/>
                <w:color w:val="000000" w:themeColor="text1"/>
                <w:sz w:val="24"/>
                <w:szCs w:val="24"/>
                <w:highlight w:val="none"/>
                <w:lang w:val="en-US" w:eastAsia="zh-CN"/>
              </w:rPr>
              <w:t>工业废气量</w:t>
            </w:r>
            <w:r>
              <w:rPr>
                <w:rFonts w:hint="eastAsia" w:ascii="Times New Roman" w:hAnsi="Times New Roman" w:eastAsia="宋体" w:cs="Times New Roman"/>
                <w:color w:val="000000" w:themeColor="text1"/>
                <w:sz w:val="24"/>
                <w:szCs w:val="24"/>
                <w:highlight w:val="none"/>
                <w:lang w:val="en-US" w:eastAsia="zh-CN"/>
              </w:rPr>
              <w:t>。根据《锅炉大气污染物排放标准》（DB13/5161-2020），二氧化硫排放浓度限值为10mg/m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，氮氧化物排放浓度限值为50mg/m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w:t>
            </w:r>
          </w:p>
          <w:p>
            <w:pPr>
              <w:pStyle w:val="2"/>
              <w:rPr>
                <w:rFonts w:hint="eastAsia"/>
                <w:color w:val="000000" w:themeColor="text1"/>
                <w:lang w:val="en-US" w:eastAsia="zh-CN"/>
              </w:rPr>
            </w:pPr>
            <w:r>
              <w:rPr>
                <w:rFonts w:hint="eastAsia" w:cs="Times New Roman"/>
                <w:color w:val="000000" w:themeColor="text1"/>
                <w:sz w:val="24"/>
                <w:szCs w:val="24"/>
                <w:highlight w:val="none"/>
                <w:lang w:val="en-US" w:eastAsia="zh-CN"/>
              </w:rPr>
              <w:t>工业</w:t>
            </w:r>
            <w:r>
              <w:rPr>
                <w:rFonts w:hint="eastAsia" w:ascii="Times New Roman" w:hAnsi="Times New Roman" w:eastAsia="宋体" w:cs="Times New Roman"/>
                <w:color w:val="000000" w:themeColor="text1"/>
                <w:sz w:val="24"/>
                <w:szCs w:val="24"/>
                <w:highlight w:val="none"/>
                <w:lang w:val="en-US" w:eastAsia="zh-CN"/>
              </w:rPr>
              <w:t>废气量=20（万m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燃料/a）×107753（Nm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/万m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燃料）/2160（h/a）=998m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/h</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二氧化硫产生量=998（m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/h）×2160（h/a）×10（mg/m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）×10</w:t>
            </w:r>
            <w:r>
              <w:rPr>
                <w:rFonts w:hint="eastAsia" w:ascii="Times New Roman" w:hAnsi="Times New Roman" w:eastAsia="宋体" w:cs="Times New Roman"/>
                <w:color w:val="000000" w:themeColor="text1"/>
                <w:sz w:val="24"/>
                <w:szCs w:val="24"/>
                <w:highlight w:val="none"/>
                <w:vertAlign w:val="superscript"/>
                <w:lang w:val="en-US" w:eastAsia="zh-CN"/>
              </w:rPr>
              <w:t>-9</w:t>
            </w:r>
            <w:r>
              <w:rPr>
                <w:rFonts w:hint="eastAsia" w:ascii="Times New Roman" w:hAnsi="Times New Roman" w:eastAsia="宋体" w:cs="Times New Roman"/>
                <w:color w:val="000000" w:themeColor="text1"/>
                <w:sz w:val="24"/>
                <w:szCs w:val="24"/>
                <w:highlight w:val="none"/>
                <w:lang w:val="en-US" w:eastAsia="zh-CN"/>
              </w:rPr>
              <w:t>（t/mg）=0.022（t/a）；</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氮氧化物产生量=998（m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/h）×2160（h/a）×50（mg/m</w:t>
            </w:r>
            <w:r>
              <w:rPr>
                <w:rFonts w:hint="eastAsia" w:ascii="Times New Roman" w:hAnsi="Times New Roman" w:eastAsia="宋体" w:cs="Times New Roman"/>
                <w:color w:val="000000" w:themeColor="text1"/>
                <w:sz w:val="24"/>
                <w:szCs w:val="24"/>
                <w:highlight w:val="none"/>
                <w:vertAlign w:val="superscript"/>
                <w:lang w:val="en-US" w:eastAsia="zh-CN"/>
              </w:rPr>
              <w:t>3</w:t>
            </w:r>
            <w:r>
              <w:rPr>
                <w:rFonts w:hint="eastAsia" w:ascii="Times New Roman" w:hAnsi="Times New Roman" w:eastAsia="宋体" w:cs="Times New Roman"/>
                <w:color w:val="000000" w:themeColor="text1"/>
                <w:sz w:val="24"/>
                <w:szCs w:val="24"/>
                <w:highlight w:val="none"/>
                <w:lang w:val="en-US" w:eastAsia="zh-CN"/>
              </w:rPr>
              <w:t>）×10</w:t>
            </w:r>
            <w:r>
              <w:rPr>
                <w:rFonts w:hint="eastAsia" w:ascii="Times New Roman" w:hAnsi="Times New Roman" w:eastAsia="宋体" w:cs="Times New Roman"/>
                <w:color w:val="000000" w:themeColor="text1"/>
                <w:sz w:val="24"/>
                <w:szCs w:val="24"/>
                <w:highlight w:val="none"/>
                <w:vertAlign w:val="superscript"/>
                <w:lang w:val="en-US" w:eastAsia="zh-CN"/>
              </w:rPr>
              <w:t>-9</w:t>
            </w:r>
            <w:r>
              <w:rPr>
                <w:rFonts w:hint="eastAsia" w:ascii="Times New Roman" w:hAnsi="Times New Roman" w:eastAsia="宋体" w:cs="Times New Roman"/>
                <w:color w:val="000000" w:themeColor="text1"/>
                <w:sz w:val="24"/>
                <w:szCs w:val="24"/>
                <w:highlight w:val="none"/>
                <w:lang w:val="en-US" w:eastAsia="zh-CN"/>
              </w:rPr>
              <w:t>（t/mg）=0.108（t/a）。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综上采用</w:t>
            </w:r>
            <w:r>
              <w:rPr>
                <w:rFonts w:hint="eastAsia" w:cs="Times New Roman"/>
                <w:color w:val="000000" w:themeColor="text1"/>
                <w:sz w:val="24"/>
                <w:szCs w:val="24"/>
                <w:highlight w:val="none"/>
                <w:lang w:val="en-US" w:eastAsia="zh-CN"/>
              </w:rPr>
              <w:t>标准值法，</w:t>
            </w:r>
            <w:r>
              <w:rPr>
                <w:rFonts w:hint="default" w:ascii="Times New Roman" w:hAnsi="Times New Roman" w:eastAsia="宋体" w:cs="Times New Roman"/>
                <w:color w:val="000000" w:themeColor="text1"/>
                <w:sz w:val="24"/>
                <w:szCs w:val="24"/>
                <w:highlight w:val="none"/>
                <w:lang w:val="en-US" w:eastAsia="zh-CN"/>
              </w:rPr>
              <w:t>二氧化硫产生量</w:t>
            </w:r>
            <w:r>
              <w:rPr>
                <w:rFonts w:hint="eastAsia" w:ascii="Times New Roman" w:hAnsi="Times New Roman" w:eastAsia="宋体" w:cs="Times New Roman"/>
                <w:color w:val="000000" w:themeColor="text1"/>
                <w:sz w:val="24"/>
                <w:szCs w:val="24"/>
                <w:highlight w:val="none"/>
                <w:lang w:val="en-US" w:eastAsia="zh-CN"/>
              </w:rPr>
              <w:t>：0.0</w:t>
            </w:r>
            <w:r>
              <w:rPr>
                <w:rFonts w:hint="eastAsia" w:cs="Times New Roman"/>
                <w:color w:val="000000" w:themeColor="text1"/>
                <w:sz w:val="24"/>
                <w:szCs w:val="24"/>
                <w:highlight w:val="none"/>
                <w:lang w:val="en-US" w:eastAsia="zh-CN"/>
              </w:rPr>
              <w:t>22</w:t>
            </w:r>
            <w:r>
              <w:rPr>
                <w:rFonts w:hint="default" w:ascii="Times New Roman" w:hAnsi="Times New Roman" w:eastAsia="宋体" w:cs="Times New Roman"/>
                <w:color w:val="000000" w:themeColor="text1"/>
                <w:sz w:val="24"/>
                <w:szCs w:val="24"/>
                <w:highlight w:val="none"/>
                <w:lang w:val="en-US" w:eastAsia="zh-CN"/>
              </w:rPr>
              <w:t>t/a；氮氧化物产生量</w:t>
            </w:r>
            <w:r>
              <w:rPr>
                <w:rFonts w:hint="eastAsia" w:ascii="Times New Roman" w:hAnsi="Times New Roman" w:eastAsia="宋体" w:cs="Times New Roman"/>
                <w:color w:val="000000" w:themeColor="text1"/>
                <w:sz w:val="24"/>
                <w:szCs w:val="24"/>
                <w:highlight w:val="none"/>
                <w:lang w:val="en-US" w:eastAsia="zh-CN"/>
              </w:rPr>
              <w:t>：0.</w:t>
            </w:r>
            <w:r>
              <w:rPr>
                <w:rFonts w:hint="eastAsia" w:cs="Times New Roman"/>
                <w:color w:val="000000" w:themeColor="text1"/>
                <w:sz w:val="24"/>
                <w:szCs w:val="24"/>
                <w:highlight w:val="none"/>
                <w:lang w:val="en-US" w:eastAsia="zh-CN"/>
              </w:rPr>
              <w:t>108</w:t>
            </w:r>
            <w:r>
              <w:rPr>
                <w:rFonts w:hint="default" w:ascii="Times New Roman" w:hAnsi="Times New Roman" w:eastAsia="宋体" w:cs="Times New Roman"/>
                <w:color w:val="000000" w:themeColor="text1"/>
                <w:sz w:val="24"/>
                <w:szCs w:val="24"/>
                <w:highlight w:val="none"/>
                <w:lang w:val="en-US" w:eastAsia="zh-CN"/>
              </w:rPr>
              <w:t>t/a</w:t>
            </w:r>
            <w:r>
              <w:rPr>
                <w:rFonts w:hint="eastAsia" w:ascii="Times New Roman" w:hAnsi="Times New Roman" w:eastAsia="宋体" w:cs="Times New Roman"/>
                <w:color w:val="000000" w:themeColor="text1"/>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cs="Times New Roman"/>
                <w:b/>
                <w:bCs/>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highlight w:val="none"/>
                <w:lang w:val="en-US" w:eastAsia="zh-CN"/>
              </w:rPr>
              <w:t>3、结论</w:t>
            </w:r>
          </w:p>
          <w:p>
            <w:pPr>
              <w:adjustRightInd w:val="0"/>
              <w:snapToGrid w:val="0"/>
              <w:spacing w:line="360" w:lineRule="auto"/>
              <w:ind w:firstLine="480" w:firstLineChars="200"/>
              <w:jc w:val="left"/>
              <w:rPr>
                <w:rFonts w:hint="eastAsia"/>
                <w:color w:val="000000" w:themeColor="text1"/>
                <w:sz w:val="24"/>
                <w:szCs w:val="21"/>
                <w:highlight w:val="none"/>
              </w:rPr>
            </w:pPr>
            <w:r>
              <w:rPr>
                <w:rFonts w:hint="eastAsia"/>
                <w:color w:val="000000" w:themeColor="text1"/>
                <w:sz w:val="24"/>
                <w:szCs w:val="21"/>
                <w:highlight w:val="none"/>
              </w:rPr>
              <w:t>采用标准</w:t>
            </w:r>
            <w:r>
              <w:rPr>
                <w:rFonts w:hint="eastAsia"/>
                <w:color w:val="000000" w:themeColor="text1"/>
                <w:sz w:val="24"/>
                <w:szCs w:val="21"/>
                <w:highlight w:val="none"/>
                <w:lang w:val="en-US" w:eastAsia="zh-CN"/>
              </w:rPr>
              <w:t>值</w:t>
            </w:r>
            <w:r>
              <w:rPr>
                <w:rFonts w:hint="eastAsia"/>
                <w:color w:val="000000" w:themeColor="text1"/>
                <w:sz w:val="24"/>
                <w:szCs w:val="21"/>
                <w:highlight w:val="none"/>
              </w:rPr>
              <w:t>法核算大气污染总量指标如下表所示。</w:t>
            </w:r>
          </w:p>
          <w:p>
            <w:pPr>
              <w:numPr>
                <w:ilvl w:val="0"/>
                <w:numId w:val="4"/>
              </w:numPr>
              <w:autoSpaceDE w:val="0"/>
              <w:autoSpaceDN w:val="0"/>
              <w:ind w:left="0" w:firstLine="0" w:firstLineChars="0"/>
              <w:jc w:val="center"/>
              <w:rPr>
                <w:rFonts w:ascii="Times New Roman" w:hAnsi="Times New Roman" w:eastAsia="宋体" w:cs="Times New Roman"/>
                <w:b/>
                <w:bCs/>
                <w:color w:val="000000" w:themeColor="text1"/>
                <w:sz w:val="21"/>
                <w:szCs w:val="21"/>
                <w:highlight w:val="none"/>
              </w:rPr>
            </w:pPr>
            <w:r>
              <w:rPr>
                <w:rFonts w:hint="eastAsia" w:ascii="Times New Roman" w:hAnsi="Times New Roman" w:eastAsia="宋体" w:cs="Times New Roman"/>
                <w:b/>
                <w:bCs/>
                <w:color w:val="000000" w:themeColor="text1"/>
                <w:sz w:val="21"/>
                <w:szCs w:val="21"/>
                <w:highlight w:val="none"/>
              </w:rPr>
              <w:t>大气污染物总量指标情况一览表</w:t>
            </w:r>
          </w:p>
          <w:tbl>
            <w:tblPr>
              <w:tblStyle w:val="23"/>
              <w:tblW w:w="8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333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000000" w:themeColor="text1"/>
                      <w:kern w:val="0"/>
                      <w:sz w:val="21"/>
                      <w:szCs w:val="21"/>
                      <w:highlight w:val="none"/>
                    </w:rPr>
                  </w:pPr>
                  <w:r>
                    <w:rPr>
                      <w:rFonts w:hint="default" w:ascii="Times New Roman" w:hAnsi="Times New Roman" w:cs="Times New Roman"/>
                      <w:b/>
                      <w:color w:val="000000" w:themeColor="text1"/>
                      <w:kern w:val="0"/>
                      <w:sz w:val="21"/>
                      <w:szCs w:val="21"/>
                      <w:highlight w:val="none"/>
                    </w:rPr>
                    <w:t>项目</w:t>
                  </w:r>
                </w:p>
              </w:tc>
              <w:tc>
                <w:tcPr>
                  <w:tcW w:w="640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000000" w:themeColor="text1"/>
                      <w:kern w:val="0"/>
                      <w:sz w:val="21"/>
                      <w:szCs w:val="21"/>
                      <w:highlight w:val="none"/>
                    </w:rPr>
                  </w:pPr>
                  <w:r>
                    <w:rPr>
                      <w:rFonts w:hint="default" w:ascii="Times New Roman" w:hAnsi="Times New Roman" w:cs="Times New Roman"/>
                      <w:b/>
                      <w:color w:val="000000" w:themeColor="text1"/>
                      <w:kern w:val="0"/>
                      <w:sz w:val="21"/>
                      <w:szCs w:val="21"/>
                      <w:highlight w:val="none"/>
                    </w:rPr>
                    <w:t>标准</w:t>
                  </w:r>
                  <w:r>
                    <w:rPr>
                      <w:rFonts w:hint="eastAsia" w:ascii="Times New Roman" w:hAnsi="Times New Roman" w:cs="Times New Roman"/>
                      <w:b/>
                      <w:color w:val="000000" w:themeColor="text1"/>
                      <w:kern w:val="0"/>
                      <w:sz w:val="21"/>
                      <w:szCs w:val="21"/>
                      <w:highlight w:val="none"/>
                      <w:lang w:val="en-US" w:eastAsia="zh-CN"/>
                    </w:rPr>
                    <w:t>值</w:t>
                  </w:r>
                  <w:r>
                    <w:rPr>
                      <w:rFonts w:hint="default" w:ascii="Times New Roman" w:hAnsi="Times New Roman" w:cs="Times New Roman"/>
                      <w:b/>
                      <w:color w:val="000000" w:themeColor="text1"/>
                      <w:kern w:val="0"/>
                      <w:sz w:val="21"/>
                      <w:szCs w:val="21"/>
                      <w:highlight w:val="none"/>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000000" w:themeColor="text1"/>
                      <w:kern w:val="0"/>
                      <w:sz w:val="21"/>
                      <w:szCs w:val="21"/>
                      <w:highlight w:val="none"/>
                    </w:rPr>
                  </w:pPr>
                </w:p>
              </w:tc>
              <w:tc>
                <w:tcPr>
                  <w:tcW w:w="33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000000" w:themeColor="text1"/>
                      <w:kern w:val="0"/>
                      <w:sz w:val="21"/>
                      <w:szCs w:val="21"/>
                      <w:highlight w:val="none"/>
                    </w:rPr>
                  </w:pPr>
                  <w:r>
                    <w:rPr>
                      <w:rFonts w:hint="default" w:ascii="Times New Roman" w:hAnsi="Times New Roman" w:cs="Times New Roman"/>
                      <w:b/>
                      <w:color w:val="000000" w:themeColor="text1"/>
                      <w:kern w:val="0"/>
                      <w:sz w:val="21"/>
                      <w:szCs w:val="21"/>
                      <w:highlight w:val="none"/>
                    </w:rPr>
                    <w:t>二氧化硫</w:t>
                  </w:r>
                </w:p>
              </w:tc>
              <w:tc>
                <w:tcPr>
                  <w:tcW w:w="30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000000" w:themeColor="text1"/>
                      <w:kern w:val="0"/>
                      <w:sz w:val="21"/>
                      <w:szCs w:val="21"/>
                      <w:highlight w:val="none"/>
                    </w:rPr>
                  </w:pPr>
                  <w:r>
                    <w:rPr>
                      <w:rFonts w:hint="default" w:ascii="Times New Roman" w:hAnsi="Times New Roman" w:cs="Times New Roman"/>
                      <w:b/>
                      <w:color w:val="000000" w:themeColor="text1"/>
                      <w:kern w:val="0"/>
                      <w:sz w:val="21"/>
                      <w:szCs w:val="21"/>
                      <w:highlight w:val="none"/>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rPr>
                  </w:pPr>
                  <w:r>
                    <w:rPr>
                      <w:rFonts w:hint="default" w:ascii="Times New Roman" w:hAnsi="Times New Roman" w:cs="Times New Roman"/>
                      <w:color w:val="000000" w:themeColor="text1"/>
                      <w:kern w:val="0"/>
                      <w:sz w:val="21"/>
                      <w:szCs w:val="21"/>
                      <w:highlight w:val="none"/>
                      <w:lang w:val="en-US" w:eastAsia="zh-CN"/>
                    </w:rPr>
                    <w:t>烘干滚筒</w:t>
                  </w:r>
                </w:p>
              </w:tc>
              <w:tc>
                <w:tcPr>
                  <w:tcW w:w="33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rPr>
                  </w:pPr>
                  <w:r>
                    <w:rPr>
                      <w:rFonts w:hint="eastAsia" w:cs="Times New Roman"/>
                      <w:color w:val="000000" w:themeColor="text1"/>
                      <w:kern w:val="0"/>
                      <w:sz w:val="21"/>
                      <w:szCs w:val="21"/>
                      <w:highlight w:val="none"/>
                      <w:lang w:val="en-US" w:eastAsia="zh-CN"/>
                    </w:rPr>
                    <w:t>1.293</w:t>
                  </w:r>
                </w:p>
              </w:tc>
              <w:tc>
                <w:tcPr>
                  <w:tcW w:w="30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rPr>
                  </w:pPr>
                  <w:r>
                    <w:rPr>
                      <w:rFonts w:hint="eastAsia" w:cs="Times New Roman"/>
                      <w:color w:val="000000" w:themeColor="text1"/>
                      <w:kern w:val="0"/>
                      <w:sz w:val="21"/>
                      <w:szCs w:val="21"/>
                      <w:highlight w:val="none"/>
                      <w:lang w:val="en-US" w:eastAsia="zh-CN"/>
                    </w:rPr>
                    <w:t>1.940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rPr>
                  </w:pPr>
                  <w:r>
                    <w:rPr>
                      <w:rFonts w:hint="default" w:ascii="Times New Roman" w:hAnsi="Times New Roman" w:cs="Times New Roman"/>
                      <w:color w:val="000000" w:themeColor="text1"/>
                      <w:kern w:val="0"/>
                      <w:sz w:val="21"/>
                      <w:szCs w:val="21"/>
                      <w:highlight w:val="none"/>
                      <w:lang w:val="en-US" w:eastAsia="zh-CN"/>
                    </w:rPr>
                    <w:t>导热油炉</w:t>
                  </w:r>
                </w:p>
              </w:tc>
              <w:tc>
                <w:tcPr>
                  <w:tcW w:w="33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rPr>
                  </w:pPr>
                  <w:r>
                    <w:rPr>
                      <w:rFonts w:hint="eastAsia" w:ascii="Times New Roman" w:hAnsi="Times New Roman" w:cs="Times New Roman"/>
                      <w:b w:val="0"/>
                      <w:bCs w:val="0"/>
                      <w:color w:val="000000" w:themeColor="text1"/>
                      <w:kern w:val="0"/>
                      <w:sz w:val="21"/>
                      <w:szCs w:val="21"/>
                      <w:highlight w:val="none"/>
                      <w:lang w:val="en-US" w:eastAsia="zh-CN"/>
                    </w:rPr>
                    <w:t>0.022</w:t>
                  </w:r>
                </w:p>
              </w:tc>
              <w:tc>
                <w:tcPr>
                  <w:tcW w:w="30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000000" w:themeColor="text1"/>
                      <w:kern w:val="0"/>
                      <w:sz w:val="21"/>
                      <w:szCs w:val="21"/>
                      <w:highlight w:val="none"/>
                      <w:lang w:val="en-US" w:eastAsia="zh-CN"/>
                    </w:rPr>
                  </w:pPr>
                  <w:r>
                    <w:rPr>
                      <w:rFonts w:hint="eastAsia" w:ascii="Times New Roman" w:hAnsi="Times New Roman" w:cs="Times New Roman"/>
                      <w:b w:val="0"/>
                      <w:bCs w:val="0"/>
                      <w:color w:val="000000" w:themeColor="text1"/>
                      <w:kern w:val="0"/>
                      <w:sz w:val="21"/>
                      <w:szCs w:val="21"/>
                      <w:highlight w:val="none"/>
                      <w:lang w:val="en-US" w:eastAsia="zh-CN"/>
                    </w:rPr>
                    <w:t>0.108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1"/>
                <w:highlight w:val="none"/>
              </w:rPr>
            </w:pPr>
            <w:r>
              <w:rPr>
                <w:rFonts w:hint="eastAsia"/>
                <w:color w:val="000000" w:themeColor="text1"/>
                <w:sz w:val="24"/>
                <w:szCs w:val="21"/>
                <w:highlight w:val="none"/>
                <w:lang w:val="en-US" w:eastAsia="zh-CN"/>
              </w:rPr>
              <w:t>烘干滚筒</w:t>
            </w:r>
            <w:r>
              <w:rPr>
                <w:color w:val="000000" w:themeColor="text1"/>
                <w:sz w:val="24"/>
                <w:szCs w:val="21"/>
                <w:highlight w:val="none"/>
              </w:rPr>
              <w:t>排放的</w:t>
            </w:r>
            <w:r>
              <w:rPr>
                <w:rFonts w:hint="eastAsia"/>
                <w:color w:val="000000" w:themeColor="text1"/>
                <w:sz w:val="24"/>
                <w:szCs w:val="21"/>
                <w:highlight w:val="none"/>
              </w:rPr>
              <w:t>二氧化硫</w:t>
            </w:r>
            <w:r>
              <w:rPr>
                <w:color w:val="000000" w:themeColor="text1"/>
                <w:sz w:val="24"/>
                <w:szCs w:val="21"/>
                <w:highlight w:val="none"/>
              </w:rPr>
              <w:t>和</w:t>
            </w:r>
            <w:r>
              <w:rPr>
                <w:rFonts w:hint="eastAsia"/>
                <w:color w:val="000000" w:themeColor="text1"/>
                <w:sz w:val="24"/>
                <w:szCs w:val="21"/>
                <w:highlight w:val="none"/>
              </w:rPr>
              <w:t>氮氧化物</w:t>
            </w:r>
            <w:r>
              <w:rPr>
                <w:color w:val="000000" w:themeColor="text1"/>
                <w:sz w:val="24"/>
                <w:szCs w:val="21"/>
                <w:highlight w:val="none"/>
              </w:rPr>
              <w:t>采用标准</w:t>
            </w:r>
            <w:r>
              <w:rPr>
                <w:rFonts w:hint="eastAsia"/>
                <w:color w:val="000000" w:themeColor="text1"/>
                <w:sz w:val="24"/>
                <w:szCs w:val="21"/>
                <w:highlight w:val="none"/>
                <w:lang w:val="en-US" w:eastAsia="zh-CN"/>
              </w:rPr>
              <w:t>值</w:t>
            </w:r>
            <w:r>
              <w:rPr>
                <w:color w:val="000000" w:themeColor="text1"/>
                <w:sz w:val="24"/>
                <w:szCs w:val="21"/>
                <w:highlight w:val="none"/>
              </w:rPr>
              <w:t>法计算，根据计算可知，</w:t>
            </w:r>
            <w:r>
              <w:rPr>
                <w:rFonts w:hint="eastAsia"/>
                <w:color w:val="000000" w:themeColor="text1"/>
                <w:sz w:val="24"/>
                <w:szCs w:val="21"/>
                <w:highlight w:val="none"/>
                <w:lang w:val="en-US" w:eastAsia="zh-CN"/>
              </w:rPr>
              <w:t>烘干滚筒污染物</w:t>
            </w:r>
            <w:r>
              <w:rPr>
                <w:color w:val="000000" w:themeColor="text1"/>
                <w:sz w:val="24"/>
                <w:szCs w:val="21"/>
                <w:highlight w:val="none"/>
              </w:rPr>
              <w:t>排放量二氧化硫排放量为</w:t>
            </w:r>
            <w:r>
              <w:rPr>
                <w:rFonts w:hint="eastAsia"/>
                <w:color w:val="000000" w:themeColor="text1"/>
                <w:sz w:val="24"/>
                <w:szCs w:val="21"/>
                <w:highlight w:val="none"/>
                <w:lang w:val="en-US" w:eastAsia="zh-CN"/>
              </w:rPr>
              <w:t>1.293</w:t>
            </w:r>
            <w:r>
              <w:rPr>
                <w:color w:val="000000" w:themeColor="text1"/>
                <w:sz w:val="24"/>
                <w:szCs w:val="21"/>
                <w:highlight w:val="none"/>
              </w:rPr>
              <w:t>t/a</w:t>
            </w:r>
            <w:r>
              <w:rPr>
                <w:rFonts w:hint="eastAsia"/>
                <w:color w:val="000000" w:themeColor="text1"/>
                <w:sz w:val="24"/>
                <w:szCs w:val="21"/>
                <w:highlight w:val="none"/>
                <w:lang w:eastAsia="zh-CN"/>
              </w:rPr>
              <w:t>，</w:t>
            </w:r>
            <w:r>
              <w:rPr>
                <w:rFonts w:hint="default" w:ascii="Times New Roman" w:hAnsi="Times New Roman" w:eastAsia="宋体" w:cs="Times New Roman"/>
                <w:color w:val="000000" w:themeColor="text1"/>
                <w:sz w:val="24"/>
                <w:szCs w:val="24"/>
                <w:highlight w:val="none"/>
                <w:lang w:val="en-US" w:eastAsia="zh-CN"/>
              </w:rPr>
              <w:t>氮氧化物产生量</w:t>
            </w:r>
            <w:r>
              <w:rPr>
                <w:rFonts w:hint="eastAsia" w:cs="Times New Roman"/>
                <w:color w:val="000000" w:themeColor="text1"/>
                <w:sz w:val="24"/>
                <w:szCs w:val="24"/>
                <w:highlight w:val="none"/>
                <w:lang w:val="en-US" w:eastAsia="zh-CN"/>
              </w:rPr>
              <w:t>1.940</w:t>
            </w:r>
            <w:r>
              <w:rPr>
                <w:rFonts w:hint="eastAsia" w:ascii="Times New Roman" w:hAnsi="Times New Roman" w:eastAsia="宋体" w:cs="Times New Roman"/>
                <w:color w:val="000000" w:themeColor="text1"/>
                <w:sz w:val="24"/>
                <w:szCs w:val="24"/>
                <w:highlight w:val="none"/>
                <w:lang w:val="en-US" w:eastAsia="zh-CN"/>
              </w:rPr>
              <w:t>t/a</w:t>
            </w:r>
            <w:r>
              <w:rPr>
                <w:rFonts w:hint="eastAsia"/>
                <w:color w:val="000000" w:themeColor="text1"/>
                <w:sz w:val="24"/>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eastAsia"/>
                <w:color w:val="000000" w:themeColor="text1"/>
                <w:sz w:val="24"/>
                <w:szCs w:val="21"/>
                <w:highlight w:val="none"/>
                <w:lang w:val="en-US" w:eastAsia="zh-CN"/>
              </w:rPr>
              <w:t>导热油炉</w:t>
            </w:r>
            <w:r>
              <w:rPr>
                <w:color w:val="000000" w:themeColor="text1"/>
                <w:sz w:val="24"/>
                <w:szCs w:val="21"/>
                <w:highlight w:val="none"/>
              </w:rPr>
              <w:t>排放的</w:t>
            </w:r>
            <w:r>
              <w:rPr>
                <w:rFonts w:hint="eastAsia"/>
                <w:color w:val="000000" w:themeColor="text1"/>
                <w:sz w:val="24"/>
                <w:szCs w:val="21"/>
                <w:highlight w:val="none"/>
              </w:rPr>
              <w:t>二氧化硫</w:t>
            </w:r>
            <w:r>
              <w:rPr>
                <w:color w:val="000000" w:themeColor="text1"/>
                <w:sz w:val="24"/>
                <w:szCs w:val="21"/>
                <w:highlight w:val="none"/>
              </w:rPr>
              <w:t>和</w:t>
            </w:r>
            <w:r>
              <w:rPr>
                <w:rFonts w:hint="eastAsia"/>
                <w:color w:val="000000" w:themeColor="text1"/>
                <w:sz w:val="24"/>
                <w:szCs w:val="21"/>
                <w:highlight w:val="none"/>
              </w:rPr>
              <w:t>氮氧化物</w:t>
            </w:r>
            <w:r>
              <w:rPr>
                <w:color w:val="000000" w:themeColor="text1"/>
                <w:sz w:val="24"/>
                <w:szCs w:val="21"/>
                <w:highlight w:val="none"/>
              </w:rPr>
              <w:t>采用标准</w:t>
            </w:r>
            <w:r>
              <w:rPr>
                <w:rFonts w:hint="eastAsia"/>
                <w:color w:val="000000" w:themeColor="text1"/>
                <w:sz w:val="24"/>
                <w:szCs w:val="21"/>
                <w:highlight w:val="none"/>
                <w:lang w:val="en-US" w:eastAsia="zh-CN"/>
              </w:rPr>
              <w:t>值</w:t>
            </w:r>
            <w:r>
              <w:rPr>
                <w:color w:val="000000" w:themeColor="text1"/>
                <w:sz w:val="24"/>
                <w:szCs w:val="21"/>
                <w:highlight w:val="none"/>
              </w:rPr>
              <w:t>法计算，根据计算可知，</w:t>
            </w:r>
            <w:r>
              <w:rPr>
                <w:rFonts w:hint="eastAsia"/>
                <w:color w:val="000000" w:themeColor="text1"/>
                <w:sz w:val="24"/>
                <w:szCs w:val="21"/>
                <w:highlight w:val="none"/>
                <w:lang w:val="en-US" w:eastAsia="zh-CN"/>
              </w:rPr>
              <w:t>导热油炉污染物</w:t>
            </w:r>
            <w:r>
              <w:rPr>
                <w:color w:val="000000" w:themeColor="text1"/>
                <w:sz w:val="24"/>
                <w:szCs w:val="21"/>
                <w:highlight w:val="none"/>
              </w:rPr>
              <w:t>排放量</w:t>
            </w:r>
            <w:r>
              <w:rPr>
                <w:rFonts w:hint="eastAsia"/>
                <w:color w:val="000000" w:themeColor="text1"/>
                <w:sz w:val="24"/>
                <w:szCs w:val="21"/>
                <w:highlight w:val="none"/>
                <w:lang w:val="en-US" w:eastAsia="zh-CN"/>
              </w:rPr>
              <w:t>为</w:t>
            </w:r>
            <w:r>
              <w:rPr>
                <w:color w:val="000000" w:themeColor="text1"/>
                <w:sz w:val="24"/>
                <w:szCs w:val="21"/>
                <w:highlight w:val="none"/>
              </w:rPr>
              <w:t>二氧化硫排放量为</w:t>
            </w:r>
            <w:r>
              <w:rPr>
                <w:rFonts w:hint="eastAsia"/>
                <w:color w:val="000000" w:themeColor="text1"/>
                <w:sz w:val="24"/>
                <w:szCs w:val="21"/>
                <w:highlight w:val="none"/>
              </w:rPr>
              <w:t>0.0</w:t>
            </w:r>
            <w:r>
              <w:rPr>
                <w:rFonts w:hint="eastAsia"/>
                <w:color w:val="000000" w:themeColor="text1"/>
                <w:sz w:val="24"/>
                <w:szCs w:val="21"/>
                <w:highlight w:val="none"/>
                <w:lang w:val="en-US" w:eastAsia="zh-CN"/>
              </w:rPr>
              <w:t>22</w:t>
            </w:r>
            <w:r>
              <w:rPr>
                <w:color w:val="000000" w:themeColor="text1"/>
                <w:sz w:val="24"/>
                <w:szCs w:val="21"/>
                <w:highlight w:val="none"/>
              </w:rPr>
              <w:t>t/a</w:t>
            </w:r>
            <w:r>
              <w:rPr>
                <w:rFonts w:hint="eastAsia"/>
                <w:color w:val="000000" w:themeColor="text1"/>
                <w:sz w:val="24"/>
                <w:szCs w:val="21"/>
                <w:highlight w:val="none"/>
                <w:lang w:eastAsia="zh-CN"/>
              </w:rPr>
              <w:t>，</w:t>
            </w:r>
            <w:r>
              <w:rPr>
                <w:rFonts w:hint="default" w:ascii="Times New Roman" w:hAnsi="Times New Roman" w:eastAsia="宋体" w:cs="Times New Roman"/>
                <w:color w:val="000000" w:themeColor="text1"/>
                <w:sz w:val="24"/>
                <w:szCs w:val="24"/>
                <w:highlight w:val="none"/>
                <w:lang w:val="en-US" w:eastAsia="zh-CN"/>
              </w:rPr>
              <w:t>氮氧化物产生量</w:t>
            </w:r>
            <w:r>
              <w:rPr>
                <w:rFonts w:hint="eastAsia" w:ascii="Times New Roman" w:hAnsi="Times New Roman" w:eastAsia="宋体" w:cs="Times New Roman"/>
                <w:color w:val="000000" w:themeColor="text1"/>
                <w:sz w:val="24"/>
                <w:szCs w:val="24"/>
                <w:highlight w:val="none"/>
                <w:lang w:val="en-US" w:eastAsia="zh-CN"/>
              </w:rPr>
              <w:t>0.</w:t>
            </w:r>
            <w:r>
              <w:rPr>
                <w:rFonts w:hint="eastAsia" w:cs="Times New Roman"/>
                <w:color w:val="000000" w:themeColor="text1"/>
                <w:sz w:val="24"/>
                <w:szCs w:val="24"/>
                <w:highlight w:val="none"/>
                <w:lang w:val="en-US" w:eastAsia="zh-CN"/>
              </w:rPr>
              <w:t>108</w:t>
            </w:r>
            <w:r>
              <w:rPr>
                <w:rFonts w:hint="eastAsia" w:ascii="Times New Roman" w:hAnsi="Times New Roman" w:eastAsia="宋体" w:cs="Times New Roman"/>
                <w:color w:val="000000" w:themeColor="text1"/>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二氧化硫总量指标=</w:t>
            </w:r>
            <w:r>
              <w:rPr>
                <w:rFonts w:hint="eastAsia" w:cs="Times New Roman"/>
                <w:color w:val="000000" w:themeColor="text1"/>
                <w:sz w:val="24"/>
                <w:szCs w:val="24"/>
                <w:highlight w:val="none"/>
                <w:lang w:val="en-US" w:eastAsia="zh-CN"/>
              </w:rPr>
              <w:t>1.293</w:t>
            </w:r>
            <w:r>
              <w:rPr>
                <w:rFonts w:hint="eastAsia" w:ascii="Times New Roman" w:hAnsi="Times New Roman" w:eastAsia="宋体" w:cs="Times New Roman"/>
                <w:color w:val="000000" w:themeColor="text1"/>
                <w:sz w:val="24"/>
                <w:szCs w:val="24"/>
                <w:highlight w:val="none"/>
                <w:lang w:val="en-US" w:eastAsia="zh-CN"/>
              </w:rPr>
              <w:t>t/a+0.0</w:t>
            </w:r>
            <w:r>
              <w:rPr>
                <w:rFonts w:hint="eastAsia" w:cs="Times New Roman"/>
                <w:color w:val="000000" w:themeColor="text1"/>
                <w:sz w:val="24"/>
                <w:szCs w:val="24"/>
                <w:highlight w:val="none"/>
                <w:lang w:val="en-US" w:eastAsia="zh-CN"/>
              </w:rPr>
              <w:t>22</w:t>
            </w:r>
            <w:r>
              <w:rPr>
                <w:rFonts w:hint="eastAsia" w:ascii="Times New Roman" w:hAnsi="Times New Roman" w:eastAsia="宋体" w:cs="Times New Roman"/>
                <w:color w:val="000000" w:themeColor="text1"/>
                <w:sz w:val="24"/>
                <w:szCs w:val="24"/>
                <w:highlight w:val="none"/>
                <w:lang w:val="en-US" w:eastAsia="zh-CN"/>
              </w:rPr>
              <w:t>t/a=</w:t>
            </w:r>
            <w:r>
              <w:rPr>
                <w:rFonts w:hint="eastAsia" w:cs="Times New Roman"/>
                <w:color w:val="000000" w:themeColor="text1"/>
                <w:sz w:val="24"/>
                <w:szCs w:val="24"/>
                <w:highlight w:val="none"/>
                <w:lang w:val="en-US" w:eastAsia="zh-CN"/>
              </w:rPr>
              <w:t>1.315</w:t>
            </w:r>
            <w:r>
              <w:rPr>
                <w:rFonts w:hint="eastAsia" w:ascii="Times New Roman" w:hAnsi="Times New Roman" w:eastAsia="宋体" w:cs="Times New Roman"/>
                <w:color w:val="000000" w:themeColor="text1"/>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rPr>
              <w:t>氮氧化物总量指标=</w:t>
            </w:r>
            <w:r>
              <w:rPr>
                <w:rFonts w:hint="eastAsia" w:cs="Times New Roman"/>
                <w:color w:val="000000" w:themeColor="text1"/>
                <w:sz w:val="24"/>
                <w:szCs w:val="24"/>
                <w:highlight w:val="none"/>
                <w:lang w:val="en-US" w:eastAsia="zh-CN"/>
              </w:rPr>
              <w:t>1.940</w:t>
            </w:r>
            <w:r>
              <w:rPr>
                <w:rFonts w:hint="eastAsia" w:ascii="Times New Roman" w:hAnsi="Times New Roman" w:eastAsia="宋体" w:cs="Times New Roman"/>
                <w:color w:val="000000" w:themeColor="text1"/>
                <w:sz w:val="24"/>
                <w:szCs w:val="24"/>
                <w:highlight w:val="none"/>
                <w:lang w:val="en-US" w:eastAsia="zh-CN"/>
              </w:rPr>
              <w:t>t/a+0.</w:t>
            </w:r>
            <w:r>
              <w:rPr>
                <w:rFonts w:hint="eastAsia" w:cs="Times New Roman"/>
                <w:color w:val="000000" w:themeColor="text1"/>
                <w:sz w:val="24"/>
                <w:szCs w:val="24"/>
                <w:highlight w:val="none"/>
                <w:lang w:val="en-US" w:eastAsia="zh-CN"/>
              </w:rPr>
              <w:t>108</w:t>
            </w:r>
            <w:r>
              <w:rPr>
                <w:rFonts w:hint="eastAsia" w:ascii="Times New Roman" w:hAnsi="Times New Roman" w:eastAsia="宋体" w:cs="Times New Roman"/>
                <w:color w:val="000000" w:themeColor="text1"/>
                <w:sz w:val="24"/>
                <w:szCs w:val="24"/>
                <w:highlight w:val="none"/>
                <w:lang w:val="en-US" w:eastAsia="zh-CN"/>
              </w:rPr>
              <w:t>t/a=</w:t>
            </w:r>
            <w:r>
              <w:rPr>
                <w:rFonts w:hint="eastAsia" w:cs="Times New Roman"/>
                <w:color w:val="000000" w:themeColor="text1"/>
                <w:sz w:val="24"/>
                <w:szCs w:val="24"/>
                <w:highlight w:val="none"/>
                <w:lang w:val="en-US" w:eastAsia="zh-CN"/>
              </w:rPr>
              <w:t>2.048</w:t>
            </w:r>
            <w:r>
              <w:rPr>
                <w:rFonts w:hint="eastAsia" w:ascii="Times New Roman" w:hAnsi="Times New Roman" w:eastAsia="宋体" w:cs="Times New Roman"/>
                <w:color w:val="000000" w:themeColor="text1"/>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cs="Times New Roman"/>
                <w:color w:val="000000" w:themeColor="text1"/>
                <w:sz w:val="24"/>
                <w:szCs w:val="24"/>
                <w:highlight w:val="none"/>
                <w:vertAlign w:val="baseline"/>
                <w:lang w:val="en-US" w:eastAsia="zh-CN"/>
              </w:rPr>
            </w:pPr>
            <w:r>
              <w:rPr>
                <w:rFonts w:hint="default" w:ascii="Times New Roman" w:hAnsi="Times New Roman" w:cs="Times New Roman"/>
                <w:color w:val="000000" w:themeColor="text1"/>
                <w:sz w:val="24"/>
                <w:szCs w:val="24"/>
                <w:highlight w:val="none"/>
                <w:vertAlign w:val="baseline"/>
                <w:lang w:val="en-US" w:eastAsia="zh-CN"/>
              </w:rPr>
              <w:t>因此，总量控制指标为二氧化硫</w:t>
            </w:r>
            <w:r>
              <w:rPr>
                <w:rFonts w:hint="eastAsia" w:cs="Times New Roman"/>
                <w:color w:val="000000" w:themeColor="text1"/>
                <w:sz w:val="24"/>
                <w:szCs w:val="24"/>
                <w:highlight w:val="none"/>
                <w:vertAlign w:val="baseline"/>
                <w:lang w:val="en-US" w:eastAsia="zh-CN"/>
              </w:rPr>
              <w:t>1.315</w:t>
            </w:r>
            <w:r>
              <w:rPr>
                <w:rFonts w:hint="default" w:ascii="Times New Roman" w:hAnsi="Times New Roman" w:cs="Times New Roman"/>
                <w:color w:val="000000" w:themeColor="text1"/>
                <w:sz w:val="24"/>
                <w:szCs w:val="24"/>
                <w:highlight w:val="none"/>
                <w:vertAlign w:val="baseline"/>
                <w:lang w:val="en-US" w:eastAsia="zh-CN"/>
              </w:rPr>
              <w:t>t/a，氮氧化物</w:t>
            </w:r>
            <w:r>
              <w:rPr>
                <w:rFonts w:hint="eastAsia" w:cs="Times New Roman"/>
                <w:color w:val="000000" w:themeColor="text1"/>
                <w:sz w:val="24"/>
                <w:szCs w:val="24"/>
                <w:highlight w:val="none"/>
                <w:vertAlign w:val="baseline"/>
                <w:lang w:val="en-US" w:eastAsia="zh-CN"/>
              </w:rPr>
              <w:t>2.048</w:t>
            </w:r>
            <w:r>
              <w:rPr>
                <w:rFonts w:hint="default" w:ascii="Times New Roman" w:hAnsi="Times New Roman" w:cs="Times New Roman"/>
                <w:color w:val="000000" w:themeColor="text1"/>
                <w:sz w:val="24"/>
                <w:szCs w:val="24"/>
                <w:highlight w:val="none"/>
                <w:vertAlign w:val="baseline"/>
                <w:lang w:val="en-US" w:eastAsia="zh-CN"/>
              </w:rPr>
              <w:t>t/a</w:t>
            </w:r>
            <w:r>
              <w:rPr>
                <w:rFonts w:hint="eastAsia" w:ascii="Times New Roman" w:hAnsi="Times New Roman" w:cs="Times New Roman"/>
                <w:color w:val="000000" w:themeColor="text1"/>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pStyle w:val="2"/>
              <w:rPr>
                <w:rFonts w:hint="eastAsia" w:ascii="Times New Roman" w:hAnsi="Times New Roman" w:cs="Times New Roman"/>
                <w:color w:val="000000" w:themeColor="text1"/>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cs="Times New Roman"/>
                <w:color w:val="000000" w:themeColor="text1"/>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ind w:firstLine="300" w:firstLineChars="200"/>
              <w:jc w:val="left"/>
              <w:textAlignment w:val="auto"/>
              <w:rPr>
                <w:rFonts w:hint="default" w:ascii="宋体" w:hAnsi="宋体" w:cs="宋体"/>
                <w:color w:val="000000" w:themeColor="text1"/>
                <w:kern w:val="21"/>
                <w:sz w:val="15"/>
                <w:szCs w:val="11"/>
                <w:highlight w:val="none"/>
                <w:lang w:val="en-US"/>
              </w:rPr>
            </w:pPr>
          </w:p>
        </w:tc>
      </w:tr>
    </w:tbl>
    <w:p>
      <w:pPr>
        <w:pStyle w:val="18"/>
        <w:spacing w:before="120" w:beforeLines="50" w:beforeAutospacing="0" w:after="120" w:afterLines="50" w:afterAutospacing="0"/>
        <w:ind w:firstLine="0" w:firstLineChars="0"/>
        <w:jc w:val="center"/>
        <w:outlineLvl w:val="0"/>
        <w:rPr>
          <w:rFonts w:ascii="黑体" w:hAnsi="黑体" w:eastAsia="黑体"/>
          <w:snapToGrid w:val="0"/>
          <w:color w:val="000000" w:themeColor="text1"/>
          <w:kern w:val="21"/>
          <w:sz w:val="30"/>
          <w:szCs w:val="30"/>
        </w:rPr>
      </w:pPr>
      <w:r>
        <w:rPr>
          <w:rFonts w:ascii="黑体" w:hAnsi="黑体" w:eastAsia="黑体"/>
          <w:snapToGrid w:val="0"/>
          <w:color w:val="000000" w:themeColor="text1"/>
          <w:kern w:val="21"/>
          <w:sz w:val="36"/>
          <w:szCs w:val="36"/>
        </w:rPr>
        <w:br w:type="page"/>
      </w:r>
      <w:r>
        <w:rPr>
          <w:rFonts w:hint="eastAsia" w:ascii="黑体" w:hAnsi="黑体" w:eastAsia="黑体"/>
          <w:snapToGrid w:val="0"/>
          <w:color w:val="000000" w:themeColor="text1"/>
          <w:kern w:val="21"/>
          <w:sz w:val="30"/>
          <w:szCs w:val="30"/>
        </w:rPr>
        <w:t>四、主要环境影响和保护措施</w:t>
      </w:r>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9"/>
        <w:gridCol w:w="8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389" w:type="dxa"/>
            <w:noWrap/>
            <w:tcMar>
              <w:left w:w="28" w:type="dxa"/>
              <w:right w:w="28" w:type="dxa"/>
            </w:tcMar>
            <w:vAlign w:val="center"/>
          </w:tcPr>
          <w:p>
            <w:pPr>
              <w:pStyle w:val="18"/>
              <w:spacing w:before="0" w:beforeAutospacing="0" w:after="0" w:afterAutospacing="0"/>
              <w:ind w:firstLine="0" w:firstLineChars="0"/>
              <w:jc w:val="center"/>
              <w:rPr>
                <w:rFonts w:cs="宋体"/>
                <w:bCs/>
                <w:color w:val="000000" w:themeColor="text1"/>
                <w:kern w:val="21"/>
                <w:sz w:val="21"/>
                <w:szCs w:val="21"/>
                <w:highlight w:val="none"/>
              </w:rPr>
            </w:pPr>
            <w:r>
              <w:rPr>
                <w:rFonts w:hint="eastAsia" w:cs="宋体"/>
                <w:color w:val="000000" w:themeColor="text1"/>
                <w:kern w:val="21"/>
                <w:szCs w:val="24"/>
                <w:highlight w:val="none"/>
              </w:rPr>
              <w:t>施工期环境保护措施</w:t>
            </w:r>
          </w:p>
        </w:tc>
        <w:tc>
          <w:tcPr>
            <w:tcW w:w="8592" w:type="dxa"/>
            <w:noWrap/>
            <w:vAlign w:val="center"/>
          </w:tcPr>
          <w:p>
            <w:pPr>
              <w:adjustRightInd/>
              <w:snapToGrid/>
              <w:spacing w:before="120" w:beforeLines="50"/>
              <w:ind w:firstLine="0" w:firstLineChars="0"/>
              <w:rPr>
                <w:b/>
                <w:bCs/>
                <w:color w:val="000000" w:themeColor="text1"/>
                <w:highlight w:val="none"/>
              </w:rPr>
            </w:pPr>
            <w:r>
              <w:rPr>
                <w:b/>
                <w:bCs/>
                <w:color w:val="000000" w:themeColor="text1"/>
                <w:highlight w:val="none"/>
              </w:rPr>
              <w:t>施工期环境保护措施：</w:t>
            </w:r>
          </w:p>
          <w:p>
            <w:pPr>
              <w:adjustRightInd/>
              <w:ind w:firstLine="482"/>
              <w:rPr>
                <w:b/>
                <w:color w:val="000000" w:themeColor="text1"/>
                <w:highlight w:val="none"/>
              </w:rPr>
            </w:pPr>
            <w:r>
              <w:rPr>
                <w:b/>
                <w:color w:val="000000" w:themeColor="text1"/>
                <w:highlight w:val="none"/>
              </w:rPr>
              <w:t>1.</w:t>
            </w:r>
            <w:r>
              <w:rPr>
                <w:rFonts w:hint="eastAsia"/>
                <w:b/>
                <w:color w:val="000000" w:themeColor="text1"/>
                <w:highlight w:val="none"/>
              </w:rPr>
              <w:t>施工扬尘</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扬尘是项目施工期间影响环境空气的主要污染物，来源于土地平整、主体施工、建筑物料及建筑垃圾的堆存，建筑材料的装卸、搬运、使用，以及运料车辆的出入等。为减少扬尘产生量，根据《河北省扬尘污染防治办法》（河北省人民政府令[2020]第1号）</w:t>
            </w:r>
            <w:r>
              <w:rPr>
                <w:color w:val="000000" w:themeColor="text1"/>
                <w:highlight w:val="none"/>
              </w:rPr>
              <w:t>、《河北省建筑施工扬尘防治强化措施18条》</w:t>
            </w:r>
            <w:r>
              <w:rPr>
                <w:rFonts w:hint="eastAsia"/>
                <w:color w:val="000000" w:themeColor="text1"/>
                <w:highlight w:val="none"/>
              </w:rPr>
              <w:t>、《河北省2023年建筑施工扬尘污染防治工作方案》</w:t>
            </w:r>
            <w:r>
              <w:rPr>
                <w:color w:val="000000" w:themeColor="text1"/>
                <w:kern w:val="0"/>
                <w:highlight w:val="none"/>
                <w:lang w:bidi="ar"/>
              </w:rPr>
              <w:t>相关要求，建设单位拟采取的粉尘控制措施如下：</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①在施工现场出入口明显位置设置公示牌，公示施工现场负责人、环保监督员、防尘措施、扬尘监督管理部门、举报投诉电话等信息；</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②在施工现场周边设置硬质封闭围挡或者围墙，高度不低于1.8米，并在围挡底端设置不低于0.2米的防溢座；</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③对施工现场出入口、场内施工道路、材料加工堆放区、办公区、生活区进行硬化处理，并保持地面整洁；</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④在施工现场出口处设置车辆清洗设施并配套设置排水、泥浆沉淀设施，车辆冲洗干净后方可驶出；</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⑤</w:t>
            </w:r>
            <w:r>
              <w:rPr>
                <w:color w:val="000000" w:themeColor="text1"/>
                <w:highlight w:val="none"/>
              </w:rPr>
              <w:t>使用预拌混凝土、预拌砂浆等建筑材料，不进行现场拌和</w:t>
            </w:r>
            <w:r>
              <w:rPr>
                <w:color w:val="000000" w:themeColor="text1"/>
                <w:kern w:val="0"/>
                <w:highlight w:val="none"/>
                <w:lang w:bidi="ar"/>
              </w:rPr>
              <w:t>；</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⑥在施工工地内堆放水泥、灰土、砂石、建筑土方等易产生扬尘的粉状、粒状建筑材料的，应当采取密闭或者遮盖等防尘措施，装卸、搬运时应当采取防尘措施；</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⑦建筑垃圾应当及时清运，在场地内堆存的，应当集中堆放并采取密闭或者遮盖等防尘措施；</w:t>
            </w:r>
          </w:p>
          <w:p>
            <w:pPr>
              <w:widowControl/>
              <w:adjustRightInd/>
              <w:spacing w:line="336" w:lineRule="auto"/>
              <w:ind w:firstLine="480"/>
              <w:jc w:val="left"/>
              <w:rPr>
                <w:color w:val="000000" w:themeColor="text1"/>
                <w:kern w:val="0"/>
                <w:highlight w:val="none"/>
                <w:lang w:bidi="ar"/>
              </w:rPr>
            </w:pPr>
            <w:r>
              <w:rPr>
                <w:color w:val="000000" w:themeColor="text1"/>
                <w:kern w:val="0"/>
                <w:highlight w:val="none"/>
                <w:lang w:bidi="ar"/>
              </w:rPr>
              <w:t>⑧</w:t>
            </w:r>
            <w:r>
              <w:rPr>
                <w:color w:val="000000" w:themeColor="text1"/>
                <w:highlight w:val="none"/>
              </w:rPr>
              <w:t>土地挖掘、平整及施工建设过程中采用洒水措施，及时向易产生扬尘的施工场地、路面洒水，每天洒水次数不低于2次，大风天增加洒水量及洒水次数，减少扬尘产生</w:t>
            </w:r>
            <w:r>
              <w:rPr>
                <w:rFonts w:hint="eastAsia"/>
                <w:color w:val="000000" w:themeColor="text1"/>
                <w:highlight w:val="none"/>
              </w:rPr>
              <w:t>；</w:t>
            </w:r>
          </w:p>
          <w:p>
            <w:pPr>
              <w:spacing w:line="336" w:lineRule="auto"/>
              <w:ind w:firstLine="480"/>
              <w:rPr>
                <w:color w:val="000000" w:themeColor="text1"/>
                <w:highlight w:val="none"/>
              </w:rPr>
            </w:pPr>
            <w:r>
              <w:rPr>
                <w:color w:val="000000" w:themeColor="text1"/>
                <w:highlight w:val="none"/>
              </w:rPr>
              <w:t>⑨建筑材料、设备的运输及建筑垃圾清运过程中，运输车辆减速慢行，运输建筑垃圾采用蓬布遮盖，以避免沿途洒落，对运输道路及时进行清扫，减少运输扬尘</w:t>
            </w:r>
            <w:r>
              <w:rPr>
                <w:rFonts w:hint="eastAsia"/>
                <w:color w:val="000000" w:themeColor="text1"/>
                <w:highlight w:val="none"/>
              </w:rPr>
              <w:t>。</w:t>
            </w:r>
          </w:p>
          <w:p>
            <w:pPr>
              <w:adjustRightInd/>
              <w:spacing w:line="336" w:lineRule="auto"/>
              <w:ind w:firstLine="480"/>
              <w:rPr>
                <w:color w:val="000000" w:themeColor="text1"/>
                <w:highlight w:val="none"/>
              </w:rPr>
            </w:pPr>
            <w:r>
              <w:rPr>
                <w:color w:val="000000" w:themeColor="text1"/>
                <w:highlight w:val="none"/>
              </w:rPr>
              <w:t>在采取上述措施后，</w:t>
            </w:r>
            <w:r>
              <w:rPr>
                <w:color w:val="000000" w:themeColor="text1"/>
                <w:kern w:val="0"/>
                <w:highlight w:val="none"/>
                <w:lang w:bidi="ar"/>
              </w:rPr>
              <w:t>施工厂界扬尘实测值与同时段区域PM</w:t>
            </w:r>
            <w:r>
              <w:rPr>
                <w:color w:val="000000" w:themeColor="text1"/>
                <w:kern w:val="0"/>
                <w:highlight w:val="none"/>
                <w:vertAlign w:val="subscript"/>
                <w:lang w:bidi="ar"/>
              </w:rPr>
              <w:t>10</w:t>
            </w:r>
            <w:r>
              <w:rPr>
                <w:color w:val="000000" w:themeColor="text1"/>
                <w:kern w:val="0"/>
                <w:highlight w:val="none"/>
                <w:lang w:bidi="ar"/>
              </w:rPr>
              <w:t>小时浓度差值小于80μg/m³，符合《施工场地扬尘排放标准》（DB13/2934-2019）表1排放浓度限值要求</w:t>
            </w:r>
            <w:r>
              <w:rPr>
                <w:color w:val="000000" w:themeColor="text1"/>
                <w:highlight w:val="none"/>
              </w:rPr>
              <w:t>，施工</w:t>
            </w:r>
            <w:r>
              <w:rPr>
                <w:bCs/>
                <w:color w:val="000000" w:themeColor="text1"/>
                <w:highlight w:val="none"/>
              </w:rPr>
              <w:t>期</w:t>
            </w:r>
            <w:r>
              <w:rPr>
                <w:color w:val="000000" w:themeColor="text1"/>
                <w:highlight w:val="none"/>
              </w:rPr>
              <w:t>大气环境影响可接受。</w:t>
            </w:r>
          </w:p>
          <w:p>
            <w:pPr>
              <w:adjustRightInd/>
              <w:ind w:firstLine="482"/>
              <w:rPr>
                <w:b/>
                <w:color w:val="000000" w:themeColor="text1"/>
                <w:highlight w:val="none"/>
              </w:rPr>
            </w:pPr>
            <w:r>
              <w:rPr>
                <w:b/>
                <w:color w:val="000000" w:themeColor="text1"/>
                <w:highlight w:val="none"/>
              </w:rPr>
              <w:t>2.</w:t>
            </w:r>
            <w:r>
              <w:rPr>
                <w:rFonts w:hint="eastAsia"/>
                <w:b/>
                <w:color w:val="000000" w:themeColor="text1"/>
                <w:highlight w:val="none"/>
              </w:rPr>
              <w:t>废水</w:t>
            </w:r>
          </w:p>
          <w:p>
            <w:pPr>
              <w:spacing w:line="336" w:lineRule="auto"/>
              <w:ind w:firstLine="480"/>
              <w:rPr>
                <w:color w:val="000000" w:themeColor="text1"/>
                <w:highlight w:val="none"/>
              </w:rPr>
            </w:pPr>
            <w:r>
              <w:rPr>
                <w:color w:val="000000" w:themeColor="text1"/>
                <w:highlight w:val="none"/>
              </w:rPr>
              <w:t>施工期产生的废水为施工废水和生活污水。</w:t>
            </w:r>
          </w:p>
          <w:p>
            <w:pPr>
              <w:spacing w:line="336" w:lineRule="auto"/>
              <w:ind w:firstLine="480"/>
              <w:rPr>
                <w:color w:val="000000" w:themeColor="text1"/>
                <w:highlight w:val="none"/>
              </w:rPr>
            </w:pPr>
            <w:r>
              <w:rPr>
                <w:color w:val="000000" w:themeColor="text1"/>
                <w:highlight w:val="none"/>
              </w:rPr>
              <w:t>（1）施工废水</w:t>
            </w:r>
          </w:p>
          <w:p>
            <w:pPr>
              <w:spacing w:line="336" w:lineRule="auto"/>
              <w:ind w:firstLine="480"/>
              <w:rPr>
                <w:color w:val="000000" w:themeColor="text1"/>
                <w:highlight w:val="none"/>
              </w:rPr>
            </w:pPr>
            <w:r>
              <w:rPr>
                <w:color w:val="000000" w:themeColor="text1"/>
                <w:highlight w:val="none"/>
              </w:rPr>
              <w:t>项目施工过程中产生的废水主要来自于施工作业产生的施工废水以及下雨时冲刷浮土及建筑泥沙等产生的地表径流污水(主要污染物为SS)。</w:t>
            </w:r>
          </w:p>
          <w:p>
            <w:pPr>
              <w:spacing w:line="336" w:lineRule="auto"/>
              <w:ind w:firstLine="480"/>
              <w:rPr>
                <w:color w:val="000000" w:themeColor="text1"/>
                <w:highlight w:val="none"/>
              </w:rPr>
            </w:pPr>
            <w:r>
              <w:rPr>
                <w:color w:val="000000" w:themeColor="text1"/>
                <w:highlight w:val="none"/>
              </w:rPr>
              <w:t>施工废水和砂石料冲洗雨水澄清沉淀后循环利用，少量污水洒水降尘</w:t>
            </w:r>
            <w:r>
              <w:rPr>
                <w:rFonts w:hint="eastAsia"/>
                <w:color w:val="000000" w:themeColor="text1"/>
                <w:highlight w:val="none"/>
              </w:rPr>
              <w:t>，</w:t>
            </w:r>
            <w:r>
              <w:rPr>
                <w:color w:val="000000" w:themeColor="text1"/>
                <w:highlight w:val="none"/>
              </w:rPr>
              <w:t>不会对区域水环境产生较大影响</w:t>
            </w:r>
            <w:r>
              <w:rPr>
                <w:rFonts w:hint="eastAsia"/>
                <w:color w:val="000000" w:themeColor="text1"/>
                <w:highlight w:val="none"/>
              </w:rPr>
              <w:t>。</w:t>
            </w:r>
          </w:p>
          <w:p>
            <w:pPr>
              <w:tabs>
                <w:tab w:val="left" w:pos="2500"/>
              </w:tabs>
              <w:spacing w:line="336" w:lineRule="auto"/>
              <w:ind w:firstLine="480"/>
              <w:rPr>
                <w:color w:val="000000" w:themeColor="text1"/>
                <w:highlight w:val="none"/>
              </w:rPr>
            </w:pPr>
            <w:r>
              <w:rPr>
                <w:color w:val="000000" w:themeColor="text1"/>
                <w:highlight w:val="none"/>
              </w:rPr>
              <w:t>（2）生活污水</w:t>
            </w:r>
          </w:p>
          <w:p>
            <w:pPr>
              <w:tabs>
                <w:tab w:val="left" w:pos="2500"/>
              </w:tabs>
              <w:spacing w:line="336" w:lineRule="auto"/>
              <w:ind w:firstLine="480"/>
              <w:rPr>
                <w:color w:val="000000" w:themeColor="text1"/>
                <w:highlight w:val="none"/>
              </w:rPr>
            </w:pPr>
            <w:r>
              <w:rPr>
                <w:color w:val="000000" w:themeColor="text1"/>
                <w:highlight w:val="none"/>
              </w:rPr>
              <w:t>项目施工人员均来自于当地，施工期间生活污水产生量很小，主要为施工人员的盥洗水，用于施工场地降尘，不外排。</w:t>
            </w:r>
          </w:p>
          <w:p>
            <w:pPr>
              <w:adjustRightInd/>
              <w:spacing w:line="336" w:lineRule="auto"/>
              <w:ind w:firstLine="480"/>
              <w:rPr>
                <w:color w:val="000000" w:themeColor="text1"/>
                <w:szCs w:val="22"/>
                <w:highlight w:val="none"/>
              </w:rPr>
            </w:pPr>
            <w:r>
              <w:rPr>
                <w:color w:val="000000" w:themeColor="text1"/>
                <w:highlight w:val="none"/>
              </w:rPr>
              <w:t>综上所述，项目施工期间对区域水环境影响</w:t>
            </w:r>
            <w:r>
              <w:rPr>
                <w:rFonts w:hint="eastAsia"/>
                <w:color w:val="000000" w:themeColor="text1"/>
                <w:highlight w:val="none"/>
              </w:rPr>
              <w:t>可接受</w:t>
            </w:r>
            <w:r>
              <w:rPr>
                <w:color w:val="000000" w:themeColor="text1"/>
                <w:szCs w:val="22"/>
                <w:highlight w:val="none"/>
              </w:rPr>
              <w:t>。</w:t>
            </w:r>
          </w:p>
          <w:p>
            <w:pPr>
              <w:adjustRightInd/>
              <w:ind w:firstLine="482"/>
              <w:rPr>
                <w:b/>
                <w:color w:val="000000" w:themeColor="text1"/>
                <w:highlight w:val="none"/>
              </w:rPr>
            </w:pPr>
            <w:r>
              <w:rPr>
                <w:b/>
                <w:color w:val="000000" w:themeColor="text1"/>
                <w:highlight w:val="none"/>
              </w:rPr>
              <w:t>3.</w:t>
            </w:r>
            <w:r>
              <w:rPr>
                <w:rFonts w:hint="eastAsia"/>
                <w:b/>
                <w:color w:val="000000" w:themeColor="text1"/>
                <w:highlight w:val="none"/>
              </w:rPr>
              <w:t>噪声</w:t>
            </w:r>
          </w:p>
          <w:p>
            <w:pPr>
              <w:spacing w:line="336" w:lineRule="auto"/>
              <w:ind w:firstLine="480"/>
              <w:rPr>
                <w:color w:val="000000" w:themeColor="text1"/>
                <w:highlight w:val="none"/>
              </w:rPr>
            </w:pPr>
            <w:r>
              <w:rPr>
                <w:rFonts w:hint="eastAsia"/>
                <w:color w:val="000000" w:themeColor="text1"/>
                <w:highlight w:val="none"/>
              </w:rPr>
              <w:t>施工期产生的噪声包括施工设备噪声和运输噪声。为减少噪声影响，建设单位拟采取的措施如下：</w:t>
            </w:r>
          </w:p>
          <w:p>
            <w:pPr>
              <w:spacing w:line="336" w:lineRule="auto"/>
              <w:ind w:firstLine="480"/>
              <w:rPr>
                <w:color w:val="000000" w:themeColor="text1"/>
                <w:highlight w:val="none"/>
              </w:rPr>
            </w:pPr>
            <w:r>
              <w:rPr>
                <w:color w:val="000000" w:themeColor="text1"/>
                <w:highlight w:val="none"/>
              </w:rPr>
              <w:t>①施工时尽量使用低噪声机械设备，在施工过程中安排专人对设备进行定期保养维护，对施工人员进行操作培训，严格按照操作规程使用各类机械设备。</w:t>
            </w:r>
          </w:p>
          <w:p>
            <w:pPr>
              <w:spacing w:line="336" w:lineRule="auto"/>
              <w:ind w:firstLine="480"/>
              <w:rPr>
                <w:color w:val="000000" w:themeColor="text1"/>
                <w:highlight w:val="none"/>
              </w:rPr>
            </w:pPr>
            <w:r>
              <w:rPr>
                <w:color w:val="000000" w:themeColor="text1"/>
                <w:highlight w:val="none"/>
              </w:rPr>
              <w:t>②运输车辆通过要减速慢行以</w:t>
            </w:r>
            <w:r>
              <w:rPr>
                <w:rFonts w:hint="eastAsia"/>
                <w:color w:val="000000" w:themeColor="text1"/>
                <w:highlight w:val="none"/>
              </w:rPr>
              <w:t>降</w:t>
            </w:r>
            <w:r>
              <w:rPr>
                <w:color w:val="000000" w:themeColor="text1"/>
                <w:highlight w:val="none"/>
              </w:rPr>
              <w:t>低噪声。</w:t>
            </w:r>
          </w:p>
          <w:p>
            <w:pPr>
              <w:spacing w:line="336" w:lineRule="auto"/>
              <w:ind w:firstLine="480"/>
              <w:rPr>
                <w:color w:val="000000" w:themeColor="text1"/>
                <w:highlight w:val="none"/>
              </w:rPr>
            </w:pPr>
            <w:r>
              <w:rPr>
                <w:color w:val="000000" w:themeColor="text1"/>
                <w:highlight w:val="none"/>
              </w:rPr>
              <w:t>③合理选择运输建筑材料的道路，尽可能避开敏感点。运输车辆穿越环境敏感点时限速、禁鸣。</w:t>
            </w:r>
          </w:p>
          <w:p>
            <w:pPr>
              <w:spacing w:line="336" w:lineRule="auto"/>
              <w:ind w:firstLine="480"/>
              <w:rPr>
                <w:color w:val="000000" w:themeColor="text1"/>
                <w:highlight w:val="none"/>
              </w:rPr>
            </w:pPr>
            <w:r>
              <w:rPr>
                <w:color w:val="000000" w:themeColor="text1"/>
                <w:highlight w:val="none"/>
              </w:rPr>
              <w:t>④合理安排施工时间，高噪声工期必须避开敏感时段。</w:t>
            </w:r>
          </w:p>
          <w:p>
            <w:pPr>
              <w:spacing w:line="336" w:lineRule="auto"/>
              <w:ind w:firstLine="480"/>
              <w:rPr>
                <w:color w:val="000000" w:themeColor="text1"/>
                <w:highlight w:val="none"/>
              </w:rPr>
            </w:pPr>
            <w:r>
              <w:rPr>
                <w:color w:val="000000" w:themeColor="text1"/>
                <w:highlight w:val="none"/>
              </w:rPr>
              <w:t>⑤加强施工期管理，施工单位设专人负责施工机械的保养和维护，保养和维护要有切实可行的规章制度，要定期对现场工作人员进行培训，每个工人都要严格按照规范使用各类机械，避免因故障产生突发噪声。</w:t>
            </w:r>
          </w:p>
          <w:p>
            <w:pPr>
              <w:spacing w:line="336" w:lineRule="auto"/>
              <w:ind w:firstLine="480"/>
              <w:rPr>
                <w:color w:val="000000" w:themeColor="text1"/>
                <w:highlight w:val="none"/>
              </w:rPr>
            </w:pPr>
            <w:r>
              <w:rPr>
                <w:color w:val="000000" w:themeColor="text1"/>
                <w:highlight w:val="none"/>
              </w:rPr>
              <w:t>采取以上措施后，项目施工期产生的噪声可满足《建筑施工场界环境噪声排放标准》（GB12523-2011）的要求，</w:t>
            </w:r>
            <w:r>
              <w:rPr>
                <w:rFonts w:hint="eastAsia"/>
                <w:color w:val="000000" w:themeColor="text1"/>
                <w:szCs w:val="32"/>
                <w:highlight w:val="none"/>
              </w:rPr>
              <w:t>施工期噪声</w:t>
            </w:r>
            <w:r>
              <w:rPr>
                <w:color w:val="000000" w:themeColor="text1"/>
                <w:szCs w:val="32"/>
                <w:highlight w:val="none"/>
              </w:rPr>
              <w:t>达标排放</w:t>
            </w:r>
            <w:r>
              <w:rPr>
                <w:color w:val="000000" w:themeColor="text1"/>
                <w:highlight w:val="none"/>
              </w:rPr>
              <w:t>。</w:t>
            </w:r>
          </w:p>
          <w:p>
            <w:pPr>
              <w:pStyle w:val="17"/>
              <w:widowControl w:val="0"/>
              <w:adjustRightInd/>
              <w:ind w:left="547" w:leftChars="228" w:firstLine="0" w:firstLineChars="0"/>
              <w:rPr>
                <w:rFonts w:hint="default" w:ascii="Times New Roman" w:hAnsi="Times New Roman"/>
                <w:color w:val="000000" w:themeColor="text1"/>
                <w:highlight w:val="none"/>
              </w:rPr>
            </w:pPr>
            <w:r>
              <w:rPr>
                <w:rFonts w:ascii="Times New Roman" w:hAnsi="Times New Roman"/>
                <w:b/>
                <w:color w:val="000000" w:themeColor="text1"/>
                <w:kern w:val="2"/>
                <w:highlight w:val="none"/>
              </w:rPr>
              <w:t>4.固</w:t>
            </w:r>
            <w:r>
              <w:rPr>
                <w:rFonts w:hint="default" w:ascii="Times New Roman" w:hAnsi="Times New Roman"/>
                <w:b/>
                <w:color w:val="000000" w:themeColor="text1"/>
                <w:kern w:val="2"/>
                <w:highlight w:val="none"/>
              </w:rPr>
              <w:t>体废物</w:t>
            </w:r>
          </w:p>
          <w:p>
            <w:pPr>
              <w:topLinePunct/>
              <w:spacing w:line="336" w:lineRule="auto"/>
              <w:ind w:firstLine="480"/>
              <w:textAlignment w:val="center"/>
              <w:rPr>
                <w:rFonts w:ascii="宋体" w:hAnsi="宋体" w:cs="宋体"/>
                <w:bCs/>
                <w:color w:val="000000" w:themeColor="text1"/>
                <w:kern w:val="21"/>
                <w:szCs w:val="21"/>
                <w:highlight w:val="none"/>
              </w:rPr>
            </w:pPr>
            <w:r>
              <w:rPr>
                <w:color w:val="000000" w:themeColor="text1"/>
                <w:highlight w:val="none"/>
              </w:rPr>
              <w:t>施工期固体废物主要为施工过程中产生的建筑垃圾及生活垃圾。</w:t>
            </w:r>
            <w:r>
              <w:rPr>
                <w:bCs/>
                <w:color w:val="000000" w:themeColor="text1"/>
                <w:highlight w:val="none"/>
              </w:rPr>
              <w:t>建筑垃圾分类回收后不能利用的部分运至</w:t>
            </w:r>
            <w:r>
              <w:rPr>
                <w:rFonts w:hint="eastAsia"/>
                <w:bCs/>
                <w:color w:val="000000" w:themeColor="text1"/>
                <w:highlight w:val="none"/>
              </w:rPr>
              <w:t>政府</w:t>
            </w:r>
            <w:r>
              <w:rPr>
                <w:bCs/>
                <w:color w:val="000000" w:themeColor="text1"/>
                <w:highlight w:val="none"/>
              </w:rPr>
              <w:t>指定建筑垃圾填埋场</w:t>
            </w:r>
            <w:r>
              <w:rPr>
                <w:rFonts w:hint="eastAsia"/>
                <w:bCs/>
                <w:color w:val="000000" w:themeColor="text1"/>
                <w:highlight w:val="none"/>
              </w:rPr>
              <w:t>处置</w:t>
            </w:r>
            <w:r>
              <w:rPr>
                <w:bCs/>
                <w:color w:val="000000" w:themeColor="text1"/>
                <w:highlight w:val="none"/>
              </w:rPr>
              <w:t>；</w:t>
            </w:r>
            <w:r>
              <w:rPr>
                <w:color w:val="000000" w:themeColor="text1"/>
                <w:highlight w:val="none"/>
              </w:rPr>
              <w:t>施工中产生的生活垃圾集中收集，定期送至环卫部门统一处理，施工期固体废物</w:t>
            </w:r>
            <w:r>
              <w:rPr>
                <w:rFonts w:hint="eastAsia"/>
                <w:color w:val="000000" w:themeColor="text1"/>
                <w:highlight w:val="none"/>
              </w:rPr>
              <w:t>均得到妥善处置</w:t>
            </w:r>
            <w:r>
              <w:rPr>
                <w:color w:val="000000" w:themeColor="text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389" w:type="dxa"/>
            <w:noWrap/>
            <w:tcMar>
              <w:left w:w="28" w:type="dxa"/>
              <w:right w:w="28" w:type="dxa"/>
            </w:tcMar>
            <w:vAlign w:val="center"/>
          </w:tcPr>
          <w:p>
            <w:pPr>
              <w:ind w:firstLine="0" w:firstLineChars="0"/>
              <w:jc w:val="center"/>
              <w:rPr>
                <w:rFonts w:ascii="宋体" w:hAnsi="宋体" w:cs="宋体"/>
                <w:bCs/>
                <w:color w:val="000000" w:themeColor="text1"/>
                <w:kern w:val="21"/>
                <w:szCs w:val="21"/>
                <w:highlight w:val="none"/>
              </w:rPr>
            </w:pPr>
            <w:r>
              <w:rPr>
                <w:rFonts w:hint="eastAsia" w:ascii="宋体" w:hAnsi="宋体" w:cs="宋体"/>
                <w:bCs/>
                <w:color w:val="000000" w:themeColor="text1"/>
                <w:kern w:val="21"/>
                <w:szCs w:val="21"/>
                <w:highlight w:val="none"/>
              </w:rPr>
              <w:t>运营期环境影响和保护措施</w:t>
            </w:r>
          </w:p>
        </w:tc>
        <w:tc>
          <w:tcPr>
            <w:tcW w:w="8592" w:type="dxa"/>
            <w:noWrap/>
            <w:vAlign w:val="center"/>
          </w:tcPr>
          <w:p>
            <w:pPr>
              <w:pStyle w:val="17"/>
              <w:widowControl w:val="0"/>
              <w:adjustRightInd/>
              <w:spacing w:before="120" w:beforeLines="50"/>
              <w:ind w:left="0" w:leftChars="0" w:firstLine="0" w:firstLineChars="0"/>
              <w:rPr>
                <w:rFonts w:hint="default" w:ascii="Times New Roman" w:hAnsi="Times New Roman"/>
                <w:b/>
                <w:color w:val="000000" w:themeColor="text1"/>
                <w:kern w:val="2"/>
                <w:highlight w:val="none"/>
              </w:rPr>
            </w:pPr>
            <w:r>
              <w:rPr>
                <w:rFonts w:hint="default" w:ascii="Times New Roman" w:hAnsi="Times New Roman"/>
                <w:b/>
                <w:color w:val="000000" w:themeColor="text1"/>
                <w:kern w:val="2"/>
                <w:highlight w:val="none"/>
              </w:rPr>
              <w:t>运营期环境影响和保护措施：</w:t>
            </w:r>
          </w:p>
          <w:p>
            <w:pPr>
              <w:pStyle w:val="17"/>
              <w:widowControl w:val="0"/>
              <w:adjustRightInd/>
              <w:ind w:left="547" w:leftChars="228" w:firstLine="0" w:firstLineChars="0"/>
              <w:rPr>
                <w:rFonts w:hint="default" w:ascii="Times New Roman" w:hAnsi="Times New Roman"/>
                <w:b/>
                <w:color w:val="000000" w:themeColor="text1"/>
                <w:kern w:val="2"/>
                <w:highlight w:val="none"/>
              </w:rPr>
            </w:pPr>
            <w:r>
              <w:rPr>
                <w:rFonts w:hint="default" w:ascii="Times New Roman" w:hAnsi="Times New Roman"/>
                <w:b/>
                <w:color w:val="000000" w:themeColor="text1"/>
                <w:kern w:val="2"/>
                <w:highlight w:val="none"/>
              </w:rPr>
              <w:t>1、</w:t>
            </w:r>
            <w:r>
              <w:rPr>
                <w:rFonts w:ascii="Times New Roman" w:hAnsi="Times New Roman"/>
                <w:b/>
                <w:color w:val="000000" w:themeColor="text1"/>
                <w:kern w:val="2"/>
                <w:highlight w:val="none"/>
              </w:rPr>
              <w:t>废气</w:t>
            </w:r>
          </w:p>
          <w:p>
            <w:pPr>
              <w:widowControl/>
              <w:ind w:firstLine="482"/>
              <w:jc w:val="left"/>
              <w:rPr>
                <w:b/>
                <w:bCs/>
                <w:color w:val="000000" w:themeColor="text1"/>
                <w:highlight w:val="none"/>
              </w:rPr>
            </w:pPr>
            <w:r>
              <w:rPr>
                <w:rFonts w:hint="eastAsia"/>
                <w:b/>
                <w:bCs/>
                <w:color w:val="000000" w:themeColor="text1"/>
                <w:highlight w:val="none"/>
              </w:rPr>
              <w:t>（1）废气源强核算</w:t>
            </w:r>
          </w:p>
          <w:p>
            <w:pPr>
              <w:pStyle w:val="15"/>
              <w:ind w:firstLine="480"/>
              <w:rPr>
                <w:color w:val="000000" w:themeColor="text1"/>
                <w:kern w:val="2"/>
                <w:sz w:val="24"/>
                <w:szCs w:val="24"/>
                <w:highlight w:val="none"/>
              </w:rPr>
            </w:pPr>
            <w:r>
              <w:rPr>
                <w:rFonts w:hint="eastAsia"/>
                <w:color w:val="000000" w:themeColor="text1"/>
                <w:kern w:val="2"/>
                <w:sz w:val="24"/>
                <w:szCs w:val="24"/>
                <w:highlight w:val="none"/>
              </w:rPr>
              <w:t>废气源强核算</w:t>
            </w:r>
            <w:r>
              <w:rPr>
                <w:rFonts w:hint="eastAsia"/>
                <w:color w:val="000000" w:themeColor="text1"/>
                <w:kern w:val="2"/>
                <w:sz w:val="24"/>
                <w:szCs w:val="24"/>
                <w:highlight w:val="none"/>
                <w:lang w:val="en-US" w:eastAsia="zh-CN"/>
              </w:rPr>
              <w:t>过程详</w:t>
            </w:r>
            <w:r>
              <w:rPr>
                <w:rFonts w:hint="eastAsia"/>
                <w:color w:val="000000" w:themeColor="text1"/>
                <w:kern w:val="2"/>
                <w:sz w:val="24"/>
                <w:szCs w:val="24"/>
                <w:highlight w:val="none"/>
              </w:rPr>
              <w:t>见大气</w:t>
            </w:r>
            <w:r>
              <w:rPr>
                <w:rFonts w:hint="eastAsia"/>
                <w:color w:val="000000" w:themeColor="text1"/>
                <w:kern w:val="2"/>
                <w:sz w:val="24"/>
                <w:szCs w:val="24"/>
                <w:highlight w:val="none"/>
                <w:lang w:val="en-US" w:eastAsia="zh-CN"/>
              </w:rPr>
              <w:t>环境影响</w:t>
            </w:r>
            <w:r>
              <w:rPr>
                <w:rFonts w:hint="eastAsia"/>
                <w:color w:val="000000" w:themeColor="text1"/>
                <w:kern w:val="2"/>
                <w:sz w:val="24"/>
                <w:szCs w:val="24"/>
                <w:highlight w:val="none"/>
              </w:rPr>
              <w:t>专项报告，废气源强核算情况见下表。</w:t>
            </w:r>
          </w:p>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废气源强核算</w:t>
            </w:r>
            <w:r>
              <w:rPr>
                <w:b/>
                <w:bCs/>
                <w:color w:val="000000" w:themeColor="text1"/>
                <w:sz w:val="21"/>
                <w:szCs w:val="21"/>
                <w:highlight w:val="none"/>
              </w:rPr>
              <w:t>表</w:t>
            </w:r>
          </w:p>
          <w:tbl>
            <w:tblPr>
              <w:tblStyle w:val="22"/>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8"/>
              <w:gridCol w:w="779"/>
              <w:gridCol w:w="625"/>
              <w:gridCol w:w="439"/>
              <w:gridCol w:w="521"/>
              <w:gridCol w:w="752"/>
              <w:gridCol w:w="640"/>
              <w:gridCol w:w="739"/>
              <w:gridCol w:w="643"/>
              <w:gridCol w:w="629"/>
              <w:gridCol w:w="624"/>
              <w:gridCol w:w="631"/>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restar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污染源</w:t>
                  </w:r>
                </w:p>
              </w:tc>
              <w:tc>
                <w:tcPr>
                  <w:tcW w:w="465" w:type="pct"/>
                  <w:vMerge w:val="restar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污染物</w:t>
                  </w:r>
                </w:p>
              </w:tc>
              <w:tc>
                <w:tcPr>
                  <w:tcW w:w="373" w:type="pct"/>
                  <w:vMerge w:val="restar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污染因子</w:t>
                  </w:r>
                </w:p>
              </w:tc>
              <w:tc>
                <w:tcPr>
                  <w:tcW w:w="262" w:type="pct"/>
                  <w:vMerge w:val="restar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编号</w:t>
                  </w:r>
                </w:p>
              </w:tc>
              <w:tc>
                <w:tcPr>
                  <w:tcW w:w="311" w:type="pct"/>
                  <w:vMerge w:val="restar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排放方式</w:t>
                  </w:r>
                </w:p>
              </w:tc>
              <w:tc>
                <w:tcPr>
                  <w:tcW w:w="1272" w:type="pct"/>
                  <w:gridSpan w:val="3"/>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产生情况</w:t>
                  </w:r>
                </w:p>
              </w:tc>
              <w:tc>
                <w:tcPr>
                  <w:tcW w:w="760" w:type="pct"/>
                  <w:gridSpan w:val="2"/>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除尘系统</w:t>
                  </w:r>
                </w:p>
              </w:tc>
              <w:tc>
                <w:tcPr>
                  <w:tcW w:w="1190" w:type="pct"/>
                  <w:gridSpan w:val="3"/>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pStyle w:val="8"/>
                    <w:spacing w:before="0" w:after="0" w:line="240" w:lineRule="auto"/>
                    <w:ind w:right="0" w:firstLine="0" w:firstLineChars="0"/>
                    <w:jc w:val="center"/>
                    <w:rPr>
                      <w:b/>
                      <w:bCs/>
                      <w:color w:val="000000" w:themeColor="text1"/>
                      <w:sz w:val="21"/>
                      <w:szCs w:val="21"/>
                      <w:highlight w:val="none"/>
                    </w:rPr>
                  </w:pPr>
                </w:p>
              </w:tc>
              <w:tc>
                <w:tcPr>
                  <w:tcW w:w="465" w:type="pct"/>
                  <w:vMerge w:val="continue"/>
                  <w:vAlign w:val="center"/>
                </w:tcPr>
                <w:p>
                  <w:pPr>
                    <w:pStyle w:val="8"/>
                    <w:spacing w:before="0" w:after="0" w:line="240" w:lineRule="auto"/>
                    <w:ind w:right="0" w:firstLine="0" w:firstLineChars="0"/>
                    <w:jc w:val="center"/>
                    <w:rPr>
                      <w:b/>
                      <w:bCs/>
                      <w:color w:val="000000" w:themeColor="text1"/>
                      <w:sz w:val="21"/>
                      <w:szCs w:val="21"/>
                      <w:highlight w:val="none"/>
                    </w:rPr>
                  </w:pPr>
                </w:p>
              </w:tc>
              <w:tc>
                <w:tcPr>
                  <w:tcW w:w="373" w:type="pct"/>
                  <w:vMerge w:val="continue"/>
                  <w:vAlign w:val="center"/>
                </w:tcPr>
                <w:p>
                  <w:pPr>
                    <w:pStyle w:val="8"/>
                    <w:spacing w:before="0" w:after="0" w:line="240" w:lineRule="auto"/>
                    <w:ind w:right="0" w:firstLine="0" w:firstLineChars="0"/>
                    <w:jc w:val="center"/>
                    <w:rPr>
                      <w:b/>
                      <w:bCs/>
                      <w:color w:val="000000" w:themeColor="text1"/>
                      <w:sz w:val="21"/>
                      <w:szCs w:val="21"/>
                      <w:highlight w:val="none"/>
                    </w:rPr>
                  </w:pPr>
                </w:p>
              </w:tc>
              <w:tc>
                <w:tcPr>
                  <w:tcW w:w="262" w:type="pct"/>
                  <w:vMerge w:val="continue"/>
                  <w:vAlign w:val="center"/>
                </w:tcPr>
                <w:p>
                  <w:pPr>
                    <w:pStyle w:val="8"/>
                    <w:spacing w:before="0" w:after="0" w:line="240" w:lineRule="auto"/>
                    <w:ind w:right="0" w:firstLine="0" w:firstLineChars="0"/>
                    <w:jc w:val="center"/>
                    <w:rPr>
                      <w:b/>
                      <w:bCs/>
                      <w:color w:val="000000" w:themeColor="text1"/>
                      <w:sz w:val="21"/>
                      <w:szCs w:val="21"/>
                      <w:highlight w:val="none"/>
                    </w:rPr>
                  </w:pPr>
                </w:p>
              </w:tc>
              <w:tc>
                <w:tcPr>
                  <w:tcW w:w="311" w:type="pct"/>
                  <w:vMerge w:val="continue"/>
                  <w:vAlign w:val="center"/>
                </w:tcPr>
                <w:p>
                  <w:pPr>
                    <w:pStyle w:val="8"/>
                    <w:spacing w:before="0" w:after="0" w:line="240" w:lineRule="auto"/>
                    <w:ind w:right="0" w:firstLine="0" w:firstLineChars="0"/>
                    <w:jc w:val="center"/>
                    <w:rPr>
                      <w:b/>
                      <w:bCs/>
                      <w:color w:val="000000" w:themeColor="text1"/>
                      <w:sz w:val="21"/>
                      <w:szCs w:val="21"/>
                      <w:highlight w:val="none"/>
                    </w:rPr>
                  </w:pPr>
                </w:p>
              </w:tc>
              <w:tc>
                <w:tcPr>
                  <w:tcW w:w="449" w:type="pc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产生量（t/a）</w:t>
                  </w:r>
                </w:p>
              </w:tc>
              <w:tc>
                <w:tcPr>
                  <w:tcW w:w="382" w:type="pc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速率（kg/h）</w:t>
                  </w:r>
                </w:p>
              </w:tc>
              <w:tc>
                <w:tcPr>
                  <w:tcW w:w="440" w:type="pc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浓度（mg/m</w:t>
                  </w:r>
                  <w:r>
                    <w:rPr>
                      <w:b/>
                      <w:bCs/>
                      <w:color w:val="000000" w:themeColor="text1"/>
                      <w:sz w:val="21"/>
                      <w:szCs w:val="21"/>
                      <w:highlight w:val="none"/>
                      <w:vertAlign w:val="superscript"/>
                    </w:rPr>
                    <w:t>3</w:t>
                  </w:r>
                  <w:r>
                    <w:rPr>
                      <w:b/>
                      <w:bCs/>
                      <w:color w:val="000000" w:themeColor="text1"/>
                      <w:sz w:val="21"/>
                      <w:szCs w:val="21"/>
                      <w:highlight w:val="none"/>
                    </w:rPr>
                    <w:t>）</w:t>
                  </w:r>
                </w:p>
              </w:tc>
              <w:tc>
                <w:tcPr>
                  <w:tcW w:w="384" w:type="pc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废气量（m</w:t>
                  </w:r>
                  <w:r>
                    <w:rPr>
                      <w:b/>
                      <w:bCs/>
                      <w:color w:val="000000" w:themeColor="text1"/>
                      <w:sz w:val="21"/>
                      <w:szCs w:val="21"/>
                      <w:highlight w:val="none"/>
                      <w:vertAlign w:val="superscript"/>
                    </w:rPr>
                    <w:t>3</w:t>
                  </w:r>
                  <w:r>
                    <w:rPr>
                      <w:b/>
                      <w:bCs/>
                      <w:color w:val="000000" w:themeColor="text1"/>
                      <w:sz w:val="21"/>
                      <w:szCs w:val="21"/>
                      <w:highlight w:val="none"/>
                    </w:rPr>
                    <w:t>/h）</w:t>
                  </w:r>
                </w:p>
              </w:tc>
              <w:tc>
                <w:tcPr>
                  <w:tcW w:w="376" w:type="pc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去除效率（%）</w:t>
                  </w:r>
                </w:p>
              </w:tc>
              <w:tc>
                <w:tcPr>
                  <w:tcW w:w="373" w:type="pc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排放量（t/a）</w:t>
                  </w:r>
                </w:p>
              </w:tc>
              <w:tc>
                <w:tcPr>
                  <w:tcW w:w="377" w:type="pc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速率（kg/h）</w:t>
                  </w:r>
                </w:p>
              </w:tc>
              <w:tc>
                <w:tcPr>
                  <w:tcW w:w="440" w:type="pct"/>
                  <w:vAlign w:val="center"/>
                </w:tcPr>
                <w:p>
                  <w:pPr>
                    <w:pStyle w:val="8"/>
                    <w:spacing w:before="0" w:after="0" w:line="240" w:lineRule="auto"/>
                    <w:ind w:right="0" w:firstLine="0" w:firstLineChars="0"/>
                    <w:jc w:val="center"/>
                    <w:rPr>
                      <w:b/>
                      <w:bCs/>
                      <w:color w:val="000000" w:themeColor="text1"/>
                      <w:sz w:val="21"/>
                      <w:szCs w:val="21"/>
                      <w:highlight w:val="none"/>
                    </w:rPr>
                  </w:pPr>
                  <w:r>
                    <w:rPr>
                      <w:b/>
                      <w:bCs/>
                      <w:color w:val="000000" w:themeColor="text1"/>
                      <w:sz w:val="21"/>
                      <w:szCs w:val="21"/>
                      <w:highlight w:val="none"/>
                    </w:rPr>
                    <w:t>浓度（mg/m</w:t>
                  </w:r>
                  <w:r>
                    <w:rPr>
                      <w:b/>
                      <w:bCs/>
                      <w:color w:val="000000" w:themeColor="text1"/>
                      <w:sz w:val="21"/>
                      <w:szCs w:val="21"/>
                      <w:highlight w:val="none"/>
                      <w:vertAlign w:val="superscript"/>
                    </w:rPr>
                    <w:t>3</w:t>
                  </w:r>
                  <w:r>
                    <w:rPr>
                      <w:b/>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筛分、烘干滚筒</w:t>
                  </w:r>
                </w:p>
              </w:tc>
              <w:tc>
                <w:tcPr>
                  <w:tcW w:w="465"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val="en-US" w:eastAsia="zh-CN" w:bidi="ar"/>
                    </w:rPr>
                    <w:t>预热</w:t>
                  </w:r>
                  <w:r>
                    <w:rPr>
                      <w:rFonts w:hint="eastAsia" w:ascii="宋体" w:hAnsi="宋体" w:cs="宋体"/>
                      <w:color w:val="000000" w:themeColor="text1"/>
                      <w:kern w:val="0"/>
                      <w:sz w:val="21"/>
                      <w:szCs w:val="21"/>
                      <w:highlight w:val="none"/>
                      <w:lang w:bidi="ar"/>
                    </w:rPr>
                    <w:t>筛分粉尘</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颗粒物</w:t>
                  </w:r>
                </w:p>
              </w:tc>
              <w:tc>
                <w:tcPr>
                  <w:tcW w:w="262"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DA001</w:t>
                  </w:r>
                </w:p>
              </w:tc>
              <w:tc>
                <w:tcPr>
                  <w:tcW w:w="311"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有组织</w:t>
                  </w:r>
                </w:p>
              </w:tc>
              <w:tc>
                <w:tcPr>
                  <w:tcW w:w="752" w:type="dxa"/>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18.4</w:t>
                  </w:r>
                  <w:r>
                    <w:rPr>
                      <w:rFonts w:hint="eastAsia"/>
                      <w:color w:val="000000" w:themeColor="text1"/>
                      <w:kern w:val="0"/>
                      <w:sz w:val="21"/>
                      <w:szCs w:val="21"/>
                      <w:highlight w:val="none"/>
                      <w:lang w:bidi="ar"/>
                    </w:rPr>
                    <w:t>94</w:t>
                  </w:r>
                </w:p>
              </w:tc>
              <w:tc>
                <w:tcPr>
                  <w:tcW w:w="640"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12.</w:t>
                  </w:r>
                  <w:r>
                    <w:rPr>
                      <w:rFonts w:hint="eastAsia"/>
                      <w:color w:val="000000" w:themeColor="text1"/>
                      <w:kern w:val="0"/>
                      <w:sz w:val="21"/>
                      <w:szCs w:val="21"/>
                      <w:highlight w:val="none"/>
                      <w:lang w:bidi="ar"/>
                    </w:rPr>
                    <w:t>843</w:t>
                  </w:r>
                </w:p>
              </w:tc>
              <w:tc>
                <w:tcPr>
                  <w:tcW w:w="738"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643" w:type="dxa"/>
                  <w:vMerge w:val="restar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10000</w:t>
                  </w:r>
                </w:p>
              </w:tc>
              <w:tc>
                <w:tcPr>
                  <w:tcW w:w="630"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99</w:t>
                  </w:r>
                </w:p>
              </w:tc>
              <w:tc>
                <w:tcPr>
                  <w:tcW w:w="625"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0.18</w:t>
                  </w:r>
                  <w:r>
                    <w:rPr>
                      <w:rFonts w:hint="eastAsia"/>
                      <w:color w:val="000000" w:themeColor="text1"/>
                      <w:kern w:val="0"/>
                      <w:sz w:val="21"/>
                      <w:szCs w:val="21"/>
                      <w:highlight w:val="none"/>
                      <w:lang w:bidi="ar"/>
                    </w:rPr>
                    <w:t>5</w:t>
                  </w:r>
                </w:p>
              </w:tc>
              <w:tc>
                <w:tcPr>
                  <w:tcW w:w="631"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0.128</w:t>
                  </w:r>
                </w:p>
              </w:tc>
              <w:tc>
                <w:tcPr>
                  <w:tcW w:w="737"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12.8</w:t>
                  </w:r>
                  <w:r>
                    <w:rPr>
                      <w:rFonts w:hint="eastAsia"/>
                      <w:color w:val="000000" w:themeColor="text1"/>
                      <w:kern w:val="0"/>
                      <w:sz w:val="21"/>
                      <w:szCs w:val="21"/>
                      <w:highlight w:val="none"/>
                      <w:lang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widowControl/>
                    <w:spacing w:line="240" w:lineRule="auto"/>
                    <w:ind w:firstLine="0" w:firstLineChars="0"/>
                    <w:jc w:val="center"/>
                    <w:rPr>
                      <w:color w:val="000000" w:themeColor="text1"/>
                      <w:sz w:val="21"/>
                      <w:szCs w:val="21"/>
                      <w:highlight w:val="none"/>
                    </w:rPr>
                  </w:pPr>
                </w:p>
              </w:tc>
              <w:tc>
                <w:tcPr>
                  <w:tcW w:w="465"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SO</w:t>
                  </w:r>
                  <w:r>
                    <w:rPr>
                      <w:rStyle w:val="73"/>
                      <w:color w:val="000000" w:themeColor="text1"/>
                      <w:highlight w:val="none"/>
                      <w:lang w:bidi="ar"/>
                    </w:rPr>
                    <w:t>2</w:t>
                  </w:r>
                </w:p>
              </w:tc>
              <w:tc>
                <w:tcPr>
                  <w:tcW w:w="262" w:type="pct"/>
                  <w:vMerge w:val="continue"/>
                  <w:vAlign w:val="center"/>
                </w:tcPr>
                <w:p>
                  <w:pPr>
                    <w:widowControl/>
                    <w:spacing w:line="240" w:lineRule="auto"/>
                    <w:ind w:firstLine="0" w:firstLineChars="0"/>
                    <w:jc w:val="center"/>
                    <w:rPr>
                      <w:color w:val="000000" w:themeColor="text1"/>
                      <w:sz w:val="21"/>
                      <w:szCs w:val="21"/>
                      <w:highlight w:val="none"/>
                    </w:rPr>
                  </w:pPr>
                </w:p>
              </w:tc>
              <w:tc>
                <w:tcPr>
                  <w:tcW w:w="311" w:type="pct"/>
                  <w:vMerge w:val="continue"/>
                  <w:vAlign w:val="center"/>
                </w:tcPr>
                <w:p>
                  <w:pPr>
                    <w:widowControl/>
                    <w:spacing w:line="240" w:lineRule="auto"/>
                    <w:ind w:firstLine="0" w:firstLineChars="0"/>
                    <w:jc w:val="center"/>
                    <w:rPr>
                      <w:color w:val="000000" w:themeColor="text1"/>
                      <w:sz w:val="21"/>
                      <w:szCs w:val="21"/>
                      <w:highlight w:val="none"/>
                    </w:rPr>
                  </w:pPr>
                </w:p>
              </w:tc>
              <w:tc>
                <w:tcPr>
                  <w:tcW w:w="752" w:type="dxa"/>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0.0</w:t>
                  </w:r>
                  <w:r>
                    <w:rPr>
                      <w:rFonts w:hint="eastAsia"/>
                      <w:color w:val="000000" w:themeColor="text1"/>
                      <w:kern w:val="0"/>
                      <w:sz w:val="21"/>
                      <w:szCs w:val="21"/>
                      <w:highlight w:val="none"/>
                      <w:lang w:bidi="ar"/>
                    </w:rPr>
                    <w:t>9</w:t>
                  </w:r>
                  <w:r>
                    <w:rPr>
                      <w:color w:val="000000" w:themeColor="text1"/>
                      <w:kern w:val="0"/>
                      <w:sz w:val="21"/>
                      <w:szCs w:val="21"/>
                      <w:highlight w:val="none"/>
                      <w:lang w:bidi="ar"/>
                    </w:rPr>
                    <w:t>4</w:t>
                  </w:r>
                </w:p>
              </w:tc>
              <w:tc>
                <w:tcPr>
                  <w:tcW w:w="640"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w:t>
                  </w:r>
                  <w:r>
                    <w:rPr>
                      <w:rFonts w:hint="eastAsia"/>
                      <w:color w:val="000000" w:themeColor="text1"/>
                      <w:kern w:val="0"/>
                      <w:sz w:val="21"/>
                      <w:szCs w:val="21"/>
                      <w:highlight w:val="none"/>
                      <w:lang w:bidi="ar"/>
                    </w:rPr>
                    <w:t>65</w:t>
                  </w:r>
                </w:p>
              </w:tc>
              <w:tc>
                <w:tcPr>
                  <w:tcW w:w="738"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643" w:type="dxa"/>
                  <w:vMerge w:val="continue"/>
                  <w:vAlign w:val="center"/>
                </w:tcPr>
                <w:p>
                  <w:pPr>
                    <w:widowControl/>
                    <w:spacing w:line="240" w:lineRule="auto"/>
                    <w:ind w:firstLine="0" w:firstLineChars="0"/>
                    <w:jc w:val="center"/>
                    <w:rPr>
                      <w:color w:val="000000" w:themeColor="text1"/>
                      <w:sz w:val="21"/>
                      <w:szCs w:val="21"/>
                      <w:highlight w:val="none"/>
                    </w:rPr>
                  </w:pPr>
                </w:p>
              </w:tc>
              <w:tc>
                <w:tcPr>
                  <w:tcW w:w="630"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w:t>
                  </w:r>
                </w:p>
              </w:tc>
              <w:tc>
                <w:tcPr>
                  <w:tcW w:w="625"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w:t>
                  </w:r>
                  <w:r>
                    <w:rPr>
                      <w:rFonts w:hint="eastAsia"/>
                      <w:color w:val="000000" w:themeColor="text1"/>
                      <w:kern w:val="0"/>
                      <w:sz w:val="21"/>
                      <w:szCs w:val="21"/>
                      <w:highlight w:val="none"/>
                      <w:lang w:bidi="ar"/>
                    </w:rPr>
                    <w:t>9</w:t>
                  </w:r>
                  <w:r>
                    <w:rPr>
                      <w:color w:val="000000" w:themeColor="text1"/>
                      <w:kern w:val="0"/>
                      <w:sz w:val="21"/>
                      <w:szCs w:val="21"/>
                      <w:highlight w:val="none"/>
                      <w:lang w:bidi="ar"/>
                    </w:rPr>
                    <w:t>4</w:t>
                  </w:r>
                </w:p>
              </w:tc>
              <w:tc>
                <w:tcPr>
                  <w:tcW w:w="631"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w:t>
                  </w:r>
                  <w:r>
                    <w:rPr>
                      <w:rFonts w:hint="eastAsia"/>
                      <w:color w:val="000000" w:themeColor="text1"/>
                      <w:kern w:val="0"/>
                      <w:sz w:val="21"/>
                      <w:szCs w:val="21"/>
                      <w:highlight w:val="none"/>
                      <w:lang w:bidi="ar"/>
                    </w:rPr>
                    <w:t>65</w:t>
                  </w:r>
                </w:p>
              </w:tc>
              <w:tc>
                <w:tcPr>
                  <w:tcW w:w="737" w:type="dxa"/>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kern w:val="0"/>
                      <w:sz w:val="21"/>
                      <w:szCs w:val="21"/>
                      <w:highlight w:val="none"/>
                      <w:lang w:bidi="ar"/>
                    </w:rPr>
                    <w:t>6.528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widowControl/>
                    <w:spacing w:line="240" w:lineRule="auto"/>
                    <w:ind w:firstLine="0" w:firstLineChars="0"/>
                    <w:jc w:val="center"/>
                    <w:rPr>
                      <w:color w:val="000000" w:themeColor="text1"/>
                      <w:sz w:val="21"/>
                      <w:szCs w:val="21"/>
                      <w:highlight w:val="none"/>
                    </w:rPr>
                  </w:pPr>
                </w:p>
              </w:tc>
              <w:tc>
                <w:tcPr>
                  <w:tcW w:w="465"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NOx</w:t>
                  </w:r>
                </w:p>
              </w:tc>
              <w:tc>
                <w:tcPr>
                  <w:tcW w:w="262" w:type="pct"/>
                  <w:vMerge w:val="continue"/>
                  <w:vAlign w:val="center"/>
                </w:tcPr>
                <w:p>
                  <w:pPr>
                    <w:widowControl/>
                    <w:spacing w:line="240" w:lineRule="auto"/>
                    <w:ind w:firstLine="0" w:firstLineChars="0"/>
                    <w:jc w:val="center"/>
                    <w:rPr>
                      <w:color w:val="000000" w:themeColor="text1"/>
                      <w:sz w:val="21"/>
                      <w:szCs w:val="21"/>
                      <w:highlight w:val="none"/>
                    </w:rPr>
                  </w:pPr>
                </w:p>
              </w:tc>
              <w:tc>
                <w:tcPr>
                  <w:tcW w:w="311" w:type="pct"/>
                  <w:vMerge w:val="continue"/>
                  <w:vAlign w:val="center"/>
                </w:tcPr>
                <w:p>
                  <w:pPr>
                    <w:widowControl/>
                    <w:spacing w:line="240" w:lineRule="auto"/>
                    <w:ind w:firstLine="0" w:firstLineChars="0"/>
                    <w:jc w:val="center"/>
                    <w:rPr>
                      <w:bCs/>
                      <w:color w:val="000000" w:themeColor="text1"/>
                      <w:sz w:val="21"/>
                      <w:szCs w:val="21"/>
                      <w:highlight w:val="none"/>
                    </w:rPr>
                  </w:pPr>
                </w:p>
              </w:tc>
              <w:tc>
                <w:tcPr>
                  <w:tcW w:w="752" w:type="dxa"/>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color w:val="000000" w:themeColor="text1"/>
                      <w:kern w:val="0"/>
                      <w:sz w:val="21"/>
                      <w:szCs w:val="21"/>
                      <w:highlight w:val="none"/>
                      <w:lang w:bidi="ar"/>
                    </w:rPr>
                    <w:t>1.403</w:t>
                  </w:r>
                </w:p>
              </w:tc>
              <w:tc>
                <w:tcPr>
                  <w:tcW w:w="640"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w:t>
                  </w:r>
                  <w:r>
                    <w:rPr>
                      <w:rFonts w:hint="eastAsia"/>
                      <w:color w:val="000000" w:themeColor="text1"/>
                      <w:kern w:val="0"/>
                      <w:sz w:val="21"/>
                      <w:szCs w:val="21"/>
                      <w:highlight w:val="none"/>
                      <w:lang w:bidi="ar"/>
                    </w:rPr>
                    <w:t>974</w:t>
                  </w:r>
                </w:p>
              </w:tc>
              <w:tc>
                <w:tcPr>
                  <w:tcW w:w="738"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643" w:type="dxa"/>
                  <w:vMerge w:val="continue"/>
                  <w:vAlign w:val="center"/>
                </w:tcPr>
                <w:p>
                  <w:pPr>
                    <w:widowControl/>
                    <w:spacing w:line="240" w:lineRule="auto"/>
                    <w:ind w:firstLine="0" w:firstLineChars="0"/>
                    <w:jc w:val="center"/>
                    <w:rPr>
                      <w:color w:val="000000" w:themeColor="text1"/>
                      <w:sz w:val="21"/>
                      <w:szCs w:val="21"/>
                      <w:highlight w:val="none"/>
                    </w:rPr>
                  </w:pPr>
                </w:p>
              </w:tc>
              <w:tc>
                <w:tcPr>
                  <w:tcW w:w="630"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w:t>
                  </w:r>
                </w:p>
              </w:tc>
              <w:tc>
                <w:tcPr>
                  <w:tcW w:w="625" w:type="dxa"/>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kern w:val="0"/>
                      <w:sz w:val="21"/>
                      <w:szCs w:val="21"/>
                      <w:highlight w:val="none"/>
                      <w:lang w:bidi="ar"/>
                    </w:rPr>
                    <w:t>1.403</w:t>
                  </w:r>
                </w:p>
              </w:tc>
              <w:tc>
                <w:tcPr>
                  <w:tcW w:w="631" w:type="dxa"/>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w:t>
                  </w:r>
                  <w:r>
                    <w:rPr>
                      <w:rFonts w:hint="eastAsia"/>
                      <w:color w:val="000000" w:themeColor="text1"/>
                      <w:kern w:val="0"/>
                      <w:sz w:val="21"/>
                      <w:szCs w:val="21"/>
                      <w:highlight w:val="none"/>
                      <w:lang w:bidi="ar"/>
                    </w:rPr>
                    <w:t>974</w:t>
                  </w:r>
                </w:p>
              </w:tc>
              <w:tc>
                <w:tcPr>
                  <w:tcW w:w="737" w:type="dxa"/>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kern w:val="0"/>
                      <w:sz w:val="21"/>
                      <w:szCs w:val="21"/>
                      <w:highlight w:val="none"/>
                      <w:lang w:bidi="ar"/>
                    </w:rPr>
                    <w:t>97.431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08" w:type="dxa"/>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沥青储罐</w:t>
                  </w:r>
                  <w:r>
                    <w:rPr>
                      <w:rFonts w:hint="eastAsia" w:ascii="宋体" w:hAnsi="宋体" w:cs="宋体"/>
                      <w:color w:val="000000" w:themeColor="text1"/>
                      <w:kern w:val="0"/>
                      <w:sz w:val="21"/>
                      <w:szCs w:val="21"/>
                      <w:highlight w:val="none"/>
                      <w:lang w:val="en-US" w:eastAsia="zh-CN" w:bidi="ar"/>
                    </w:rPr>
                    <w:t>及卸料池</w:t>
                  </w:r>
                  <w:r>
                    <w:rPr>
                      <w:rFonts w:hint="eastAsia" w:ascii="宋体" w:hAnsi="宋体" w:cs="宋体"/>
                      <w:color w:val="000000" w:themeColor="text1"/>
                      <w:kern w:val="0"/>
                      <w:sz w:val="21"/>
                      <w:szCs w:val="21"/>
                      <w:highlight w:val="none"/>
                      <w:lang w:bidi="ar"/>
                    </w:rPr>
                    <w:t>呼吸、</w:t>
                  </w:r>
                  <w:r>
                    <w:rPr>
                      <w:rFonts w:hint="eastAsia" w:ascii="宋体" w:hAnsi="宋体" w:cs="宋体"/>
                      <w:color w:val="000000" w:themeColor="text1"/>
                      <w:kern w:val="0"/>
                      <w:sz w:val="21"/>
                      <w:szCs w:val="21"/>
                      <w:highlight w:val="none"/>
                      <w:lang w:val="en-US" w:eastAsia="zh-CN" w:bidi="ar"/>
                    </w:rPr>
                    <w:t>搅拌机</w:t>
                  </w:r>
                  <w:r>
                    <w:rPr>
                      <w:rFonts w:hint="eastAsia" w:ascii="宋体" w:hAnsi="宋体" w:cs="宋体"/>
                      <w:color w:val="000000" w:themeColor="text1"/>
                      <w:kern w:val="0"/>
                      <w:sz w:val="21"/>
                      <w:szCs w:val="21"/>
                      <w:highlight w:val="none"/>
                      <w:lang w:bidi="ar"/>
                    </w:rPr>
                    <w:t>呼吸口及卸料口</w:t>
                  </w:r>
                </w:p>
              </w:tc>
              <w:tc>
                <w:tcPr>
                  <w:tcW w:w="779" w:type="dxa"/>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沥青罐</w:t>
                  </w:r>
                  <w:r>
                    <w:rPr>
                      <w:rFonts w:hint="eastAsia" w:ascii="宋体" w:hAnsi="宋体" w:cs="宋体"/>
                      <w:color w:val="000000" w:themeColor="text1"/>
                      <w:kern w:val="0"/>
                      <w:sz w:val="21"/>
                      <w:szCs w:val="21"/>
                      <w:highlight w:val="none"/>
                      <w:lang w:val="en-US" w:eastAsia="zh-CN" w:bidi="ar"/>
                    </w:rPr>
                    <w:t>及卸料池</w:t>
                  </w:r>
                  <w:r>
                    <w:rPr>
                      <w:rFonts w:hint="eastAsia" w:ascii="宋体" w:hAnsi="宋体" w:cs="宋体"/>
                      <w:color w:val="000000" w:themeColor="text1"/>
                      <w:kern w:val="0"/>
                      <w:sz w:val="21"/>
                      <w:szCs w:val="21"/>
                      <w:highlight w:val="none"/>
                      <w:lang w:bidi="ar"/>
                    </w:rPr>
                    <w:t>呼吸</w:t>
                  </w:r>
                  <w:r>
                    <w:rPr>
                      <w:rFonts w:hint="eastAsia" w:ascii="宋体" w:hAnsi="宋体" w:cs="宋体"/>
                      <w:color w:val="000000" w:themeColor="text1"/>
                      <w:kern w:val="0"/>
                      <w:sz w:val="21"/>
                      <w:szCs w:val="21"/>
                      <w:highlight w:val="none"/>
                      <w:lang w:val="en-US" w:eastAsia="zh-CN" w:bidi="ar"/>
                    </w:rPr>
                    <w:t>口</w:t>
                  </w:r>
                  <w:r>
                    <w:rPr>
                      <w:rFonts w:hint="eastAsia" w:ascii="宋体" w:hAnsi="宋体" w:cs="宋体"/>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val="en-US" w:eastAsia="zh-CN" w:bidi="ar"/>
                    </w:rPr>
                    <w:t>搅拌机</w:t>
                  </w:r>
                  <w:r>
                    <w:rPr>
                      <w:rFonts w:hint="eastAsia" w:ascii="宋体" w:hAnsi="宋体" w:cs="宋体"/>
                      <w:color w:val="000000" w:themeColor="text1"/>
                      <w:kern w:val="0"/>
                      <w:sz w:val="21"/>
                      <w:szCs w:val="21"/>
                      <w:highlight w:val="none"/>
                      <w:lang w:bidi="ar"/>
                    </w:rPr>
                    <w:t>呼吸口及卸料口废气</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沥青烟</w:t>
                  </w:r>
                </w:p>
              </w:tc>
              <w:tc>
                <w:tcPr>
                  <w:tcW w:w="262"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DA002</w:t>
                  </w:r>
                </w:p>
              </w:tc>
              <w:tc>
                <w:tcPr>
                  <w:tcW w:w="311" w:type="pct"/>
                  <w:vMerge w:val="restar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有组织</w:t>
                  </w:r>
                </w:p>
              </w:tc>
              <w:tc>
                <w:tcPr>
                  <w:tcW w:w="449"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0.280</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5000</w:t>
                  </w:r>
                </w:p>
              </w:tc>
              <w:tc>
                <w:tcPr>
                  <w:tcW w:w="376"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96</w:t>
                  </w:r>
                </w:p>
              </w:tc>
              <w:tc>
                <w:tcPr>
                  <w:tcW w:w="373"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0.010</w:t>
                  </w:r>
                </w:p>
              </w:tc>
              <w:tc>
                <w:tcPr>
                  <w:tcW w:w="377"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0.0063</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widowControl/>
                    <w:spacing w:line="240" w:lineRule="auto"/>
                    <w:ind w:firstLine="0" w:firstLineChars="0"/>
                    <w:jc w:val="center"/>
                    <w:rPr>
                      <w:color w:val="000000" w:themeColor="text1"/>
                      <w:sz w:val="21"/>
                      <w:szCs w:val="21"/>
                      <w:highlight w:val="none"/>
                    </w:rPr>
                  </w:pPr>
                </w:p>
              </w:tc>
              <w:tc>
                <w:tcPr>
                  <w:tcW w:w="465"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苯并</w:t>
                  </w:r>
                  <w:r>
                    <w:rPr>
                      <w:color w:val="000000" w:themeColor="text1"/>
                      <w:kern w:val="0"/>
                      <w:sz w:val="21"/>
                      <w:szCs w:val="21"/>
                      <w:highlight w:val="none"/>
                      <w:lang w:bidi="ar"/>
                    </w:rPr>
                    <w:t>[a]</w:t>
                  </w:r>
                  <w:r>
                    <w:rPr>
                      <w:rFonts w:hint="eastAsia" w:ascii="宋体" w:hAnsi="宋体" w:cs="宋体"/>
                      <w:color w:val="000000" w:themeColor="text1"/>
                      <w:kern w:val="0"/>
                      <w:sz w:val="21"/>
                      <w:szCs w:val="21"/>
                      <w:highlight w:val="none"/>
                      <w:lang w:bidi="ar"/>
                    </w:rPr>
                    <w:t>芘</w:t>
                  </w:r>
                </w:p>
              </w:tc>
              <w:tc>
                <w:tcPr>
                  <w:tcW w:w="262" w:type="pct"/>
                  <w:vMerge w:val="continue"/>
                  <w:vAlign w:val="center"/>
                </w:tcPr>
                <w:p>
                  <w:pPr>
                    <w:widowControl/>
                    <w:spacing w:line="240" w:lineRule="auto"/>
                    <w:ind w:firstLine="0" w:firstLineChars="0"/>
                    <w:jc w:val="center"/>
                    <w:rPr>
                      <w:color w:val="000000" w:themeColor="text1"/>
                      <w:sz w:val="21"/>
                      <w:szCs w:val="21"/>
                      <w:highlight w:val="none"/>
                    </w:rPr>
                  </w:pPr>
                </w:p>
              </w:tc>
              <w:tc>
                <w:tcPr>
                  <w:tcW w:w="311" w:type="pct"/>
                  <w:vMerge w:val="continue"/>
                  <w:vAlign w:val="center"/>
                </w:tcPr>
                <w:p>
                  <w:pPr>
                    <w:widowControl/>
                    <w:spacing w:line="240" w:lineRule="auto"/>
                    <w:ind w:firstLine="0" w:firstLineChars="0"/>
                    <w:jc w:val="center"/>
                    <w:rPr>
                      <w:color w:val="000000" w:themeColor="text1"/>
                      <w:sz w:val="21"/>
                      <w:szCs w:val="21"/>
                      <w:highlight w:val="none"/>
                    </w:rPr>
                  </w:pPr>
                </w:p>
              </w:tc>
              <w:tc>
                <w:tcPr>
                  <w:tcW w:w="449" w:type="pct"/>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color w:val="000000" w:themeColor="text1"/>
                      <w:kern w:val="0"/>
                      <w:sz w:val="21"/>
                      <w:szCs w:val="21"/>
                      <w:highlight w:val="none"/>
                      <w:lang w:bidi="ar"/>
                    </w:rPr>
                    <w:t>4.22×</w:t>
                  </w:r>
                </w:p>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10</w:t>
                  </w:r>
                  <w:r>
                    <w:rPr>
                      <w:color w:val="000000" w:themeColor="text1"/>
                      <w:kern w:val="0"/>
                      <w:sz w:val="21"/>
                      <w:szCs w:val="21"/>
                      <w:highlight w:val="none"/>
                      <w:vertAlign w:val="superscript"/>
                      <w:lang w:bidi="ar"/>
                    </w:rPr>
                    <w:t>-6</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76"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1.52</w:t>
                  </w:r>
                  <w:r>
                    <w:rPr>
                      <w:rFonts w:hint="eastAsia" w:ascii="宋体" w:hAnsi="宋体" w:cs="宋体"/>
                      <w:color w:val="000000" w:themeColor="text1"/>
                      <w:kern w:val="0"/>
                      <w:sz w:val="21"/>
                      <w:szCs w:val="21"/>
                      <w:highlight w:val="none"/>
                      <w:lang w:bidi="ar"/>
                    </w:rPr>
                    <w:t>×</w:t>
                  </w:r>
                  <w:r>
                    <w:rPr>
                      <w:color w:val="000000" w:themeColor="text1"/>
                      <w:kern w:val="0"/>
                      <w:sz w:val="21"/>
                      <w:szCs w:val="21"/>
                      <w:highlight w:val="none"/>
                      <w:lang w:bidi="ar"/>
                    </w:rPr>
                    <w:t>10</w:t>
                  </w:r>
                  <w:r>
                    <w:rPr>
                      <w:rFonts w:hint="eastAsia" w:ascii="宋体" w:hAnsi="宋体" w:cs="宋体"/>
                      <w:color w:val="000000" w:themeColor="text1"/>
                      <w:kern w:val="0"/>
                      <w:sz w:val="21"/>
                      <w:szCs w:val="21"/>
                      <w:highlight w:val="none"/>
                      <w:vertAlign w:val="superscript"/>
                      <w:lang w:bidi="ar"/>
                    </w:rPr>
                    <w:t>-7</w:t>
                  </w:r>
                </w:p>
              </w:tc>
              <w:tc>
                <w:tcPr>
                  <w:tcW w:w="377" w:type="pct"/>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color w:val="000000" w:themeColor="text1"/>
                      <w:kern w:val="0"/>
                      <w:sz w:val="21"/>
                      <w:szCs w:val="21"/>
                      <w:highlight w:val="none"/>
                      <w:lang w:bidi="ar"/>
                    </w:rPr>
                    <w:t>9.50×</w:t>
                  </w:r>
                </w:p>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10</w:t>
                  </w:r>
                  <w:r>
                    <w:rPr>
                      <w:color w:val="000000" w:themeColor="text1"/>
                      <w:kern w:val="0"/>
                      <w:sz w:val="21"/>
                      <w:szCs w:val="21"/>
                      <w:highlight w:val="none"/>
                      <w:vertAlign w:val="superscript"/>
                      <w:lang w:bidi="ar"/>
                    </w:rPr>
                    <w:t>-8</w:t>
                  </w:r>
                </w:p>
              </w:tc>
              <w:tc>
                <w:tcPr>
                  <w:tcW w:w="440" w:type="pct"/>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color w:val="000000" w:themeColor="text1"/>
                      <w:kern w:val="0"/>
                      <w:sz w:val="21"/>
                      <w:szCs w:val="21"/>
                      <w:highlight w:val="none"/>
                      <w:lang w:bidi="ar"/>
                    </w:rPr>
                    <w:t>1.90×</w:t>
                  </w:r>
                </w:p>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10</w:t>
                  </w:r>
                  <w:r>
                    <w:rPr>
                      <w:color w:val="000000" w:themeColor="text1"/>
                      <w:kern w:val="0"/>
                      <w:sz w:val="21"/>
                      <w:szCs w:val="21"/>
                      <w:highlight w:val="none"/>
                      <w:vertAlign w:val="superscript"/>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widowControl/>
                    <w:spacing w:line="240" w:lineRule="auto"/>
                    <w:ind w:firstLine="0" w:firstLineChars="0"/>
                    <w:jc w:val="center"/>
                    <w:rPr>
                      <w:color w:val="000000" w:themeColor="text1"/>
                      <w:sz w:val="21"/>
                      <w:szCs w:val="21"/>
                      <w:highlight w:val="none"/>
                    </w:rPr>
                  </w:pPr>
                </w:p>
              </w:tc>
              <w:tc>
                <w:tcPr>
                  <w:tcW w:w="465"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非甲烷总烃</w:t>
                  </w:r>
                </w:p>
              </w:tc>
              <w:tc>
                <w:tcPr>
                  <w:tcW w:w="262" w:type="pct"/>
                  <w:vMerge w:val="continue"/>
                  <w:vAlign w:val="center"/>
                </w:tcPr>
                <w:p>
                  <w:pPr>
                    <w:widowControl/>
                    <w:spacing w:line="240" w:lineRule="auto"/>
                    <w:ind w:firstLine="0" w:firstLineChars="0"/>
                    <w:jc w:val="center"/>
                    <w:rPr>
                      <w:color w:val="000000" w:themeColor="text1"/>
                      <w:sz w:val="21"/>
                      <w:szCs w:val="21"/>
                      <w:highlight w:val="none"/>
                    </w:rPr>
                  </w:pPr>
                </w:p>
              </w:tc>
              <w:tc>
                <w:tcPr>
                  <w:tcW w:w="311" w:type="pct"/>
                  <w:vMerge w:val="continue"/>
                  <w:vAlign w:val="center"/>
                </w:tcPr>
                <w:p>
                  <w:pPr>
                    <w:widowControl/>
                    <w:spacing w:line="240" w:lineRule="auto"/>
                    <w:ind w:firstLine="0" w:firstLineChars="0"/>
                    <w:jc w:val="center"/>
                    <w:rPr>
                      <w:color w:val="000000" w:themeColor="text1"/>
                      <w:sz w:val="21"/>
                      <w:szCs w:val="21"/>
                      <w:highlight w:val="none"/>
                    </w:rPr>
                  </w:pPr>
                </w:p>
              </w:tc>
              <w:tc>
                <w:tcPr>
                  <w:tcW w:w="449"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0.013</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76"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0.00047</w:t>
                  </w:r>
                </w:p>
              </w:tc>
              <w:tc>
                <w:tcPr>
                  <w:tcW w:w="377"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0.0003</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widowControl/>
                    <w:spacing w:line="240" w:lineRule="auto"/>
                    <w:ind w:firstLine="0" w:firstLineChars="0"/>
                    <w:jc w:val="center"/>
                    <w:rPr>
                      <w:color w:val="000000" w:themeColor="text1"/>
                      <w:sz w:val="21"/>
                      <w:szCs w:val="21"/>
                      <w:highlight w:val="none"/>
                    </w:rPr>
                  </w:pPr>
                </w:p>
              </w:tc>
              <w:tc>
                <w:tcPr>
                  <w:tcW w:w="465"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颗粒物</w:t>
                  </w:r>
                </w:p>
              </w:tc>
              <w:tc>
                <w:tcPr>
                  <w:tcW w:w="262" w:type="pct"/>
                  <w:vMerge w:val="continue"/>
                  <w:vAlign w:val="center"/>
                </w:tcPr>
                <w:p>
                  <w:pPr>
                    <w:widowControl/>
                    <w:spacing w:line="240" w:lineRule="auto"/>
                    <w:ind w:firstLine="0" w:firstLineChars="0"/>
                    <w:jc w:val="center"/>
                    <w:rPr>
                      <w:color w:val="000000" w:themeColor="text1"/>
                      <w:sz w:val="21"/>
                      <w:szCs w:val="21"/>
                      <w:highlight w:val="none"/>
                    </w:rPr>
                  </w:pPr>
                </w:p>
              </w:tc>
              <w:tc>
                <w:tcPr>
                  <w:tcW w:w="311" w:type="pct"/>
                  <w:vMerge w:val="continue"/>
                  <w:vAlign w:val="center"/>
                </w:tcPr>
                <w:p>
                  <w:pPr>
                    <w:widowControl/>
                    <w:spacing w:line="240" w:lineRule="auto"/>
                    <w:ind w:firstLine="0" w:firstLineChars="0"/>
                    <w:jc w:val="center"/>
                    <w:rPr>
                      <w:color w:val="000000" w:themeColor="text1"/>
                      <w:sz w:val="21"/>
                      <w:szCs w:val="21"/>
                      <w:highlight w:val="none"/>
                    </w:rPr>
                  </w:pPr>
                </w:p>
              </w:tc>
              <w:tc>
                <w:tcPr>
                  <w:tcW w:w="449"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19</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13.19</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76"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99</w:t>
                  </w:r>
                </w:p>
              </w:tc>
              <w:tc>
                <w:tcPr>
                  <w:tcW w:w="373"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0.19</w:t>
                  </w:r>
                </w:p>
              </w:tc>
              <w:tc>
                <w:tcPr>
                  <w:tcW w:w="377"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0.13</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导热油炉</w:t>
                  </w:r>
                </w:p>
              </w:tc>
              <w:tc>
                <w:tcPr>
                  <w:tcW w:w="465"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导热油炉废气</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SO</w:t>
                  </w:r>
                  <w:r>
                    <w:rPr>
                      <w:rStyle w:val="73"/>
                      <w:color w:val="000000" w:themeColor="text1"/>
                      <w:highlight w:val="none"/>
                      <w:lang w:bidi="ar"/>
                    </w:rPr>
                    <w:t>2</w:t>
                  </w:r>
                </w:p>
              </w:tc>
              <w:tc>
                <w:tcPr>
                  <w:tcW w:w="262"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DA003</w:t>
                  </w:r>
                </w:p>
              </w:tc>
              <w:tc>
                <w:tcPr>
                  <w:tcW w:w="311"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有组织</w:t>
                  </w:r>
                </w:p>
              </w:tc>
              <w:tc>
                <w:tcPr>
                  <w:tcW w:w="449"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0.008</w:t>
                  </w:r>
                </w:p>
              </w:tc>
              <w:tc>
                <w:tcPr>
                  <w:tcW w:w="382"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0.0037</w:t>
                  </w:r>
                </w:p>
              </w:tc>
              <w:tc>
                <w:tcPr>
                  <w:tcW w:w="440"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3.71</w:t>
                  </w:r>
                </w:p>
              </w:tc>
              <w:tc>
                <w:tcPr>
                  <w:tcW w:w="384"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kern w:val="0"/>
                      <w:sz w:val="21"/>
                      <w:szCs w:val="21"/>
                      <w:highlight w:val="none"/>
                      <w:lang w:bidi="ar"/>
                    </w:rPr>
                    <w:t>998</w:t>
                  </w:r>
                </w:p>
              </w:tc>
              <w:tc>
                <w:tcPr>
                  <w:tcW w:w="376"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w:t>
                  </w:r>
                </w:p>
              </w:tc>
              <w:tc>
                <w:tcPr>
                  <w:tcW w:w="373"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0.008</w:t>
                  </w:r>
                </w:p>
              </w:tc>
              <w:tc>
                <w:tcPr>
                  <w:tcW w:w="377"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0.0037</w:t>
                  </w:r>
                </w:p>
              </w:tc>
              <w:tc>
                <w:tcPr>
                  <w:tcW w:w="440"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widowControl/>
                    <w:spacing w:line="240" w:lineRule="auto"/>
                    <w:ind w:firstLine="0" w:firstLineChars="0"/>
                    <w:jc w:val="center"/>
                    <w:rPr>
                      <w:color w:val="000000" w:themeColor="text1"/>
                      <w:sz w:val="21"/>
                      <w:szCs w:val="21"/>
                      <w:highlight w:val="none"/>
                    </w:rPr>
                  </w:pPr>
                </w:p>
              </w:tc>
              <w:tc>
                <w:tcPr>
                  <w:tcW w:w="465"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NO</w:t>
                  </w:r>
                  <w:r>
                    <w:rPr>
                      <w:rStyle w:val="73"/>
                      <w:color w:val="000000" w:themeColor="text1"/>
                      <w:highlight w:val="none"/>
                      <w:lang w:bidi="ar"/>
                    </w:rPr>
                    <w:t>X</w:t>
                  </w:r>
                </w:p>
              </w:tc>
              <w:tc>
                <w:tcPr>
                  <w:tcW w:w="262" w:type="pct"/>
                  <w:vMerge w:val="continue"/>
                  <w:vAlign w:val="center"/>
                </w:tcPr>
                <w:p>
                  <w:pPr>
                    <w:widowControl/>
                    <w:spacing w:line="240" w:lineRule="auto"/>
                    <w:ind w:firstLine="0" w:firstLineChars="0"/>
                    <w:jc w:val="center"/>
                    <w:rPr>
                      <w:color w:val="000000" w:themeColor="text1"/>
                      <w:sz w:val="21"/>
                      <w:szCs w:val="21"/>
                      <w:highlight w:val="none"/>
                    </w:rPr>
                  </w:pPr>
                </w:p>
              </w:tc>
              <w:tc>
                <w:tcPr>
                  <w:tcW w:w="311" w:type="pct"/>
                  <w:vMerge w:val="continue"/>
                  <w:vAlign w:val="center"/>
                </w:tcPr>
                <w:p>
                  <w:pPr>
                    <w:widowControl/>
                    <w:spacing w:line="240" w:lineRule="auto"/>
                    <w:ind w:firstLine="0" w:firstLineChars="0"/>
                    <w:jc w:val="center"/>
                    <w:rPr>
                      <w:color w:val="000000" w:themeColor="text1"/>
                      <w:sz w:val="21"/>
                      <w:szCs w:val="21"/>
                      <w:highlight w:val="none"/>
                    </w:rPr>
                  </w:pPr>
                </w:p>
              </w:tc>
              <w:tc>
                <w:tcPr>
                  <w:tcW w:w="449"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0.061</w:t>
                  </w:r>
                </w:p>
              </w:tc>
              <w:tc>
                <w:tcPr>
                  <w:tcW w:w="382"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0.0282</w:t>
                  </w:r>
                </w:p>
              </w:tc>
              <w:tc>
                <w:tcPr>
                  <w:tcW w:w="440"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28.3</w:t>
                  </w:r>
                </w:p>
              </w:tc>
              <w:tc>
                <w:tcPr>
                  <w:tcW w:w="3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76"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0.061</w:t>
                  </w:r>
                </w:p>
              </w:tc>
              <w:tc>
                <w:tcPr>
                  <w:tcW w:w="377"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0.0282</w:t>
                  </w:r>
                </w:p>
              </w:tc>
              <w:tc>
                <w:tcPr>
                  <w:tcW w:w="440"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widowControl/>
                    <w:spacing w:line="240" w:lineRule="auto"/>
                    <w:ind w:firstLine="0" w:firstLineChars="0"/>
                    <w:jc w:val="center"/>
                    <w:rPr>
                      <w:color w:val="000000" w:themeColor="text1"/>
                      <w:sz w:val="21"/>
                      <w:szCs w:val="21"/>
                      <w:highlight w:val="none"/>
                    </w:rPr>
                  </w:pPr>
                </w:p>
              </w:tc>
              <w:tc>
                <w:tcPr>
                  <w:tcW w:w="465"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烟尘</w:t>
                  </w:r>
                </w:p>
              </w:tc>
              <w:tc>
                <w:tcPr>
                  <w:tcW w:w="262" w:type="pct"/>
                  <w:vMerge w:val="continue"/>
                  <w:vAlign w:val="center"/>
                </w:tcPr>
                <w:p>
                  <w:pPr>
                    <w:widowControl/>
                    <w:spacing w:line="240" w:lineRule="auto"/>
                    <w:ind w:firstLine="0" w:firstLineChars="0"/>
                    <w:jc w:val="center"/>
                    <w:rPr>
                      <w:color w:val="000000" w:themeColor="text1"/>
                      <w:sz w:val="21"/>
                      <w:szCs w:val="21"/>
                      <w:highlight w:val="none"/>
                    </w:rPr>
                  </w:pPr>
                </w:p>
              </w:tc>
              <w:tc>
                <w:tcPr>
                  <w:tcW w:w="311" w:type="pct"/>
                  <w:vMerge w:val="continue"/>
                  <w:vAlign w:val="center"/>
                </w:tcPr>
                <w:p>
                  <w:pPr>
                    <w:widowControl/>
                    <w:spacing w:line="240" w:lineRule="auto"/>
                    <w:ind w:firstLine="0" w:firstLineChars="0"/>
                    <w:jc w:val="center"/>
                    <w:rPr>
                      <w:color w:val="000000" w:themeColor="text1"/>
                      <w:sz w:val="21"/>
                      <w:szCs w:val="21"/>
                      <w:highlight w:val="none"/>
                    </w:rPr>
                  </w:pPr>
                </w:p>
              </w:tc>
              <w:tc>
                <w:tcPr>
                  <w:tcW w:w="449"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0.009</w:t>
                  </w:r>
                </w:p>
              </w:tc>
              <w:tc>
                <w:tcPr>
                  <w:tcW w:w="382"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0.0042</w:t>
                  </w:r>
                </w:p>
              </w:tc>
              <w:tc>
                <w:tcPr>
                  <w:tcW w:w="440"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4.18</w:t>
                  </w:r>
                </w:p>
              </w:tc>
              <w:tc>
                <w:tcPr>
                  <w:tcW w:w="384" w:type="pct"/>
                  <w:vMerge w:val="continue"/>
                  <w:vAlign w:val="center"/>
                </w:tcPr>
                <w:p>
                  <w:pPr>
                    <w:widowControl/>
                    <w:spacing w:line="240" w:lineRule="auto"/>
                    <w:ind w:firstLine="0" w:firstLineChars="0"/>
                    <w:jc w:val="center"/>
                    <w:rPr>
                      <w:color w:val="000000" w:themeColor="text1"/>
                      <w:sz w:val="21"/>
                      <w:szCs w:val="21"/>
                      <w:highlight w:val="none"/>
                    </w:rPr>
                  </w:pPr>
                </w:p>
              </w:tc>
              <w:tc>
                <w:tcPr>
                  <w:tcW w:w="376"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0.009</w:t>
                  </w:r>
                </w:p>
              </w:tc>
              <w:tc>
                <w:tcPr>
                  <w:tcW w:w="377"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0.0042</w:t>
                  </w:r>
                </w:p>
              </w:tc>
              <w:tc>
                <w:tcPr>
                  <w:tcW w:w="440" w:type="pct"/>
                  <w:vAlign w:val="center"/>
                </w:tcPr>
                <w:p>
                  <w:pPr>
                    <w:widowControl/>
                    <w:spacing w:line="240" w:lineRule="auto"/>
                    <w:ind w:firstLine="0" w:firstLineChars="0"/>
                    <w:jc w:val="center"/>
                    <w:textAlignment w:val="center"/>
                    <w:rPr>
                      <w:color w:val="000000" w:themeColor="text1"/>
                      <w:kern w:val="0"/>
                      <w:sz w:val="21"/>
                      <w:szCs w:val="21"/>
                      <w:highlight w:val="none"/>
                    </w:rPr>
                  </w:pPr>
                  <w:r>
                    <w:rPr>
                      <w:color w:val="000000" w:themeColor="text1"/>
                      <w:kern w:val="0"/>
                      <w:sz w:val="21"/>
                      <w:szCs w:val="21"/>
                      <w:highlight w:val="none"/>
                      <w:lang w:bidi="ar"/>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矿粉筒仓</w:t>
                  </w:r>
                </w:p>
              </w:tc>
              <w:tc>
                <w:tcPr>
                  <w:tcW w:w="465"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筒仓废气</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颗粒物</w:t>
                  </w:r>
                </w:p>
              </w:tc>
              <w:tc>
                <w:tcPr>
                  <w:tcW w:w="262"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DA004</w:t>
                  </w:r>
                </w:p>
              </w:tc>
              <w:tc>
                <w:tcPr>
                  <w:tcW w:w="311"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有组织</w:t>
                  </w:r>
                </w:p>
              </w:tc>
              <w:tc>
                <w:tcPr>
                  <w:tcW w:w="449"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6.27</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4543.48</w:t>
                  </w:r>
                </w:p>
              </w:tc>
              <w:tc>
                <w:tcPr>
                  <w:tcW w:w="384"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kern w:val="0"/>
                      <w:sz w:val="21"/>
                      <w:szCs w:val="21"/>
                      <w:highlight w:val="none"/>
                      <w:lang w:bidi="ar"/>
                    </w:rPr>
                    <w:t>24468</w:t>
                  </w:r>
                </w:p>
              </w:tc>
              <w:tc>
                <w:tcPr>
                  <w:tcW w:w="376"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99</w:t>
                  </w:r>
                </w:p>
              </w:tc>
              <w:tc>
                <w:tcPr>
                  <w:tcW w:w="373"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0.063</w:t>
                  </w:r>
                </w:p>
              </w:tc>
              <w:tc>
                <w:tcPr>
                  <w:tcW w:w="377"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w:t>
                  </w:r>
                  <w:r>
                    <w:rPr>
                      <w:rFonts w:hint="eastAsia"/>
                      <w:color w:val="000000" w:themeColor="text1"/>
                      <w:kern w:val="0"/>
                      <w:sz w:val="21"/>
                      <w:szCs w:val="21"/>
                      <w:highlight w:val="none"/>
                      <w:lang w:bidi="ar"/>
                    </w:rPr>
                    <w:t>.</w:t>
                  </w:r>
                  <w:r>
                    <w:rPr>
                      <w:color w:val="000000" w:themeColor="text1"/>
                      <w:kern w:val="0"/>
                      <w:sz w:val="21"/>
                      <w:szCs w:val="21"/>
                      <w:highlight w:val="none"/>
                      <w:lang w:bidi="ar"/>
                    </w:rPr>
                    <w:t>1</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color w:val="000000" w:themeColor="text1"/>
                      <w:kern w:val="0"/>
                      <w:sz w:val="21"/>
                      <w:szCs w:val="21"/>
                      <w:highlight w:val="none"/>
                      <w:lang w:bidi="ar"/>
                    </w:rPr>
                    <w:t>45.43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原料库</w:t>
                  </w:r>
                </w:p>
              </w:tc>
              <w:tc>
                <w:tcPr>
                  <w:tcW w:w="465"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原料库扬尘</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颗粒物</w:t>
                  </w:r>
                </w:p>
              </w:tc>
              <w:tc>
                <w:tcPr>
                  <w:tcW w:w="26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MF001</w:t>
                  </w:r>
                </w:p>
              </w:tc>
              <w:tc>
                <w:tcPr>
                  <w:tcW w:w="311"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无组织</w:t>
                  </w:r>
                </w:p>
              </w:tc>
              <w:tc>
                <w:tcPr>
                  <w:tcW w:w="449"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1.84</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76"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90</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0.184</w:t>
                  </w:r>
                </w:p>
              </w:tc>
              <w:tc>
                <w:tcPr>
                  <w:tcW w:w="377"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0.085</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入料仓</w:t>
                  </w:r>
                </w:p>
              </w:tc>
              <w:tc>
                <w:tcPr>
                  <w:tcW w:w="465"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入料仓废气</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颗粒物</w:t>
                  </w:r>
                </w:p>
              </w:tc>
              <w:tc>
                <w:tcPr>
                  <w:tcW w:w="26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MF002</w:t>
                  </w:r>
                </w:p>
              </w:tc>
              <w:tc>
                <w:tcPr>
                  <w:tcW w:w="311"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无组织</w:t>
                  </w:r>
                </w:p>
              </w:tc>
              <w:tc>
                <w:tcPr>
                  <w:tcW w:w="449"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0.064</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76"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90</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0.0064</w:t>
                  </w:r>
                </w:p>
              </w:tc>
              <w:tc>
                <w:tcPr>
                  <w:tcW w:w="377"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0.003</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08" w:type="dxa"/>
                  <w:vMerge w:val="restar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沥青储罐</w:t>
                  </w:r>
                  <w:r>
                    <w:rPr>
                      <w:rFonts w:hint="eastAsia" w:ascii="宋体" w:hAnsi="宋体" w:cs="宋体"/>
                      <w:color w:val="000000" w:themeColor="text1"/>
                      <w:kern w:val="0"/>
                      <w:sz w:val="21"/>
                      <w:szCs w:val="21"/>
                      <w:highlight w:val="none"/>
                      <w:lang w:val="en-US" w:eastAsia="zh-CN" w:bidi="ar"/>
                    </w:rPr>
                    <w:t>及卸料池</w:t>
                  </w:r>
                  <w:r>
                    <w:rPr>
                      <w:rFonts w:hint="eastAsia" w:ascii="宋体" w:hAnsi="宋体" w:cs="宋体"/>
                      <w:color w:val="000000" w:themeColor="text1"/>
                      <w:kern w:val="0"/>
                      <w:sz w:val="21"/>
                      <w:szCs w:val="21"/>
                      <w:highlight w:val="none"/>
                      <w:lang w:bidi="ar"/>
                    </w:rPr>
                    <w:t>呼吸、</w:t>
                  </w:r>
                  <w:r>
                    <w:rPr>
                      <w:rFonts w:hint="eastAsia" w:ascii="宋体" w:hAnsi="宋体" w:cs="宋体"/>
                      <w:color w:val="000000" w:themeColor="text1"/>
                      <w:kern w:val="0"/>
                      <w:sz w:val="21"/>
                      <w:szCs w:val="21"/>
                      <w:highlight w:val="none"/>
                      <w:lang w:val="en-US" w:eastAsia="zh-CN" w:bidi="ar"/>
                    </w:rPr>
                    <w:t>搅拌机</w:t>
                  </w:r>
                  <w:r>
                    <w:rPr>
                      <w:rFonts w:hint="eastAsia" w:ascii="宋体" w:hAnsi="宋体" w:cs="宋体"/>
                      <w:color w:val="000000" w:themeColor="text1"/>
                      <w:kern w:val="0"/>
                      <w:sz w:val="21"/>
                      <w:szCs w:val="21"/>
                      <w:highlight w:val="none"/>
                      <w:lang w:bidi="ar"/>
                    </w:rPr>
                    <w:t>呼吸口及卸料口</w:t>
                  </w:r>
                </w:p>
              </w:tc>
              <w:tc>
                <w:tcPr>
                  <w:tcW w:w="779" w:type="dxa"/>
                  <w:vMerge w:val="restar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沥青罐</w:t>
                  </w:r>
                  <w:r>
                    <w:rPr>
                      <w:rFonts w:hint="eastAsia" w:ascii="宋体" w:hAnsi="宋体" w:cs="宋体"/>
                      <w:color w:val="000000" w:themeColor="text1"/>
                      <w:kern w:val="0"/>
                      <w:sz w:val="21"/>
                      <w:szCs w:val="21"/>
                      <w:highlight w:val="none"/>
                      <w:lang w:val="en-US" w:eastAsia="zh-CN" w:bidi="ar"/>
                    </w:rPr>
                    <w:t>及卸料池</w:t>
                  </w:r>
                  <w:r>
                    <w:rPr>
                      <w:rFonts w:hint="eastAsia" w:ascii="宋体" w:hAnsi="宋体" w:cs="宋体"/>
                      <w:color w:val="000000" w:themeColor="text1"/>
                      <w:kern w:val="0"/>
                      <w:sz w:val="21"/>
                      <w:szCs w:val="21"/>
                      <w:highlight w:val="none"/>
                      <w:lang w:bidi="ar"/>
                    </w:rPr>
                    <w:t>呼吸</w:t>
                  </w:r>
                  <w:r>
                    <w:rPr>
                      <w:rFonts w:hint="eastAsia" w:ascii="宋体" w:hAnsi="宋体" w:cs="宋体"/>
                      <w:color w:val="000000" w:themeColor="text1"/>
                      <w:kern w:val="0"/>
                      <w:sz w:val="21"/>
                      <w:szCs w:val="21"/>
                      <w:highlight w:val="none"/>
                      <w:lang w:val="en-US" w:eastAsia="zh-CN" w:bidi="ar"/>
                    </w:rPr>
                    <w:t>口</w:t>
                  </w:r>
                  <w:r>
                    <w:rPr>
                      <w:rFonts w:hint="eastAsia" w:ascii="宋体" w:hAnsi="宋体" w:cs="宋体"/>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val="en-US" w:eastAsia="zh-CN" w:bidi="ar"/>
                    </w:rPr>
                    <w:t>搅拌机</w:t>
                  </w:r>
                  <w:r>
                    <w:rPr>
                      <w:rFonts w:hint="eastAsia" w:ascii="宋体" w:hAnsi="宋体" w:cs="宋体"/>
                      <w:color w:val="000000" w:themeColor="text1"/>
                      <w:kern w:val="0"/>
                      <w:sz w:val="21"/>
                      <w:szCs w:val="21"/>
                      <w:highlight w:val="none"/>
                      <w:lang w:bidi="ar"/>
                    </w:rPr>
                    <w:t>呼吸口及卸料口废气</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苯并</w:t>
                  </w:r>
                  <w:r>
                    <w:rPr>
                      <w:color w:val="000000" w:themeColor="text1"/>
                      <w:kern w:val="0"/>
                      <w:sz w:val="21"/>
                      <w:szCs w:val="21"/>
                      <w:highlight w:val="none"/>
                      <w:lang w:bidi="ar"/>
                    </w:rPr>
                    <w:t>[a]</w:t>
                  </w:r>
                  <w:r>
                    <w:rPr>
                      <w:rFonts w:hint="eastAsia" w:ascii="宋体" w:hAnsi="宋体" w:cs="宋体"/>
                      <w:color w:val="000000" w:themeColor="text1"/>
                      <w:kern w:val="0"/>
                      <w:sz w:val="21"/>
                      <w:szCs w:val="21"/>
                      <w:highlight w:val="none"/>
                      <w:lang w:bidi="ar"/>
                    </w:rPr>
                    <w:t>芘</w:t>
                  </w:r>
                </w:p>
              </w:tc>
              <w:tc>
                <w:tcPr>
                  <w:tcW w:w="262" w:type="pct"/>
                  <w:vMerge w:val="restar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MF003</w:t>
                  </w:r>
                </w:p>
              </w:tc>
              <w:tc>
                <w:tcPr>
                  <w:tcW w:w="311"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无组织</w:t>
                  </w:r>
                </w:p>
              </w:tc>
              <w:tc>
                <w:tcPr>
                  <w:tcW w:w="449" w:type="pct"/>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color w:val="000000" w:themeColor="text1"/>
                      <w:kern w:val="0"/>
                      <w:sz w:val="21"/>
                      <w:szCs w:val="21"/>
                      <w:highlight w:val="none"/>
                      <w:lang w:bidi="ar"/>
                    </w:rPr>
                    <w:t>4.22×</w:t>
                  </w:r>
                </w:p>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10</w:t>
                  </w:r>
                  <w:r>
                    <w:rPr>
                      <w:color w:val="000000" w:themeColor="text1"/>
                      <w:kern w:val="0"/>
                      <w:sz w:val="21"/>
                      <w:szCs w:val="21"/>
                      <w:highlight w:val="none"/>
                      <w:vertAlign w:val="superscript"/>
                      <w:lang w:bidi="ar"/>
                    </w:rPr>
                    <w:t>-7</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76"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73" w:type="pct"/>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color w:val="000000" w:themeColor="text1"/>
                      <w:kern w:val="0"/>
                      <w:sz w:val="21"/>
                      <w:szCs w:val="21"/>
                      <w:highlight w:val="none"/>
                      <w:lang w:bidi="ar"/>
                    </w:rPr>
                    <w:t>4.22×</w:t>
                  </w:r>
                </w:p>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10</w:t>
                  </w:r>
                  <w:r>
                    <w:rPr>
                      <w:color w:val="000000" w:themeColor="text1"/>
                      <w:kern w:val="0"/>
                      <w:sz w:val="21"/>
                      <w:szCs w:val="21"/>
                      <w:highlight w:val="none"/>
                      <w:vertAlign w:val="superscript"/>
                      <w:lang w:bidi="ar"/>
                    </w:rPr>
                    <w:t>-7</w:t>
                  </w:r>
                </w:p>
              </w:tc>
              <w:tc>
                <w:tcPr>
                  <w:tcW w:w="377" w:type="pct"/>
                  <w:vAlign w:val="center"/>
                </w:tcPr>
                <w:p>
                  <w:pPr>
                    <w:widowControl/>
                    <w:spacing w:line="240" w:lineRule="auto"/>
                    <w:ind w:firstLine="0" w:firstLineChars="0"/>
                    <w:jc w:val="center"/>
                    <w:textAlignment w:val="center"/>
                    <w:rPr>
                      <w:color w:val="000000" w:themeColor="text1"/>
                      <w:kern w:val="0"/>
                      <w:sz w:val="21"/>
                      <w:szCs w:val="21"/>
                      <w:highlight w:val="none"/>
                      <w:lang w:bidi="ar"/>
                    </w:rPr>
                  </w:pPr>
                  <w:r>
                    <w:rPr>
                      <w:color w:val="000000" w:themeColor="text1"/>
                      <w:kern w:val="0"/>
                      <w:sz w:val="21"/>
                      <w:szCs w:val="21"/>
                      <w:highlight w:val="none"/>
                      <w:lang w:bidi="ar"/>
                    </w:rPr>
                    <w:t>2.64×</w:t>
                  </w:r>
                </w:p>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10</w:t>
                  </w:r>
                  <w:r>
                    <w:rPr>
                      <w:color w:val="000000" w:themeColor="text1"/>
                      <w:kern w:val="0"/>
                      <w:sz w:val="21"/>
                      <w:szCs w:val="21"/>
                      <w:highlight w:val="none"/>
                      <w:vertAlign w:val="superscript"/>
                      <w:lang w:bidi="ar"/>
                    </w:rPr>
                    <w:t>-7</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Merge w:val="continue"/>
                  <w:vAlign w:val="center"/>
                </w:tcPr>
                <w:p>
                  <w:pPr>
                    <w:widowControl/>
                    <w:spacing w:line="240" w:lineRule="auto"/>
                    <w:ind w:firstLine="0" w:firstLineChars="0"/>
                    <w:jc w:val="center"/>
                    <w:rPr>
                      <w:color w:val="000000" w:themeColor="text1"/>
                      <w:sz w:val="21"/>
                      <w:szCs w:val="21"/>
                      <w:highlight w:val="none"/>
                    </w:rPr>
                  </w:pPr>
                </w:p>
              </w:tc>
              <w:tc>
                <w:tcPr>
                  <w:tcW w:w="465" w:type="pct"/>
                  <w:vMerge w:val="continue"/>
                  <w:vAlign w:val="center"/>
                </w:tcPr>
                <w:p>
                  <w:pPr>
                    <w:widowControl/>
                    <w:spacing w:line="240" w:lineRule="auto"/>
                    <w:ind w:firstLine="0" w:firstLineChars="0"/>
                    <w:jc w:val="center"/>
                    <w:rPr>
                      <w:color w:val="000000" w:themeColor="text1"/>
                      <w:sz w:val="21"/>
                      <w:szCs w:val="21"/>
                      <w:highlight w:val="none"/>
                    </w:rPr>
                  </w:pP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非甲烷总烃</w:t>
                  </w:r>
                </w:p>
              </w:tc>
              <w:tc>
                <w:tcPr>
                  <w:tcW w:w="262" w:type="pct"/>
                  <w:vMerge w:val="continue"/>
                  <w:vAlign w:val="center"/>
                </w:tcPr>
                <w:p>
                  <w:pPr>
                    <w:widowControl/>
                    <w:spacing w:line="240" w:lineRule="auto"/>
                    <w:ind w:firstLine="0" w:firstLineChars="0"/>
                    <w:jc w:val="center"/>
                    <w:rPr>
                      <w:color w:val="000000" w:themeColor="text1"/>
                      <w:sz w:val="21"/>
                      <w:szCs w:val="21"/>
                      <w:highlight w:val="none"/>
                    </w:rPr>
                  </w:pPr>
                </w:p>
              </w:tc>
              <w:tc>
                <w:tcPr>
                  <w:tcW w:w="311"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无组织</w:t>
                  </w:r>
                </w:p>
              </w:tc>
              <w:tc>
                <w:tcPr>
                  <w:tcW w:w="449"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0.0013</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76"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0.0013</w:t>
                  </w:r>
                </w:p>
              </w:tc>
              <w:tc>
                <w:tcPr>
                  <w:tcW w:w="377"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0.0008</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运输</w:t>
                  </w:r>
                </w:p>
              </w:tc>
              <w:tc>
                <w:tcPr>
                  <w:tcW w:w="465"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运输扬尘</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rFonts w:hint="eastAsia" w:ascii="宋体" w:hAnsi="宋体" w:cs="宋体"/>
                      <w:color w:val="000000" w:themeColor="text1"/>
                      <w:kern w:val="0"/>
                      <w:sz w:val="21"/>
                      <w:szCs w:val="21"/>
                      <w:highlight w:val="none"/>
                      <w:lang w:bidi="ar"/>
                    </w:rPr>
                    <w:t>颗粒物</w:t>
                  </w:r>
                </w:p>
              </w:tc>
              <w:tc>
                <w:tcPr>
                  <w:tcW w:w="26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MF004</w:t>
                  </w:r>
                </w:p>
              </w:tc>
              <w:tc>
                <w:tcPr>
                  <w:tcW w:w="311" w:type="pct"/>
                  <w:vAlign w:val="center"/>
                </w:tcPr>
                <w:p>
                  <w:pPr>
                    <w:widowControl/>
                    <w:spacing w:line="240" w:lineRule="auto"/>
                    <w:ind w:firstLine="0" w:firstLineChars="0"/>
                    <w:jc w:val="center"/>
                    <w:textAlignment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无组织</w:t>
                  </w:r>
                </w:p>
              </w:tc>
              <w:tc>
                <w:tcPr>
                  <w:tcW w:w="449"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0.674</w:t>
                  </w:r>
                </w:p>
              </w:tc>
              <w:tc>
                <w:tcPr>
                  <w:tcW w:w="382"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84"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376"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60</w:t>
                  </w:r>
                </w:p>
              </w:tc>
              <w:tc>
                <w:tcPr>
                  <w:tcW w:w="373" w:type="pct"/>
                  <w:vAlign w:val="center"/>
                </w:tcPr>
                <w:p>
                  <w:pPr>
                    <w:widowControl/>
                    <w:spacing w:line="240" w:lineRule="auto"/>
                    <w:ind w:firstLine="0" w:firstLineChars="0"/>
                    <w:jc w:val="center"/>
                    <w:textAlignment w:val="center"/>
                    <w:rPr>
                      <w:bCs/>
                      <w:color w:val="000000" w:themeColor="text1"/>
                      <w:sz w:val="21"/>
                      <w:szCs w:val="21"/>
                      <w:highlight w:val="none"/>
                    </w:rPr>
                  </w:pPr>
                  <w:r>
                    <w:rPr>
                      <w:color w:val="000000" w:themeColor="text1"/>
                      <w:kern w:val="0"/>
                      <w:sz w:val="21"/>
                      <w:szCs w:val="21"/>
                      <w:highlight w:val="none"/>
                      <w:lang w:bidi="ar"/>
                    </w:rPr>
                    <w:t>0.27</w:t>
                  </w:r>
                </w:p>
              </w:tc>
              <w:tc>
                <w:tcPr>
                  <w:tcW w:w="377"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c>
                <w:tcPr>
                  <w:tcW w:w="440" w:type="pct"/>
                  <w:vAlign w:val="center"/>
                </w:tcPr>
                <w:p>
                  <w:pPr>
                    <w:widowControl/>
                    <w:spacing w:line="240" w:lineRule="auto"/>
                    <w:ind w:firstLine="0" w:firstLineChars="0"/>
                    <w:jc w:val="center"/>
                    <w:textAlignment w:val="center"/>
                    <w:rPr>
                      <w:color w:val="000000" w:themeColor="text1"/>
                      <w:sz w:val="21"/>
                      <w:szCs w:val="21"/>
                      <w:highlight w:val="none"/>
                    </w:rPr>
                  </w:pPr>
                  <w:r>
                    <w:rPr>
                      <w:color w:val="000000" w:themeColor="text1"/>
                      <w:kern w:val="0"/>
                      <w:sz w:val="21"/>
                      <w:szCs w:val="21"/>
                      <w:highlight w:val="none"/>
                      <w:lang w:bidi="ar"/>
                    </w:rPr>
                    <w:t>/</w:t>
                  </w:r>
                </w:p>
              </w:tc>
            </w:tr>
          </w:tbl>
          <w:p>
            <w:pPr>
              <w:ind w:left="480" w:leftChars="200" w:firstLine="0" w:firstLineChars="0"/>
              <w:rPr>
                <w:b/>
                <w:bCs/>
                <w:color w:val="000000" w:themeColor="text1"/>
                <w:highlight w:val="none"/>
              </w:rPr>
            </w:pPr>
            <w:r>
              <w:rPr>
                <w:rFonts w:hint="eastAsia"/>
                <w:b/>
                <w:bCs/>
                <w:color w:val="000000" w:themeColor="text1"/>
                <w:highlight w:val="none"/>
              </w:rPr>
              <w:t>（2）污染物排放量</w:t>
            </w:r>
          </w:p>
          <w:p>
            <w:pPr>
              <w:pStyle w:val="10"/>
              <w:keepNext w:val="0"/>
              <w:keepLines w:val="0"/>
              <w:pageBreakBefore w:val="0"/>
              <w:widowControl w:val="0"/>
              <w:kinsoku/>
              <w:wordWrap/>
              <w:overflowPunct/>
              <w:topLinePunct w:val="0"/>
              <w:autoSpaceDE/>
              <w:autoSpaceDN/>
              <w:bidi w:val="0"/>
              <w:adjustRightInd w:val="0"/>
              <w:snapToGrid w:val="0"/>
              <w:spacing w:after="0" w:line="1200" w:lineRule="auto"/>
              <w:ind w:left="480" w:firstLine="0" w:firstLineChars="0"/>
              <w:textAlignment w:val="auto"/>
              <w:rPr>
                <w:color w:val="000000" w:themeColor="text1"/>
                <w:highlight w:val="none"/>
              </w:rPr>
            </w:pPr>
            <w:r>
              <w:rPr>
                <w:rFonts w:hint="eastAsia"/>
                <w:color w:val="000000" w:themeColor="text1"/>
                <w:highlight w:val="none"/>
              </w:rPr>
              <w:t>大气污染物排放量见下表。</w:t>
            </w:r>
          </w:p>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大气污染物年排放量核算</w:t>
            </w:r>
            <w:r>
              <w:rPr>
                <w:b/>
                <w:bCs/>
                <w:color w:val="000000" w:themeColor="text1"/>
                <w:sz w:val="21"/>
                <w:szCs w:val="21"/>
                <w:highlight w:val="none"/>
              </w:rPr>
              <w:t>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6"/>
              <w:gridCol w:w="2638"/>
              <w:gridCol w:w="3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6"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序号</w:t>
                  </w:r>
                </w:p>
              </w:tc>
              <w:tc>
                <w:tcPr>
                  <w:tcW w:w="1577"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污染物</w:t>
                  </w:r>
                </w:p>
              </w:tc>
              <w:tc>
                <w:tcPr>
                  <w:tcW w:w="1845"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6" w:type="dxa"/>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w:t>
                  </w:r>
                </w:p>
              </w:tc>
              <w:tc>
                <w:tcPr>
                  <w:tcW w:w="2657" w:type="dxa"/>
                  <w:vAlign w:val="center"/>
                </w:tcPr>
                <w:p>
                  <w:pPr>
                    <w:pStyle w:val="59"/>
                    <w:spacing w:line="240" w:lineRule="auto"/>
                    <w:ind w:firstLine="0" w:firstLineChars="0"/>
                    <w:jc w:val="center"/>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t>颗粒物</w:t>
                  </w:r>
                </w:p>
              </w:tc>
              <w:tc>
                <w:tcPr>
                  <w:tcW w:w="3110" w:type="dxa"/>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0.6374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6" w:type="dxa"/>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2</w:t>
                  </w:r>
                </w:p>
              </w:tc>
              <w:tc>
                <w:tcPr>
                  <w:tcW w:w="2657" w:type="dxa"/>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SO</w:t>
                  </w:r>
                  <w:r>
                    <w:rPr>
                      <w:color w:val="000000" w:themeColor="text1"/>
                      <w:sz w:val="21"/>
                      <w:szCs w:val="21"/>
                      <w:highlight w:val="none"/>
                      <w:vertAlign w:val="subscript"/>
                    </w:rPr>
                    <w:t>2</w:t>
                  </w:r>
                </w:p>
              </w:tc>
              <w:tc>
                <w:tcPr>
                  <w:tcW w:w="3144" w:type="dxa"/>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6" w:type="dxa"/>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3</w:t>
                  </w:r>
                </w:p>
              </w:tc>
              <w:tc>
                <w:tcPr>
                  <w:tcW w:w="2657" w:type="dxa"/>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NOx</w:t>
                  </w:r>
                </w:p>
              </w:tc>
              <w:tc>
                <w:tcPr>
                  <w:tcW w:w="3144" w:type="dxa"/>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6" w:type="dxa"/>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4</w:t>
                  </w:r>
                </w:p>
              </w:tc>
              <w:tc>
                <w:tcPr>
                  <w:tcW w:w="2657" w:type="dxa"/>
                  <w:vAlign w:val="center"/>
                </w:tcPr>
                <w:p>
                  <w:pPr>
                    <w:pStyle w:val="65"/>
                    <w:adjustRightInd w:val="0"/>
                    <w:snapToGrid w:val="0"/>
                    <w:rPr>
                      <w:color w:val="000000" w:themeColor="text1"/>
                      <w:szCs w:val="21"/>
                      <w:highlight w:val="none"/>
                    </w:rPr>
                  </w:pPr>
                  <w:r>
                    <w:rPr>
                      <w:color w:val="000000" w:themeColor="text1"/>
                      <w:kern w:val="0"/>
                      <w:szCs w:val="21"/>
                      <w:highlight w:val="none"/>
                      <w:lang w:bidi="ar"/>
                    </w:rPr>
                    <w:t>苯并[a]芘</w:t>
                  </w:r>
                </w:p>
              </w:tc>
              <w:tc>
                <w:tcPr>
                  <w:tcW w:w="3110" w:type="dxa"/>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5.74</w:t>
                  </w:r>
                  <w:r>
                    <w:rPr>
                      <w:color w:val="000000" w:themeColor="text1"/>
                      <w:sz w:val="21"/>
                      <w:szCs w:val="21"/>
                      <w:highlight w:val="none"/>
                    </w:rPr>
                    <w:t>×10</w:t>
                  </w:r>
                  <w:r>
                    <w:rPr>
                      <w:color w:val="000000" w:themeColor="text1"/>
                      <w:sz w:val="21"/>
                      <w:szCs w:val="21"/>
                      <w:highlight w:val="none"/>
                      <w:vertAlign w:val="superscript"/>
                    </w:rPr>
                    <w:t>-</w:t>
                  </w:r>
                  <w:r>
                    <w:rPr>
                      <w:rFonts w:hint="eastAsia"/>
                      <w:color w:val="000000" w:themeColor="text1"/>
                      <w:sz w:val="21"/>
                      <w:szCs w:val="21"/>
                      <w:highlight w:val="none"/>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6" w:type="dxa"/>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5</w:t>
                  </w:r>
                </w:p>
              </w:tc>
              <w:tc>
                <w:tcPr>
                  <w:tcW w:w="2657" w:type="dxa"/>
                  <w:vAlign w:val="center"/>
                </w:tcPr>
                <w:p>
                  <w:pPr>
                    <w:pStyle w:val="65"/>
                    <w:adjustRightInd w:val="0"/>
                    <w:snapToGrid w:val="0"/>
                    <w:rPr>
                      <w:color w:val="000000" w:themeColor="text1"/>
                      <w:kern w:val="0"/>
                      <w:szCs w:val="21"/>
                      <w:highlight w:val="none"/>
                      <w:lang w:bidi="ar"/>
                    </w:rPr>
                  </w:pPr>
                  <w:r>
                    <w:rPr>
                      <w:rFonts w:hint="eastAsia"/>
                      <w:color w:val="000000" w:themeColor="text1"/>
                      <w:kern w:val="0"/>
                      <w:szCs w:val="21"/>
                      <w:highlight w:val="none"/>
                      <w:lang w:bidi="ar"/>
                    </w:rPr>
                    <w:t>沥青烟</w:t>
                  </w:r>
                </w:p>
              </w:tc>
              <w:tc>
                <w:tcPr>
                  <w:tcW w:w="3110" w:type="dxa"/>
                  <w:vAlign w:val="center"/>
                </w:tcPr>
                <w:p>
                  <w:pPr>
                    <w:spacing w:line="240" w:lineRule="auto"/>
                    <w:ind w:firstLine="0" w:firstLineChars="0"/>
                    <w:jc w:val="center"/>
                    <w:rPr>
                      <w:color w:val="000000" w:themeColor="text1"/>
                      <w:kern w:val="0"/>
                      <w:sz w:val="21"/>
                      <w:szCs w:val="21"/>
                      <w:highlight w:val="none"/>
                      <w:lang w:bidi="ar"/>
                    </w:rPr>
                  </w:pPr>
                  <w:r>
                    <w:rPr>
                      <w:rFonts w:hint="eastAsia"/>
                      <w:color w:val="000000" w:themeColor="text1"/>
                      <w:kern w:val="0"/>
                      <w:sz w:val="21"/>
                      <w:szCs w:val="21"/>
                      <w:highlight w:val="none"/>
                      <w:lang w:bidi="ar"/>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6" w:type="dxa"/>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6</w:t>
                  </w:r>
                </w:p>
              </w:tc>
              <w:tc>
                <w:tcPr>
                  <w:tcW w:w="2657" w:type="dxa"/>
                  <w:vAlign w:val="center"/>
                </w:tcPr>
                <w:p>
                  <w:pPr>
                    <w:pStyle w:val="65"/>
                    <w:adjustRightInd w:val="0"/>
                    <w:snapToGrid w:val="0"/>
                    <w:rPr>
                      <w:color w:val="000000" w:themeColor="text1"/>
                      <w:kern w:val="0"/>
                      <w:szCs w:val="21"/>
                      <w:highlight w:val="none"/>
                      <w:lang w:bidi="ar"/>
                    </w:rPr>
                  </w:pPr>
                  <w:r>
                    <w:rPr>
                      <w:rFonts w:hint="eastAsia"/>
                      <w:color w:val="000000" w:themeColor="text1"/>
                      <w:kern w:val="0"/>
                      <w:szCs w:val="21"/>
                      <w:highlight w:val="none"/>
                      <w:lang w:bidi="ar"/>
                    </w:rPr>
                    <w:t>非甲烷总烃</w:t>
                  </w:r>
                </w:p>
              </w:tc>
              <w:tc>
                <w:tcPr>
                  <w:tcW w:w="3110" w:type="dxa"/>
                  <w:vAlign w:val="center"/>
                </w:tcPr>
                <w:p>
                  <w:pPr>
                    <w:spacing w:line="240" w:lineRule="auto"/>
                    <w:ind w:firstLine="0" w:firstLineChars="0"/>
                    <w:jc w:val="center"/>
                    <w:rPr>
                      <w:color w:val="000000" w:themeColor="text1"/>
                      <w:kern w:val="0"/>
                      <w:sz w:val="21"/>
                      <w:szCs w:val="21"/>
                      <w:highlight w:val="none"/>
                      <w:lang w:bidi="ar"/>
                    </w:rPr>
                  </w:pPr>
                  <w:r>
                    <w:rPr>
                      <w:rFonts w:hint="eastAsia"/>
                      <w:color w:val="000000" w:themeColor="text1"/>
                      <w:kern w:val="0"/>
                      <w:sz w:val="21"/>
                      <w:szCs w:val="21"/>
                      <w:highlight w:val="none"/>
                      <w:lang w:bidi="ar"/>
                    </w:rPr>
                    <w:t>0.00177</w:t>
                  </w:r>
                </w:p>
              </w:tc>
            </w:tr>
          </w:tbl>
          <w:p>
            <w:pPr>
              <w:numPr>
                <w:ilvl w:val="0"/>
                <w:numId w:val="5"/>
              </w:numPr>
              <w:spacing w:before="120" w:beforeLines="50"/>
              <w:ind w:firstLine="482"/>
              <w:rPr>
                <w:b/>
                <w:bCs/>
                <w:color w:val="000000" w:themeColor="text1"/>
                <w:highlight w:val="none"/>
              </w:rPr>
            </w:pPr>
            <w:r>
              <w:rPr>
                <w:rFonts w:hint="eastAsia"/>
                <w:b/>
                <w:bCs/>
                <w:color w:val="000000" w:themeColor="text1"/>
                <w:highlight w:val="none"/>
              </w:rPr>
              <w:t>废气达标排放</w:t>
            </w:r>
          </w:p>
          <w:p>
            <w:pPr>
              <w:pStyle w:val="7"/>
              <w:ind w:firstLine="480"/>
              <w:jc w:val="both"/>
              <w:rPr>
                <w:color w:val="000000" w:themeColor="text1"/>
                <w:szCs w:val="24"/>
                <w:highlight w:val="none"/>
              </w:rPr>
            </w:pPr>
            <w:r>
              <w:rPr>
                <w:rFonts w:hint="eastAsia"/>
                <w:color w:val="000000" w:themeColor="text1"/>
                <w:szCs w:val="24"/>
                <w:highlight w:val="none"/>
                <w:lang w:val="en-US" w:eastAsia="zh-CN"/>
              </w:rPr>
              <w:t>骨料</w:t>
            </w:r>
            <w:r>
              <w:rPr>
                <w:rFonts w:hint="eastAsia"/>
                <w:color w:val="000000" w:themeColor="text1"/>
                <w:szCs w:val="24"/>
                <w:highlight w:val="none"/>
                <w:lang w:bidi="ar"/>
              </w:rPr>
              <w:t>筛分、烘干滚筒废气</w:t>
            </w:r>
            <w:r>
              <w:rPr>
                <w:rFonts w:hint="eastAsia"/>
                <w:color w:val="000000" w:themeColor="text1"/>
                <w:szCs w:val="24"/>
                <w:highlight w:val="none"/>
              </w:rPr>
              <w:t>产生的颗粒物、</w:t>
            </w:r>
            <w:r>
              <w:rPr>
                <w:color w:val="000000" w:themeColor="text1"/>
                <w:szCs w:val="24"/>
                <w:highlight w:val="none"/>
                <w:lang w:bidi="ar"/>
              </w:rPr>
              <w:t>SO</w:t>
            </w:r>
            <w:r>
              <w:rPr>
                <w:color w:val="000000" w:themeColor="text1"/>
                <w:szCs w:val="24"/>
                <w:highlight w:val="none"/>
                <w:vertAlign w:val="subscript"/>
                <w:lang w:bidi="ar"/>
              </w:rPr>
              <w:t>2</w:t>
            </w:r>
            <w:r>
              <w:rPr>
                <w:rFonts w:hint="eastAsia"/>
                <w:color w:val="000000" w:themeColor="text1"/>
                <w:szCs w:val="24"/>
                <w:highlight w:val="none"/>
              </w:rPr>
              <w:t>、</w:t>
            </w:r>
            <w:r>
              <w:rPr>
                <w:color w:val="000000" w:themeColor="text1"/>
                <w:szCs w:val="24"/>
                <w:highlight w:val="none"/>
                <w:lang w:bidi="ar"/>
              </w:rPr>
              <w:t>NOx</w:t>
            </w:r>
            <w:r>
              <w:rPr>
                <w:rFonts w:hint="eastAsia"/>
                <w:color w:val="000000" w:themeColor="text1"/>
                <w:szCs w:val="24"/>
                <w:highlight w:val="none"/>
                <w:lang w:bidi="ar"/>
              </w:rPr>
              <w:t>、烟气黑度</w:t>
            </w:r>
            <w:r>
              <w:rPr>
                <w:rFonts w:hint="eastAsia"/>
                <w:color w:val="000000" w:themeColor="text1"/>
                <w:szCs w:val="24"/>
                <w:highlight w:val="none"/>
              </w:rPr>
              <w:t>排放浓度可</w:t>
            </w:r>
            <w:r>
              <w:rPr>
                <w:color w:val="000000" w:themeColor="text1"/>
                <w:szCs w:val="24"/>
                <w:highlight w:val="none"/>
              </w:rPr>
              <w:t>以满足《工业炉窑大气污染物排放标准》（DB13/1640-2012）表1、</w:t>
            </w:r>
            <w:r>
              <w:rPr>
                <w:color w:val="000000" w:themeColor="text1"/>
                <w:highlight w:val="none"/>
              </w:rPr>
              <w:t>表2工业炉窑污染物排放限值及《承德市工业炉窑综合治理实施方案》承环办【2020】72号工业炉窑污染物排放限值</w:t>
            </w:r>
            <w:r>
              <w:rPr>
                <w:rFonts w:hint="eastAsia"/>
                <w:color w:val="000000" w:themeColor="text1"/>
                <w:szCs w:val="24"/>
                <w:highlight w:val="none"/>
              </w:rPr>
              <w:t>；沥青储罐</w:t>
            </w:r>
            <w:r>
              <w:rPr>
                <w:rFonts w:hint="eastAsia"/>
                <w:color w:val="000000" w:themeColor="text1"/>
                <w:szCs w:val="24"/>
                <w:highlight w:val="none"/>
                <w:lang w:val="en-US" w:eastAsia="zh-CN"/>
              </w:rPr>
              <w:t>及卸料池</w:t>
            </w:r>
            <w:r>
              <w:rPr>
                <w:rFonts w:hint="eastAsia"/>
                <w:color w:val="000000" w:themeColor="text1"/>
                <w:szCs w:val="24"/>
                <w:highlight w:val="none"/>
              </w:rPr>
              <w:t>呼吸、</w:t>
            </w:r>
            <w:r>
              <w:rPr>
                <w:rFonts w:hint="eastAsia"/>
                <w:color w:val="000000" w:themeColor="text1"/>
                <w:szCs w:val="24"/>
                <w:highlight w:val="none"/>
                <w:lang w:val="en-US" w:eastAsia="zh-CN"/>
              </w:rPr>
              <w:t>搅拌机</w:t>
            </w:r>
            <w:r>
              <w:rPr>
                <w:rFonts w:hint="eastAsia"/>
                <w:color w:val="000000" w:themeColor="text1"/>
                <w:szCs w:val="24"/>
                <w:highlight w:val="none"/>
              </w:rPr>
              <w:t>呼吸口及卸料口产生的颗粒物、</w:t>
            </w:r>
            <w:r>
              <w:rPr>
                <w:rFonts w:hint="eastAsia" w:hAnsi="宋体"/>
                <w:color w:val="000000" w:themeColor="text1"/>
                <w:szCs w:val="24"/>
                <w:highlight w:val="none"/>
              </w:rPr>
              <w:t>沥青烟和苯并[a]芘</w:t>
            </w:r>
            <w:r>
              <w:rPr>
                <w:rFonts w:hint="eastAsia"/>
                <w:color w:val="000000" w:themeColor="text1"/>
                <w:szCs w:val="24"/>
                <w:highlight w:val="none"/>
              </w:rPr>
              <w:t>排放浓度和排放速率可</w:t>
            </w:r>
            <w:r>
              <w:rPr>
                <w:color w:val="000000" w:themeColor="text1"/>
                <w:szCs w:val="24"/>
                <w:highlight w:val="none"/>
              </w:rPr>
              <w:t>以满足</w:t>
            </w:r>
            <w:r>
              <w:rPr>
                <w:rFonts w:hint="eastAsia" w:hAnsi="宋体"/>
                <w:color w:val="000000" w:themeColor="text1"/>
                <w:szCs w:val="24"/>
                <w:highlight w:val="none"/>
              </w:rPr>
              <w:t>《大气污染物综合排放标准》（GB16297-1996）表2中</w:t>
            </w:r>
            <w:r>
              <w:rPr>
                <w:rFonts w:hint="eastAsia"/>
                <w:color w:val="000000" w:themeColor="text1"/>
                <w:szCs w:val="24"/>
                <w:highlight w:val="none"/>
              </w:rPr>
              <w:t>颗粒物、</w:t>
            </w:r>
            <w:r>
              <w:rPr>
                <w:rFonts w:hint="eastAsia" w:hAnsi="宋体"/>
                <w:color w:val="000000" w:themeColor="text1"/>
                <w:szCs w:val="24"/>
                <w:highlight w:val="none"/>
              </w:rPr>
              <w:t>沥青烟、苯并[a]芘的最高允许排放浓度及最高允许排放速率二级标准要求</w:t>
            </w:r>
            <w:r>
              <w:rPr>
                <w:rFonts w:hint="eastAsia"/>
                <w:color w:val="000000" w:themeColor="text1"/>
                <w:szCs w:val="24"/>
                <w:highlight w:val="none"/>
              </w:rPr>
              <w:t>；非甲烷总烃排放浓度可满足《工业企业挥发性有机物排放控制标准》（DB13/2322-2016）表1其他行业最高允许排放浓度限值；有组织</w:t>
            </w:r>
            <w:r>
              <w:rPr>
                <w:rFonts w:hint="eastAsia"/>
                <w:color w:val="000000" w:themeColor="text1"/>
                <w:highlight w:val="none"/>
              </w:rPr>
              <w:t>颗粒物排放符合《大气污染物综合排放标准》（GB16297-1996）表2中二级标准；</w:t>
            </w:r>
            <w:r>
              <w:rPr>
                <w:rFonts w:hint="eastAsia"/>
                <w:bCs/>
                <w:color w:val="000000" w:themeColor="text1"/>
                <w:szCs w:val="24"/>
                <w:highlight w:val="none"/>
              </w:rPr>
              <w:t>导热油炉</w:t>
            </w:r>
            <w:r>
              <w:rPr>
                <w:rFonts w:hint="eastAsia"/>
                <w:color w:val="000000" w:themeColor="text1"/>
                <w:szCs w:val="24"/>
                <w:highlight w:val="none"/>
              </w:rPr>
              <w:t>有组织</w:t>
            </w:r>
            <w:r>
              <w:rPr>
                <w:color w:val="000000" w:themeColor="text1"/>
                <w:szCs w:val="24"/>
                <w:highlight w:val="none"/>
              </w:rPr>
              <w:t>排放的颗粒物、二氧化硫</w:t>
            </w:r>
            <w:r>
              <w:rPr>
                <w:rFonts w:hint="eastAsia"/>
                <w:color w:val="000000" w:themeColor="text1"/>
                <w:szCs w:val="24"/>
                <w:highlight w:val="none"/>
              </w:rPr>
              <w:t>、</w:t>
            </w:r>
            <w:r>
              <w:rPr>
                <w:color w:val="000000" w:themeColor="text1"/>
                <w:szCs w:val="24"/>
                <w:highlight w:val="none"/>
              </w:rPr>
              <w:t>氮氧化物</w:t>
            </w:r>
            <w:r>
              <w:rPr>
                <w:rFonts w:hint="eastAsia"/>
                <w:color w:val="000000" w:themeColor="text1"/>
                <w:szCs w:val="24"/>
                <w:highlight w:val="none"/>
              </w:rPr>
              <w:t>和烟气黑度</w:t>
            </w:r>
            <w:r>
              <w:rPr>
                <w:color w:val="000000" w:themeColor="text1"/>
                <w:szCs w:val="24"/>
                <w:highlight w:val="none"/>
              </w:rPr>
              <w:t>等大气污染物的排放浓度</w:t>
            </w:r>
            <w:r>
              <w:rPr>
                <w:rFonts w:hint="eastAsia"/>
                <w:color w:val="000000" w:themeColor="text1"/>
                <w:szCs w:val="24"/>
                <w:highlight w:val="none"/>
              </w:rPr>
              <w:t>均</w:t>
            </w:r>
            <w:r>
              <w:rPr>
                <w:color w:val="000000" w:themeColor="text1"/>
                <w:szCs w:val="24"/>
                <w:highlight w:val="none"/>
              </w:rPr>
              <w:t>满足《锅炉大气污染物排放标准》(DB13/5161-2020)中表1大气污染物排放限值中燃气锅炉标准</w:t>
            </w:r>
            <w:r>
              <w:rPr>
                <w:rFonts w:hint="eastAsia"/>
                <w:color w:val="000000" w:themeColor="text1"/>
                <w:szCs w:val="24"/>
                <w:highlight w:val="none"/>
              </w:rPr>
              <w:t>；矿粉筒仓</w:t>
            </w:r>
            <w:r>
              <w:rPr>
                <w:color w:val="000000" w:themeColor="text1"/>
                <w:szCs w:val="24"/>
                <w:highlight w:val="none"/>
              </w:rPr>
              <w:t>产生的</w:t>
            </w:r>
            <w:r>
              <w:rPr>
                <w:rFonts w:hint="eastAsia"/>
                <w:color w:val="000000" w:themeColor="text1"/>
                <w:szCs w:val="24"/>
                <w:highlight w:val="none"/>
              </w:rPr>
              <w:t>颗粒物排放可</w:t>
            </w:r>
            <w:r>
              <w:rPr>
                <w:color w:val="000000" w:themeColor="text1"/>
                <w:szCs w:val="24"/>
                <w:highlight w:val="none"/>
              </w:rPr>
              <w:t>以满足</w:t>
            </w:r>
            <w:r>
              <w:rPr>
                <w:rFonts w:hint="eastAsia" w:hAnsi="宋体"/>
                <w:color w:val="000000" w:themeColor="text1"/>
                <w:szCs w:val="24"/>
                <w:highlight w:val="none"/>
              </w:rPr>
              <w:t>《大气污染物综合排放标准》（GB16297-1996）表2中颗粒物最高允许排放浓度及最高允许排放速率二级标准要求</w:t>
            </w:r>
            <w:r>
              <w:rPr>
                <w:rFonts w:hint="eastAsia"/>
                <w:color w:val="000000" w:themeColor="text1"/>
                <w:szCs w:val="24"/>
                <w:highlight w:val="none"/>
              </w:rPr>
              <w:t>。</w:t>
            </w:r>
          </w:p>
          <w:p>
            <w:pPr>
              <w:pStyle w:val="15"/>
              <w:ind w:firstLine="480"/>
              <w:jc w:val="both"/>
              <w:rPr>
                <w:color w:val="000000" w:themeColor="text1"/>
                <w:sz w:val="24"/>
                <w:szCs w:val="24"/>
                <w:highlight w:val="none"/>
              </w:rPr>
            </w:pPr>
            <w:r>
              <w:rPr>
                <w:rFonts w:hint="eastAsia"/>
                <w:color w:val="000000" w:themeColor="text1"/>
                <w:sz w:val="24"/>
                <w:szCs w:val="24"/>
                <w:highlight w:val="none"/>
              </w:rPr>
              <w:t>厂界</w:t>
            </w:r>
            <w:r>
              <w:rPr>
                <w:color w:val="000000" w:themeColor="text1"/>
                <w:sz w:val="24"/>
                <w:szCs w:val="24"/>
                <w:highlight w:val="none"/>
              </w:rPr>
              <w:t>无组织排放</w:t>
            </w:r>
            <w:r>
              <w:rPr>
                <w:rFonts w:hint="eastAsia"/>
                <w:color w:val="000000" w:themeColor="text1"/>
                <w:sz w:val="24"/>
                <w:szCs w:val="24"/>
                <w:highlight w:val="none"/>
              </w:rPr>
              <w:t>颗粒物和</w:t>
            </w:r>
            <w:r>
              <w:rPr>
                <w:color w:val="000000" w:themeColor="text1"/>
                <w:sz w:val="24"/>
                <w:szCs w:val="24"/>
                <w:highlight w:val="none"/>
                <w:lang w:bidi="ar"/>
              </w:rPr>
              <w:t>苯并[a]芘</w:t>
            </w:r>
            <w:r>
              <w:rPr>
                <w:color w:val="000000" w:themeColor="text1"/>
                <w:sz w:val="24"/>
                <w:szCs w:val="24"/>
                <w:highlight w:val="none"/>
              </w:rPr>
              <w:t>满足《大气污染物综合排放标准》（GB16297-1996）表2</w:t>
            </w:r>
            <w:r>
              <w:rPr>
                <w:rFonts w:hint="eastAsia"/>
                <w:color w:val="000000" w:themeColor="text1"/>
                <w:sz w:val="24"/>
                <w:szCs w:val="24"/>
                <w:highlight w:val="none"/>
              </w:rPr>
              <w:t>无组织排放监控浓度限值要求；非甲烷总烃满足《工业企业挥发性有机物排放控制标准》（DB13/2322-2016）表2</w:t>
            </w:r>
            <w:r>
              <w:rPr>
                <w:rFonts w:hint="eastAsia"/>
                <w:color w:val="000000" w:themeColor="text1"/>
                <w:sz w:val="24"/>
                <w:szCs w:val="24"/>
                <w:highlight w:val="none"/>
                <w:lang w:val="en-US" w:eastAsia="zh-CN"/>
              </w:rPr>
              <w:t>企业边界大气污染物浓度限值</w:t>
            </w:r>
            <w:r>
              <w:rPr>
                <w:rFonts w:hint="eastAsia"/>
                <w:color w:val="000000" w:themeColor="text1"/>
                <w:sz w:val="24"/>
                <w:szCs w:val="24"/>
                <w:highlight w:val="none"/>
              </w:rPr>
              <w:t>要求</w:t>
            </w:r>
            <w:r>
              <w:rPr>
                <w:color w:val="000000" w:themeColor="text1"/>
                <w:sz w:val="24"/>
                <w:szCs w:val="24"/>
                <w:highlight w:val="none"/>
              </w:rPr>
              <w:t>。</w:t>
            </w:r>
          </w:p>
          <w:p>
            <w:pPr>
              <w:numPr>
                <w:ilvl w:val="0"/>
                <w:numId w:val="5"/>
              </w:numPr>
              <w:ind w:firstLine="482"/>
              <w:rPr>
                <w:b/>
                <w:bCs/>
                <w:color w:val="000000" w:themeColor="text1"/>
                <w:highlight w:val="none"/>
              </w:rPr>
            </w:pPr>
            <w:r>
              <w:rPr>
                <w:rFonts w:hint="eastAsia"/>
                <w:b/>
                <w:bCs/>
                <w:color w:val="000000" w:themeColor="text1"/>
                <w:highlight w:val="none"/>
              </w:rPr>
              <w:t>废气监测计划</w:t>
            </w:r>
          </w:p>
          <w:p>
            <w:pPr>
              <w:pStyle w:val="2"/>
              <w:rPr>
                <w:rFonts w:hint="eastAsia"/>
                <w:b/>
                <w:bCs/>
                <w:color w:val="000000" w:themeColor="text1"/>
                <w:highlight w:val="none"/>
              </w:rPr>
            </w:pPr>
          </w:p>
          <w:p>
            <w:pPr>
              <w:pStyle w:val="2"/>
              <w:rPr>
                <w:rFonts w:hint="eastAsia"/>
                <w:b/>
                <w:bCs/>
                <w:color w:val="000000" w:themeColor="text1"/>
                <w:highlight w:val="none"/>
              </w:rPr>
            </w:pPr>
          </w:p>
          <w:p>
            <w:pPr>
              <w:pStyle w:val="2"/>
              <w:rPr>
                <w:rFonts w:hint="eastAsia"/>
                <w:b/>
                <w:bCs/>
                <w:color w:val="000000" w:themeColor="text1"/>
                <w:highlight w:val="none"/>
              </w:rPr>
            </w:pPr>
          </w:p>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废气监测计划</w:t>
            </w:r>
            <w:r>
              <w:rPr>
                <w:b/>
                <w:bCs/>
                <w:color w:val="000000" w:themeColor="text1"/>
                <w:sz w:val="21"/>
                <w:szCs w:val="21"/>
                <w:highlight w:val="none"/>
              </w:rPr>
              <w:t>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34"/>
              <w:gridCol w:w="1920"/>
              <w:gridCol w:w="841"/>
              <w:gridCol w:w="3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环境要素</w:t>
                  </w:r>
                </w:p>
              </w:tc>
              <w:tc>
                <w:tcPr>
                  <w:tcW w:w="797"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监测位置</w:t>
                  </w:r>
                </w:p>
              </w:tc>
              <w:tc>
                <w:tcPr>
                  <w:tcW w:w="1148"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监测项目</w:t>
                  </w:r>
                </w:p>
              </w:tc>
              <w:tc>
                <w:tcPr>
                  <w:tcW w:w="503"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频次</w:t>
                  </w:r>
                </w:p>
              </w:tc>
              <w:tc>
                <w:tcPr>
                  <w:tcW w:w="2155"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95" w:type="pct"/>
                  <w:vMerge w:val="restar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废气</w:t>
                  </w:r>
                </w:p>
              </w:tc>
              <w:tc>
                <w:tcPr>
                  <w:tcW w:w="797" w:type="pct"/>
                  <w:vMerge w:val="restart"/>
                  <w:vAlign w:val="center"/>
                </w:tcPr>
                <w:p>
                  <w:pPr>
                    <w:spacing w:line="240" w:lineRule="auto"/>
                    <w:ind w:firstLine="0" w:firstLineChars="0"/>
                    <w:jc w:val="center"/>
                    <w:rPr>
                      <w:color w:val="000000" w:themeColor="text1"/>
                      <w:sz w:val="21"/>
                      <w:szCs w:val="21"/>
                      <w:highlight w:val="none"/>
                    </w:rPr>
                  </w:pPr>
                  <w:r>
                    <w:rPr>
                      <w:rFonts w:hint="eastAsia"/>
                      <w:color w:val="000000" w:themeColor="text1"/>
                      <w:kern w:val="0"/>
                      <w:sz w:val="21"/>
                      <w:szCs w:val="21"/>
                      <w:highlight w:val="none"/>
                      <w:lang w:bidi="ar"/>
                    </w:rPr>
                    <w:t>筛分、烘干滚筒</w:t>
                  </w:r>
                  <w:r>
                    <w:rPr>
                      <w:snapToGrid w:val="0"/>
                      <w:color w:val="000000" w:themeColor="text1"/>
                      <w:kern w:val="0"/>
                      <w:sz w:val="21"/>
                      <w:szCs w:val="21"/>
                      <w:highlight w:val="none"/>
                    </w:rPr>
                    <w:t>排气筒</w:t>
                  </w:r>
                  <w:r>
                    <w:rPr>
                      <w:bCs/>
                      <w:color w:val="000000" w:themeColor="text1"/>
                      <w:sz w:val="21"/>
                      <w:szCs w:val="21"/>
                      <w:highlight w:val="none"/>
                    </w:rPr>
                    <w:t>DA001</w:t>
                  </w:r>
                </w:p>
              </w:tc>
              <w:tc>
                <w:tcPr>
                  <w:tcW w:w="1148"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颗粒物、SO</w:t>
                  </w:r>
                  <w:r>
                    <w:rPr>
                      <w:color w:val="000000" w:themeColor="text1"/>
                      <w:sz w:val="21"/>
                      <w:szCs w:val="21"/>
                      <w:highlight w:val="none"/>
                      <w:vertAlign w:val="subscript"/>
                    </w:rPr>
                    <w:t>2</w:t>
                  </w:r>
                  <w:r>
                    <w:rPr>
                      <w:color w:val="000000" w:themeColor="text1"/>
                      <w:sz w:val="21"/>
                      <w:szCs w:val="21"/>
                      <w:highlight w:val="none"/>
                    </w:rPr>
                    <w:t>、NO</w:t>
                  </w:r>
                  <w:r>
                    <w:rPr>
                      <w:color w:val="000000" w:themeColor="text1"/>
                      <w:sz w:val="21"/>
                      <w:szCs w:val="21"/>
                      <w:highlight w:val="none"/>
                      <w:vertAlign w:val="subscript"/>
                    </w:rPr>
                    <w:t>x</w:t>
                  </w:r>
                  <w:r>
                    <w:rPr>
                      <w:rFonts w:hint="eastAsia"/>
                      <w:color w:val="000000" w:themeColor="text1"/>
                      <w:sz w:val="21"/>
                      <w:szCs w:val="21"/>
                      <w:highlight w:val="none"/>
                    </w:rPr>
                    <w:t>、</w:t>
                  </w:r>
                </w:p>
              </w:tc>
              <w:tc>
                <w:tcPr>
                  <w:tcW w:w="503" w:type="pct"/>
                  <w:vAlign w:val="center"/>
                </w:tcPr>
                <w:p>
                  <w:pPr>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color w:val="000000" w:themeColor="text1"/>
                      <w:kern w:val="0"/>
                      <w:sz w:val="21"/>
                      <w:szCs w:val="21"/>
                      <w:highlight w:val="none"/>
                      <w:lang w:bidi="ar"/>
                    </w:rPr>
                    <w:t>半</w:t>
                  </w:r>
                  <w:r>
                    <w:rPr>
                      <w:rFonts w:hint="eastAsia" w:ascii="宋体" w:hAnsi="宋体" w:cs="宋体"/>
                      <w:color w:val="000000" w:themeColor="text1"/>
                      <w:kern w:val="0"/>
                      <w:sz w:val="21"/>
                      <w:szCs w:val="21"/>
                      <w:highlight w:val="none"/>
                      <w:lang w:bidi="ar"/>
                    </w:rPr>
                    <w:t>年</w:t>
                  </w:r>
                </w:p>
              </w:tc>
              <w:tc>
                <w:tcPr>
                  <w:tcW w:w="2155" w:type="pct"/>
                  <w:vMerge w:val="restar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《工业炉窑大气污染物排放标准》（DB13/1640-2012）</w:t>
                  </w:r>
                  <w:r>
                    <w:rPr>
                      <w:rFonts w:hint="eastAsia"/>
                      <w:color w:val="000000" w:themeColor="text1"/>
                      <w:sz w:val="21"/>
                      <w:szCs w:val="21"/>
                      <w:highlight w:val="none"/>
                    </w:rPr>
                    <w:t>及《承德市工业炉窑综合治理实施方案》承环办【2020】72号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95" w:type="pct"/>
                  <w:vMerge w:val="continue"/>
                  <w:vAlign w:val="center"/>
                </w:tcPr>
                <w:p>
                  <w:pPr>
                    <w:spacing w:line="240" w:lineRule="auto"/>
                    <w:ind w:firstLine="0" w:firstLineChars="0"/>
                    <w:jc w:val="center"/>
                    <w:rPr>
                      <w:color w:val="000000" w:themeColor="text1"/>
                      <w:highlight w:val="none"/>
                    </w:rPr>
                  </w:pPr>
                </w:p>
              </w:tc>
              <w:tc>
                <w:tcPr>
                  <w:tcW w:w="797" w:type="pct"/>
                  <w:vMerge w:val="continue"/>
                  <w:vAlign w:val="center"/>
                </w:tcPr>
                <w:p>
                  <w:pPr>
                    <w:spacing w:line="240" w:lineRule="auto"/>
                    <w:ind w:firstLine="0" w:firstLineChars="0"/>
                    <w:jc w:val="center"/>
                    <w:rPr>
                      <w:color w:val="000000" w:themeColor="text1"/>
                      <w:highlight w:val="none"/>
                    </w:rPr>
                  </w:pPr>
                </w:p>
              </w:tc>
              <w:tc>
                <w:tcPr>
                  <w:tcW w:w="1148"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烟气黑度</w:t>
                  </w:r>
                </w:p>
              </w:tc>
              <w:tc>
                <w:tcPr>
                  <w:tcW w:w="503" w:type="pct"/>
                  <w:vAlign w:val="center"/>
                </w:tcPr>
                <w:p>
                  <w:pPr>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年</w:t>
                  </w:r>
                </w:p>
              </w:tc>
              <w:tc>
                <w:tcPr>
                  <w:tcW w:w="2155" w:type="pct"/>
                  <w:vMerge w:val="continue"/>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Merge w:val="restart"/>
                  <w:vAlign w:val="center"/>
                </w:tcPr>
                <w:p>
                  <w:pPr>
                    <w:spacing w:line="240" w:lineRule="auto"/>
                    <w:ind w:firstLine="0" w:firstLineChars="0"/>
                    <w:jc w:val="center"/>
                    <w:rPr>
                      <w:color w:val="000000" w:themeColor="text1"/>
                      <w:sz w:val="21"/>
                      <w:szCs w:val="21"/>
                      <w:highlight w:val="none"/>
                    </w:rPr>
                  </w:pPr>
                  <w:r>
                    <w:rPr>
                      <w:rFonts w:hint="eastAsia" w:ascii="宋体" w:hAnsi="宋体" w:cs="宋体"/>
                      <w:color w:val="000000" w:themeColor="text1"/>
                      <w:kern w:val="0"/>
                      <w:sz w:val="21"/>
                      <w:szCs w:val="21"/>
                      <w:highlight w:val="none"/>
                      <w:lang w:bidi="ar"/>
                    </w:rPr>
                    <w:t>沥青储罐</w:t>
                  </w:r>
                  <w:r>
                    <w:rPr>
                      <w:rFonts w:hint="eastAsia" w:ascii="宋体" w:hAnsi="宋体" w:cs="宋体"/>
                      <w:color w:val="000000" w:themeColor="text1"/>
                      <w:kern w:val="0"/>
                      <w:sz w:val="21"/>
                      <w:szCs w:val="21"/>
                      <w:highlight w:val="none"/>
                      <w:lang w:val="en-US" w:eastAsia="zh-CN" w:bidi="ar"/>
                    </w:rPr>
                    <w:t>及卸料池</w:t>
                  </w:r>
                  <w:r>
                    <w:rPr>
                      <w:rFonts w:hint="eastAsia" w:ascii="宋体" w:hAnsi="宋体" w:cs="宋体"/>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val="en-US" w:eastAsia="zh-CN" w:bidi="ar"/>
                    </w:rPr>
                    <w:t>搅拌机呼吸口及卸料口</w:t>
                  </w:r>
                  <w:r>
                    <w:rPr>
                      <w:snapToGrid w:val="0"/>
                      <w:color w:val="000000" w:themeColor="text1"/>
                      <w:kern w:val="0"/>
                      <w:sz w:val="21"/>
                      <w:szCs w:val="21"/>
                      <w:highlight w:val="none"/>
                    </w:rPr>
                    <w:t>排气筒</w:t>
                  </w:r>
                  <w:r>
                    <w:rPr>
                      <w:bCs/>
                      <w:color w:val="000000" w:themeColor="text1"/>
                      <w:sz w:val="21"/>
                      <w:szCs w:val="21"/>
                      <w:highlight w:val="none"/>
                    </w:rPr>
                    <w:t>DA00</w:t>
                  </w:r>
                  <w:r>
                    <w:rPr>
                      <w:rFonts w:hint="eastAsia"/>
                      <w:bCs/>
                      <w:color w:val="000000" w:themeColor="text1"/>
                      <w:sz w:val="21"/>
                      <w:szCs w:val="21"/>
                      <w:highlight w:val="none"/>
                    </w:rPr>
                    <w:t>2</w:t>
                  </w:r>
                </w:p>
              </w:tc>
              <w:tc>
                <w:tcPr>
                  <w:tcW w:w="1148" w:type="pct"/>
                  <w:vAlign w:val="center"/>
                </w:tcPr>
                <w:p>
                  <w:pPr>
                    <w:spacing w:line="240" w:lineRule="auto"/>
                    <w:ind w:firstLine="0" w:firstLineChars="0"/>
                    <w:jc w:val="center"/>
                    <w:rPr>
                      <w:color w:val="000000" w:themeColor="text1"/>
                      <w:sz w:val="21"/>
                      <w:szCs w:val="21"/>
                      <w:highlight w:val="none"/>
                    </w:rPr>
                  </w:pPr>
                  <w:r>
                    <w:rPr>
                      <w:rFonts w:hint="eastAsia" w:hAnsi="宋体"/>
                      <w:color w:val="000000" w:themeColor="text1"/>
                      <w:sz w:val="21"/>
                      <w:szCs w:val="21"/>
                      <w:highlight w:val="none"/>
                    </w:rPr>
                    <w:t>颗粒物、沥青烟、苯并[a]芘</w:t>
                  </w:r>
                </w:p>
              </w:tc>
              <w:tc>
                <w:tcPr>
                  <w:tcW w:w="503" w:type="pct"/>
                  <w:vAlign w:val="center"/>
                </w:tcPr>
                <w:p>
                  <w:pPr>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年</w:t>
                  </w:r>
                </w:p>
              </w:tc>
              <w:tc>
                <w:tcPr>
                  <w:tcW w:w="2155" w:type="pct"/>
                  <w:vAlign w:val="center"/>
                </w:tcPr>
                <w:p>
                  <w:pPr>
                    <w:spacing w:line="240" w:lineRule="auto"/>
                    <w:ind w:firstLine="0" w:firstLineChars="0"/>
                    <w:jc w:val="center"/>
                    <w:rPr>
                      <w:color w:val="000000" w:themeColor="text1"/>
                      <w:sz w:val="21"/>
                      <w:szCs w:val="21"/>
                      <w:highlight w:val="none"/>
                    </w:rPr>
                  </w:pPr>
                  <w:r>
                    <w:rPr>
                      <w:rFonts w:hAnsi="宋体"/>
                      <w:color w:val="000000" w:themeColor="text1"/>
                      <w:sz w:val="21"/>
                      <w:szCs w:val="21"/>
                      <w:highlight w:val="none"/>
                    </w:rPr>
                    <w:t>《大气污染物综合排放标准》（GB16297-1996）</w:t>
                  </w:r>
                  <w:r>
                    <w:rPr>
                      <w:rFonts w:hint="eastAsia" w:hAnsi="宋体"/>
                      <w:color w:val="000000" w:themeColor="text1"/>
                      <w:sz w:val="21"/>
                      <w:szCs w:val="21"/>
                      <w:highlight w:val="none"/>
                    </w:rPr>
                    <w:t>表2中颗粒物、沥青烟、苯并[a]芘的最高允许排放浓度及最高允许排放速率二级标准要求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Merge w:val="continue"/>
                  <w:vAlign w:val="center"/>
                </w:tcPr>
                <w:p>
                  <w:pPr>
                    <w:spacing w:line="240" w:lineRule="auto"/>
                    <w:ind w:firstLine="0" w:firstLineChars="0"/>
                    <w:jc w:val="center"/>
                    <w:rPr>
                      <w:rFonts w:ascii="宋体" w:hAnsi="宋体" w:cs="宋体"/>
                      <w:color w:val="000000" w:themeColor="text1"/>
                      <w:kern w:val="0"/>
                      <w:sz w:val="21"/>
                      <w:szCs w:val="21"/>
                      <w:highlight w:val="none"/>
                      <w:lang w:bidi="ar"/>
                    </w:rPr>
                  </w:pPr>
                </w:p>
              </w:tc>
              <w:tc>
                <w:tcPr>
                  <w:tcW w:w="1148" w:type="pct"/>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非甲烷总烃</w:t>
                  </w:r>
                </w:p>
              </w:tc>
              <w:tc>
                <w:tcPr>
                  <w:tcW w:w="503" w:type="pct"/>
                  <w:vAlign w:val="center"/>
                </w:tcPr>
                <w:p>
                  <w:pPr>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年</w:t>
                  </w:r>
                </w:p>
              </w:tc>
              <w:tc>
                <w:tcPr>
                  <w:tcW w:w="2155" w:type="pct"/>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《工业企业挥发性有机物排放控制标准》（DB13/2322-2016）表1中其他行业最高允许排放浓度限值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Merge w:val="restart"/>
                  <w:vAlign w:val="center"/>
                </w:tcPr>
                <w:p>
                  <w:pPr>
                    <w:spacing w:line="240" w:lineRule="auto"/>
                    <w:ind w:firstLine="0" w:firstLineChars="0"/>
                    <w:jc w:val="center"/>
                    <w:rPr>
                      <w:color w:val="000000" w:themeColor="text1"/>
                      <w:sz w:val="21"/>
                      <w:szCs w:val="21"/>
                      <w:highlight w:val="none"/>
                    </w:rPr>
                  </w:pPr>
                  <w:r>
                    <w:rPr>
                      <w:rFonts w:hint="eastAsia"/>
                      <w:color w:val="000000" w:themeColor="text1"/>
                      <w:kern w:val="0"/>
                      <w:sz w:val="21"/>
                      <w:szCs w:val="21"/>
                      <w:highlight w:val="none"/>
                      <w:lang w:bidi="ar"/>
                    </w:rPr>
                    <w:t>导热油炉</w:t>
                  </w:r>
                  <w:r>
                    <w:rPr>
                      <w:snapToGrid w:val="0"/>
                      <w:color w:val="000000" w:themeColor="text1"/>
                      <w:kern w:val="0"/>
                      <w:sz w:val="21"/>
                      <w:szCs w:val="21"/>
                      <w:highlight w:val="none"/>
                    </w:rPr>
                    <w:t>排气筒</w:t>
                  </w:r>
                  <w:r>
                    <w:rPr>
                      <w:bCs/>
                      <w:color w:val="000000" w:themeColor="text1"/>
                      <w:sz w:val="21"/>
                      <w:szCs w:val="21"/>
                      <w:highlight w:val="none"/>
                    </w:rPr>
                    <w:t>DA00</w:t>
                  </w:r>
                  <w:r>
                    <w:rPr>
                      <w:rFonts w:hint="eastAsia"/>
                      <w:bCs/>
                      <w:color w:val="000000" w:themeColor="text1"/>
                      <w:sz w:val="21"/>
                      <w:szCs w:val="21"/>
                      <w:highlight w:val="none"/>
                    </w:rPr>
                    <w:t>3</w:t>
                  </w:r>
                </w:p>
              </w:tc>
              <w:tc>
                <w:tcPr>
                  <w:tcW w:w="1148"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颗粒物、SO</w:t>
                  </w:r>
                  <w:r>
                    <w:rPr>
                      <w:color w:val="000000" w:themeColor="text1"/>
                      <w:sz w:val="21"/>
                      <w:szCs w:val="21"/>
                      <w:highlight w:val="none"/>
                      <w:vertAlign w:val="subscript"/>
                    </w:rPr>
                    <w:t>2</w:t>
                  </w:r>
                  <w:r>
                    <w:rPr>
                      <w:color w:val="000000" w:themeColor="text1"/>
                      <w:sz w:val="21"/>
                      <w:szCs w:val="21"/>
                      <w:highlight w:val="none"/>
                    </w:rPr>
                    <w:t>、</w:t>
                  </w:r>
                  <w:r>
                    <w:rPr>
                      <w:rFonts w:hint="eastAsia"/>
                      <w:color w:val="000000" w:themeColor="text1"/>
                      <w:sz w:val="21"/>
                      <w:szCs w:val="21"/>
                      <w:highlight w:val="none"/>
                    </w:rPr>
                    <w:t>林格曼黑度</w:t>
                  </w:r>
                </w:p>
              </w:tc>
              <w:tc>
                <w:tcPr>
                  <w:tcW w:w="503" w:type="pct"/>
                  <w:vAlign w:val="center"/>
                </w:tcPr>
                <w:p>
                  <w:pPr>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年</w:t>
                  </w:r>
                </w:p>
              </w:tc>
              <w:tc>
                <w:tcPr>
                  <w:tcW w:w="2155" w:type="pct"/>
                  <w:vMerge w:val="restar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《锅炉大气污染物排放标准》（DB13/5161-2020）表1大气污染物排放限值中燃气锅炉标准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Merge w:val="continue"/>
                  <w:vAlign w:val="center"/>
                </w:tcPr>
                <w:p>
                  <w:pPr>
                    <w:spacing w:line="240" w:lineRule="auto"/>
                    <w:ind w:firstLine="0" w:firstLineChars="0"/>
                    <w:jc w:val="center"/>
                    <w:rPr>
                      <w:color w:val="000000" w:themeColor="text1"/>
                      <w:sz w:val="21"/>
                      <w:szCs w:val="21"/>
                      <w:highlight w:val="none"/>
                    </w:rPr>
                  </w:pPr>
                </w:p>
              </w:tc>
              <w:tc>
                <w:tcPr>
                  <w:tcW w:w="1148"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NOx</w:t>
                  </w:r>
                </w:p>
              </w:tc>
              <w:tc>
                <w:tcPr>
                  <w:tcW w:w="503"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1次/月</w:t>
                  </w:r>
                </w:p>
              </w:tc>
              <w:tc>
                <w:tcPr>
                  <w:tcW w:w="2155" w:type="pct"/>
                  <w:vMerge w:val="continue"/>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Align w:val="center"/>
                </w:tcPr>
                <w:p>
                  <w:pPr>
                    <w:pStyle w:val="59"/>
                    <w:spacing w:line="240" w:lineRule="auto"/>
                    <w:ind w:firstLine="0" w:firstLineChars="0"/>
                    <w:jc w:val="center"/>
                    <w:rPr>
                      <w:rFonts w:ascii="Times New Roman" w:hAnsi="Times New Roman" w:cs="Times New Roman"/>
                      <w:color w:val="000000" w:themeColor="text1"/>
                      <w:sz w:val="21"/>
                      <w:szCs w:val="21"/>
                      <w:highlight w:val="none"/>
                    </w:rPr>
                  </w:pPr>
                  <w:r>
                    <w:rPr>
                      <w:rFonts w:hint="eastAsia" w:ascii="Times New Roman" w:hAnsi="Times New Roman"/>
                      <w:color w:val="000000" w:themeColor="text1"/>
                      <w:sz w:val="21"/>
                      <w:szCs w:val="21"/>
                      <w:highlight w:val="none"/>
                    </w:rPr>
                    <w:t>矿粉筒仓</w:t>
                  </w:r>
                  <w:r>
                    <w:rPr>
                      <w:rFonts w:ascii="Times New Roman" w:hAnsi="Times New Roman" w:cs="Times New Roman"/>
                      <w:snapToGrid w:val="0"/>
                      <w:color w:val="000000" w:themeColor="text1"/>
                      <w:kern w:val="0"/>
                      <w:sz w:val="21"/>
                      <w:szCs w:val="21"/>
                      <w:highlight w:val="none"/>
                    </w:rPr>
                    <w:t>排气筒</w:t>
                  </w:r>
                  <w:r>
                    <w:rPr>
                      <w:rFonts w:ascii="Times New Roman" w:hAnsi="Times New Roman" w:cs="Times New Roman"/>
                      <w:bCs/>
                      <w:color w:val="000000" w:themeColor="text1"/>
                      <w:sz w:val="21"/>
                      <w:szCs w:val="21"/>
                      <w:highlight w:val="none"/>
                    </w:rPr>
                    <w:t>DA00</w:t>
                  </w:r>
                  <w:r>
                    <w:rPr>
                      <w:rFonts w:hint="eastAsia" w:ascii="Times New Roman" w:hAnsi="Times New Roman" w:cs="Times New Roman"/>
                      <w:bCs/>
                      <w:color w:val="000000" w:themeColor="text1"/>
                      <w:sz w:val="21"/>
                      <w:szCs w:val="21"/>
                      <w:highlight w:val="none"/>
                    </w:rPr>
                    <w:t>4</w:t>
                  </w:r>
                </w:p>
              </w:tc>
              <w:tc>
                <w:tcPr>
                  <w:tcW w:w="1148"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颗粒物</w:t>
                  </w:r>
                </w:p>
              </w:tc>
              <w:tc>
                <w:tcPr>
                  <w:tcW w:w="503" w:type="pct"/>
                  <w:vAlign w:val="center"/>
                </w:tcPr>
                <w:p>
                  <w:pPr>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年</w:t>
                  </w:r>
                </w:p>
              </w:tc>
              <w:tc>
                <w:tcPr>
                  <w:tcW w:w="2155"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《大气污染物综合排放标准》（GB16297-1996）中表2标准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Merge w:val="restar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厂界</w:t>
                  </w:r>
                </w:p>
              </w:tc>
              <w:tc>
                <w:tcPr>
                  <w:tcW w:w="1148"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颗粒物</w:t>
                  </w:r>
                </w:p>
              </w:tc>
              <w:tc>
                <w:tcPr>
                  <w:tcW w:w="503" w:type="pct"/>
                  <w:vMerge w:val="restart"/>
                  <w:vAlign w:val="center"/>
                </w:tcPr>
                <w:p>
                  <w:pPr>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年</w:t>
                  </w:r>
                </w:p>
              </w:tc>
              <w:tc>
                <w:tcPr>
                  <w:tcW w:w="2155" w:type="pct"/>
                  <w:vMerge w:val="restar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《大气污染物综合排放标准》（GB16297-1996）中表2标准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Merge w:val="continue"/>
                  <w:vAlign w:val="center"/>
                </w:tcPr>
                <w:p>
                  <w:pPr>
                    <w:spacing w:line="240" w:lineRule="auto"/>
                    <w:ind w:firstLine="0" w:firstLineChars="0"/>
                    <w:jc w:val="center"/>
                    <w:rPr>
                      <w:color w:val="000000" w:themeColor="text1"/>
                      <w:sz w:val="21"/>
                      <w:szCs w:val="21"/>
                      <w:highlight w:val="none"/>
                    </w:rPr>
                  </w:pPr>
                </w:p>
              </w:tc>
              <w:tc>
                <w:tcPr>
                  <w:tcW w:w="1148" w:type="pct"/>
                  <w:vAlign w:val="center"/>
                </w:tcPr>
                <w:p>
                  <w:pPr>
                    <w:spacing w:line="240" w:lineRule="auto"/>
                    <w:ind w:firstLine="0" w:firstLineChars="0"/>
                    <w:jc w:val="center"/>
                    <w:rPr>
                      <w:color w:val="000000" w:themeColor="text1"/>
                      <w:sz w:val="21"/>
                      <w:szCs w:val="21"/>
                      <w:highlight w:val="none"/>
                    </w:rPr>
                  </w:pPr>
                  <w:r>
                    <w:rPr>
                      <w:rFonts w:hint="eastAsia" w:hAnsi="宋体"/>
                      <w:color w:val="000000" w:themeColor="text1"/>
                      <w:sz w:val="21"/>
                      <w:szCs w:val="21"/>
                      <w:highlight w:val="none"/>
                    </w:rPr>
                    <w:t>沥青烟、苯并[a]芘</w:t>
                  </w:r>
                </w:p>
              </w:tc>
              <w:tc>
                <w:tcPr>
                  <w:tcW w:w="503" w:type="pct"/>
                  <w:vMerge w:val="continue"/>
                  <w:vAlign w:val="center"/>
                </w:tcPr>
                <w:p>
                  <w:pPr>
                    <w:spacing w:line="240" w:lineRule="auto"/>
                    <w:ind w:firstLine="0" w:firstLineChars="0"/>
                    <w:jc w:val="center"/>
                    <w:rPr>
                      <w:color w:val="000000" w:themeColor="text1"/>
                      <w:sz w:val="21"/>
                      <w:szCs w:val="21"/>
                      <w:highlight w:val="none"/>
                    </w:rPr>
                  </w:pPr>
                </w:p>
              </w:tc>
              <w:tc>
                <w:tcPr>
                  <w:tcW w:w="2155" w:type="pct"/>
                  <w:vMerge w:val="continue"/>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Merge w:val="continue"/>
                  <w:vAlign w:val="center"/>
                </w:tcPr>
                <w:p>
                  <w:pPr>
                    <w:spacing w:line="240" w:lineRule="auto"/>
                    <w:ind w:firstLine="0" w:firstLineChars="0"/>
                    <w:jc w:val="center"/>
                    <w:rPr>
                      <w:color w:val="000000" w:themeColor="text1"/>
                      <w:sz w:val="21"/>
                      <w:szCs w:val="21"/>
                      <w:highlight w:val="none"/>
                    </w:rPr>
                  </w:pPr>
                </w:p>
              </w:tc>
              <w:tc>
                <w:tcPr>
                  <w:tcW w:w="1148" w:type="pct"/>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非甲烷总烃</w:t>
                  </w:r>
                </w:p>
              </w:tc>
              <w:tc>
                <w:tcPr>
                  <w:tcW w:w="503" w:type="pct"/>
                  <w:vAlign w:val="center"/>
                </w:tcPr>
                <w:p>
                  <w:pPr>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年</w:t>
                  </w:r>
                </w:p>
              </w:tc>
              <w:tc>
                <w:tcPr>
                  <w:tcW w:w="2155"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hAnsi="宋体"/>
                      <w:color w:val="000000" w:themeColor="text1"/>
                      <w:sz w:val="21"/>
                      <w:szCs w:val="21"/>
                      <w:highlight w:val="none"/>
                    </w:rPr>
                    <w:t>《工业企业挥发性有机物排放控制标准》（DB13/2322-2016）无组织排放标准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Merge w:val="continue"/>
                  <w:vAlign w:val="center"/>
                </w:tcPr>
                <w:p>
                  <w:pPr>
                    <w:spacing w:line="240" w:lineRule="auto"/>
                    <w:ind w:firstLine="0" w:firstLineChars="0"/>
                    <w:jc w:val="center"/>
                    <w:rPr>
                      <w:color w:val="000000" w:themeColor="text1"/>
                      <w:sz w:val="21"/>
                      <w:szCs w:val="21"/>
                      <w:highlight w:val="none"/>
                    </w:rPr>
                  </w:pPr>
                </w:p>
              </w:tc>
              <w:tc>
                <w:tcPr>
                  <w:tcW w:w="797" w:type="pct"/>
                  <w:vMerge w:val="continue"/>
                  <w:vAlign w:val="center"/>
                </w:tcPr>
                <w:p>
                  <w:pPr>
                    <w:spacing w:line="240" w:lineRule="auto"/>
                    <w:ind w:firstLine="0" w:firstLineChars="0"/>
                    <w:jc w:val="center"/>
                    <w:rPr>
                      <w:color w:val="000000" w:themeColor="text1"/>
                      <w:sz w:val="21"/>
                      <w:szCs w:val="21"/>
                      <w:highlight w:val="none"/>
                    </w:rPr>
                  </w:pPr>
                </w:p>
              </w:tc>
              <w:tc>
                <w:tcPr>
                  <w:tcW w:w="1148" w:type="pct"/>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臭气浓度</w:t>
                  </w:r>
                </w:p>
              </w:tc>
              <w:tc>
                <w:tcPr>
                  <w:tcW w:w="503" w:type="pct"/>
                  <w:vAlign w:val="center"/>
                </w:tcPr>
                <w:p>
                  <w:pPr>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1</w:t>
                  </w:r>
                  <w:r>
                    <w:rPr>
                      <w:rFonts w:hint="eastAsia" w:ascii="宋体" w:hAnsi="宋体" w:cs="宋体"/>
                      <w:color w:val="000000" w:themeColor="text1"/>
                      <w:kern w:val="0"/>
                      <w:sz w:val="21"/>
                      <w:szCs w:val="21"/>
                      <w:highlight w:val="none"/>
                      <w:lang w:bidi="ar"/>
                    </w:rPr>
                    <w:t>次</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年</w:t>
                  </w:r>
                </w:p>
              </w:tc>
              <w:tc>
                <w:tcPr>
                  <w:tcW w:w="2155" w:type="pct"/>
                  <w:vAlign w:val="center"/>
                </w:tcPr>
                <w:p>
                  <w:pPr>
                    <w:topLinePunct/>
                    <w:spacing w:line="240" w:lineRule="auto"/>
                    <w:ind w:firstLine="0" w:firstLineChars="0"/>
                    <w:jc w:val="center"/>
                    <w:textAlignment w:val="center"/>
                    <w:rPr>
                      <w:color w:val="000000" w:themeColor="text1"/>
                      <w:sz w:val="21"/>
                      <w:szCs w:val="21"/>
                      <w:highlight w:val="none"/>
                    </w:rPr>
                  </w:pPr>
                  <w:r>
                    <w:rPr>
                      <w:rFonts w:hint="eastAsia"/>
                      <w:color w:val="000000" w:themeColor="text1"/>
                      <w:sz w:val="21"/>
                      <w:szCs w:val="21"/>
                      <w:highlight w:val="none"/>
                    </w:rPr>
                    <w:t>《恶臭污染物排放标准》（GB14554-93）</w:t>
                  </w:r>
                </w:p>
              </w:tc>
            </w:tr>
          </w:tbl>
          <w:p>
            <w:pPr>
              <w:pStyle w:val="17"/>
              <w:widowControl w:val="0"/>
              <w:adjustRightInd/>
              <w:ind w:left="547" w:leftChars="228" w:firstLine="0" w:firstLineChars="0"/>
              <w:rPr>
                <w:rFonts w:hint="default" w:ascii="Times New Roman" w:hAnsi="Times New Roman"/>
                <w:b/>
                <w:color w:val="000000" w:themeColor="text1"/>
                <w:kern w:val="2"/>
                <w:highlight w:val="none"/>
              </w:rPr>
            </w:pPr>
            <w:r>
              <w:rPr>
                <w:rFonts w:hint="default" w:ascii="Times New Roman" w:hAnsi="Times New Roman"/>
                <w:b/>
                <w:color w:val="000000" w:themeColor="text1"/>
                <w:kern w:val="2"/>
                <w:highlight w:val="none"/>
              </w:rPr>
              <w:t>2、</w:t>
            </w:r>
            <w:r>
              <w:rPr>
                <w:rFonts w:ascii="Times New Roman" w:hAnsi="Times New Roman"/>
                <w:b/>
                <w:color w:val="000000" w:themeColor="text1"/>
                <w:kern w:val="2"/>
                <w:highlight w:val="none"/>
              </w:rPr>
              <w:t>废水</w:t>
            </w:r>
          </w:p>
          <w:p>
            <w:pPr>
              <w:pStyle w:val="33"/>
              <w:snapToGrid w:val="0"/>
              <w:spacing w:line="360" w:lineRule="auto"/>
              <w:ind w:firstLine="480" w:firstLineChars="200"/>
              <w:jc w:val="both"/>
              <w:rPr>
                <w:rFonts w:ascii="Times New Roman" w:cs="Times New Roman"/>
                <w:color w:val="000000" w:themeColor="text1"/>
                <w:highlight w:val="none"/>
              </w:rPr>
            </w:pPr>
            <w:r>
              <w:rPr>
                <w:rFonts w:ascii="Times New Roman" w:cs="Times New Roman"/>
                <w:color w:val="000000" w:themeColor="text1"/>
                <w:sz w:val="24"/>
                <w:szCs w:val="24"/>
                <w:highlight w:val="none"/>
              </w:rPr>
              <w:t>项目</w:t>
            </w:r>
            <w:r>
              <w:rPr>
                <w:rFonts w:hint="eastAsia"/>
                <w:color w:val="000000" w:themeColor="text1"/>
                <w:sz w:val="24"/>
                <w:szCs w:val="24"/>
                <w:highlight w:val="none"/>
                <w:lang w:val="en-US" w:eastAsia="zh-CN"/>
              </w:rPr>
              <w:t>员工由承平</w:t>
            </w:r>
            <w:r>
              <w:rPr>
                <w:rFonts w:hint="default" w:ascii="Times New Roman" w:hAnsi="Times New Roman" w:cs="Times New Roman"/>
                <w:color w:val="000000" w:themeColor="text1"/>
                <w:sz w:val="24"/>
                <w:szCs w:val="24"/>
                <w:highlight w:val="none"/>
                <w:lang w:val="en-US" w:eastAsia="zh-CN"/>
              </w:rPr>
              <w:t>高速LM1标项目经理部内部调剂，不新增劳动定员，无生活污水排放</w:t>
            </w:r>
            <w:r>
              <w:rPr>
                <w:rFonts w:hint="default" w:ascii="Times New Roman" w:hAnsi="Times New Roman" w:cs="Times New Roman"/>
                <w:color w:val="000000" w:themeColor="text1"/>
                <w:highlight w:val="none"/>
              </w:rPr>
              <w:t>；生产工序抑尘用水</w:t>
            </w:r>
            <w:r>
              <w:rPr>
                <w:rFonts w:hint="default" w:ascii="Times New Roman" w:hAnsi="Times New Roman" w:cs="Times New Roman"/>
                <w:color w:val="000000" w:themeColor="text1"/>
                <w:szCs w:val="21"/>
                <w:highlight w:val="none"/>
              </w:rPr>
              <w:t>和</w:t>
            </w:r>
            <w:r>
              <w:rPr>
                <w:rFonts w:hint="default" w:ascii="Times New Roman" w:hAnsi="Times New Roman" w:cs="Times New Roman"/>
                <w:color w:val="000000" w:themeColor="text1"/>
                <w:highlight w:val="none"/>
              </w:rPr>
              <w:t>厂区内运输道路降</w:t>
            </w:r>
            <w:r>
              <w:rPr>
                <w:rFonts w:ascii="Times New Roman" w:cs="Times New Roman"/>
                <w:color w:val="000000" w:themeColor="text1"/>
                <w:highlight w:val="none"/>
              </w:rPr>
              <w:t>尘用水</w:t>
            </w:r>
            <w:r>
              <w:rPr>
                <w:rFonts w:hint="eastAsia" w:ascii="Times New Roman" w:cs="Times New Roman"/>
                <w:color w:val="000000" w:themeColor="text1"/>
                <w:highlight w:val="none"/>
              </w:rPr>
              <w:t>全部</w:t>
            </w:r>
            <w:r>
              <w:rPr>
                <w:rFonts w:ascii="Times New Roman" w:cs="Times New Roman"/>
                <w:color w:val="000000" w:themeColor="text1"/>
                <w:highlight w:val="none"/>
              </w:rPr>
              <w:t>蒸发</w:t>
            </w:r>
            <w:r>
              <w:rPr>
                <w:rFonts w:hint="eastAsia" w:ascii="Times New Roman" w:cs="Times New Roman"/>
                <w:color w:val="000000" w:themeColor="text1"/>
                <w:highlight w:val="none"/>
              </w:rPr>
              <w:t>或</w:t>
            </w:r>
            <w:r>
              <w:rPr>
                <w:rFonts w:ascii="Times New Roman" w:cs="Times New Roman"/>
                <w:color w:val="000000" w:themeColor="text1"/>
                <w:highlight w:val="none"/>
              </w:rPr>
              <w:t>损耗，无</w:t>
            </w:r>
            <w:r>
              <w:rPr>
                <w:rFonts w:hint="eastAsia" w:ascii="Times New Roman" w:cs="Times New Roman"/>
                <w:color w:val="000000" w:themeColor="text1"/>
                <w:highlight w:val="none"/>
                <w:lang w:val="en-US" w:eastAsia="zh-CN"/>
              </w:rPr>
              <w:t>生产</w:t>
            </w:r>
            <w:r>
              <w:rPr>
                <w:rFonts w:ascii="Times New Roman" w:cs="Times New Roman"/>
                <w:color w:val="000000" w:themeColor="text1"/>
                <w:highlight w:val="none"/>
              </w:rPr>
              <w:t>废水排放。</w:t>
            </w:r>
          </w:p>
          <w:p>
            <w:pPr>
              <w:pStyle w:val="17"/>
              <w:widowControl w:val="0"/>
              <w:adjustRightInd/>
              <w:ind w:left="547" w:leftChars="228" w:firstLine="0" w:firstLineChars="0"/>
              <w:rPr>
                <w:rFonts w:hint="default" w:ascii="Times New Roman" w:hAnsi="Times New Roman"/>
                <w:b/>
                <w:color w:val="000000" w:themeColor="text1"/>
                <w:kern w:val="2"/>
                <w:highlight w:val="none"/>
              </w:rPr>
            </w:pPr>
            <w:r>
              <w:rPr>
                <w:rFonts w:hint="default" w:ascii="Times New Roman" w:hAnsi="Times New Roman"/>
                <w:b/>
                <w:color w:val="000000" w:themeColor="text1"/>
                <w:kern w:val="2"/>
                <w:highlight w:val="none"/>
              </w:rPr>
              <w:t>3、</w:t>
            </w:r>
            <w:r>
              <w:rPr>
                <w:rFonts w:ascii="Times New Roman" w:hAnsi="Times New Roman"/>
                <w:b/>
                <w:color w:val="000000" w:themeColor="text1"/>
                <w:kern w:val="2"/>
                <w:highlight w:val="none"/>
              </w:rPr>
              <w:t>噪声</w:t>
            </w:r>
          </w:p>
          <w:p>
            <w:pPr>
              <w:spacing w:before="120" w:beforeLines="50"/>
              <w:ind w:firstLine="482"/>
              <w:rPr>
                <w:b/>
                <w:bCs/>
                <w:color w:val="000000" w:themeColor="text1"/>
                <w:highlight w:val="none"/>
              </w:rPr>
            </w:pPr>
            <w:r>
              <w:rPr>
                <w:b/>
                <w:bCs/>
                <w:color w:val="000000" w:themeColor="text1"/>
                <w:highlight w:val="none"/>
              </w:rPr>
              <w:t>（1）</w:t>
            </w:r>
            <w:r>
              <w:rPr>
                <w:rFonts w:hint="eastAsia"/>
                <w:b/>
                <w:bCs/>
                <w:color w:val="000000" w:themeColor="text1"/>
                <w:highlight w:val="none"/>
              </w:rPr>
              <w:t>噪声源强</w:t>
            </w:r>
            <w:r>
              <w:rPr>
                <w:b/>
                <w:bCs/>
                <w:color w:val="000000" w:themeColor="text1"/>
                <w:highlight w:val="none"/>
              </w:rPr>
              <w:t>分析</w:t>
            </w:r>
          </w:p>
          <w:p>
            <w:pPr>
              <w:ind w:firstLine="480"/>
              <w:rPr>
                <w:color w:val="000000" w:themeColor="text1"/>
                <w:highlight w:val="none"/>
              </w:rPr>
            </w:pPr>
            <w:r>
              <w:rPr>
                <w:color w:val="000000" w:themeColor="text1"/>
                <w:highlight w:val="none"/>
              </w:rPr>
              <w:t>本项目生产运行阶段主要噪声源为</w:t>
            </w:r>
            <w:r>
              <w:rPr>
                <w:rFonts w:hint="eastAsia"/>
                <w:color w:val="000000" w:themeColor="text1"/>
                <w:highlight w:val="none"/>
              </w:rPr>
              <w:t>烘干滚筒</w:t>
            </w:r>
            <w:r>
              <w:rPr>
                <w:color w:val="000000" w:themeColor="text1"/>
                <w:highlight w:val="none"/>
              </w:rPr>
              <w:t>、</w:t>
            </w:r>
            <w:r>
              <w:rPr>
                <w:rFonts w:hint="eastAsia"/>
                <w:color w:val="000000" w:themeColor="text1"/>
                <w:highlight w:val="none"/>
              </w:rPr>
              <w:t>振动筛、搅拌器</w:t>
            </w:r>
            <w:r>
              <w:rPr>
                <w:color w:val="000000" w:themeColor="text1"/>
                <w:kern w:val="44"/>
                <w:highlight w:val="none"/>
              </w:rPr>
              <w:t>等设备运行过程中产生的机械噪声以及运输车辆产生的交通噪声等，</w:t>
            </w:r>
            <w:r>
              <w:rPr>
                <w:color w:val="000000" w:themeColor="text1"/>
                <w:highlight w:val="none"/>
              </w:rPr>
              <w:t>噪声源强为70~9</w:t>
            </w:r>
            <w:r>
              <w:rPr>
                <w:rFonts w:hint="eastAsia"/>
                <w:color w:val="000000" w:themeColor="text1"/>
                <w:highlight w:val="none"/>
              </w:rPr>
              <w:t>0</w:t>
            </w:r>
            <w:r>
              <w:rPr>
                <w:color w:val="000000" w:themeColor="text1"/>
                <w:highlight w:val="none"/>
              </w:rPr>
              <w:t>dB（A），噪声源强见下表。</w:t>
            </w:r>
          </w:p>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工业企业噪声源强调查清单（室外声源）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134"/>
              <w:gridCol w:w="664"/>
              <w:gridCol w:w="870"/>
              <w:gridCol w:w="795"/>
              <w:gridCol w:w="1770"/>
              <w:gridCol w:w="1125"/>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vMerge w:val="restart"/>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序号</w:t>
                  </w:r>
                </w:p>
              </w:tc>
              <w:tc>
                <w:tcPr>
                  <w:tcW w:w="1134" w:type="dxa"/>
                  <w:vMerge w:val="restart"/>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声源</w:t>
                  </w:r>
                </w:p>
              </w:tc>
              <w:tc>
                <w:tcPr>
                  <w:tcW w:w="2329" w:type="dxa"/>
                  <w:gridSpan w:val="3"/>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相对空间位置/m</w:t>
                  </w:r>
                </w:p>
              </w:tc>
              <w:tc>
                <w:tcPr>
                  <w:tcW w:w="1770" w:type="dxa"/>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声源源强</w:t>
                  </w:r>
                </w:p>
              </w:tc>
              <w:tc>
                <w:tcPr>
                  <w:tcW w:w="1125" w:type="dxa"/>
                  <w:vMerge w:val="restart"/>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声源控制措施</w:t>
                  </w:r>
                </w:p>
              </w:tc>
              <w:tc>
                <w:tcPr>
                  <w:tcW w:w="1050" w:type="dxa"/>
                  <w:vMerge w:val="restart"/>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c>
                <w:tcPr>
                  <w:tcW w:w="1134"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c>
                <w:tcPr>
                  <w:tcW w:w="664" w:type="dxa"/>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X</w:t>
                  </w:r>
                </w:p>
              </w:tc>
              <w:tc>
                <w:tcPr>
                  <w:tcW w:w="870" w:type="dxa"/>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Y</w:t>
                  </w:r>
                </w:p>
              </w:tc>
              <w:tc>
                <w:tcPr>
                  <w:tcW w:w="795" w:type="dxa"/>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Z</w:t>
                  </w:r>
                </w:p>
              </w:tc>
              <w:tc>
                <w:tcPr>
                  <w:tcW w:w="1770" w:type="dxa"/>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声功率级dB(A)</w:t>
                  </w:r>
                </w:p>
              </w:tc>
              <w:tc>
                <w:tcPr>
                  <w:tcW w:w="1125"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c>
                <w:tcPr>
                  <w:tcW w:w="1050"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w:t>
                  </w:r>
                </w:p>
              </w:tc>
              <w:tc>
                <w:tcPr>
                  <w:tcW w:w="1134" w:type="dxa"/>
                  <w:shd w:val="clear" w:color="auto" w:fill="auto"/>
                  <w:vAlign w:val="center"/>
                </w:tcPr>
                <w:p>
                  <w:pPr>
                    <w:pStyle w:val="53"/>
                    <w:spacing w:line="240" w:lineRule="auto"/>
                    <w:rPr>
                      <w:b/>
                      <w:bCs/>
                      <w:color w:val="000000" w:themeColor="text1"/>
                      <w:highlight w:val="none"/>
                    </w:rPr>
                  </w:pPr>
                  <w:r>
                    <w:rPr>
                      <w:color w:val="000000" w:themeColor="text1"/>
                      <w:highlight w:val="none"/>
                    </w:rPr>
                    <w:t>烘干滚筒</w:t>
                  </w:r>
                </w:p>
              </w:tc>
              <w:tc>
                <w:tcPr>
                  <w:tcW w:w="66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24</w:t>
                  </w:r>
                </w:p>
              </w:tc>
              <w:tc>
                <w:tcPr>
                  <w:tcW w:w="870"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8</w:t>
                  </w:r>
                </w:p>
              </w:tc>
              <w:tc>
                <w:tcPr>
                  <w:tcW w:w="795"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w:t>
                  </w:r>
                </w:p>
              </w:tc>
              <w:tc>
                <w:tcPr>
                  <w:tcW w:w="1770" w:type="dxa"/>
                  <w:shd w:val="clear" w:color="auto" w:fill="auto"/>
                  <w:vAlign w:val="center"/>
                </w:tcPr>
                <w:p>
                  <w:pPr>
                    <w:pStyle w:val="56"/>
                    <w:rPr>
                      <w:b/>
                      <w:bCs/>
                      <w:color w:val="000000" w:themeColor="text1"/>
                      <w:szCs w:val="21"/>
                      <w:highlight w:val="none"/>
                    </w:rPr>
                  </w:pPr>
                  <w:r>
                    <w:rPr>
                      <w:color w:val="000000" w:themeColor="text1"/>
                      <w:szCs w:val="21"/>
                      <w:highlight w:val="none"/>
                    </w:rPr>
                    <w:t>85</w:t>
                  </w:r>
                </w:p>
              </w:tc>
              <w:tc>
                <w:tcPr>
                  <w:tcW w:w="1125" w:type="dxa"/>
                  <w:vMerge w:val="restart"/>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color w:val="000000" w:themeColor="text1"/>
                      <w:sz w:val="21"/>
                      <w:szCs w:val="21"/>
                      <w:highlight w:val="none"/>
                    </w:rPr>
                    <w:t>选用低噪声设备、基础减震</w:t>
                  </w:r>
                  <w:r>
                    <w:rPr>
                      <w:rFonts w:hint="eastAsia"/>
                      <w:color w:val="000000" w:themeColor="text1"/>
                      <w:sz w:val="21"/>
                      <w:szCs w:val="21"/>
                      <w:highlight w:val="none"/>
                    </w:rPr>
                    <w:t>，厂房隔声</w:t>
                  </w:r>
                </w:p>
              </w:tc>
              <w:tc>
                <w:tcPr>
                  <w:tcW w:w="1050" w:type="dxa"/>
                  <w:vMerge w:val="restart"/>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color w:val="000000" w:themeColor="text1"/>
                      <w:szCs w:val="21"/>
                      <w:highlight w:val="none"/>
                    </w:rPr>
                    <w:t>每</w:t>
                  </w:r>
                  <w:r>
                    <w:rPr>
                      <w:rFonts w:hint="eastAsia"/>
                      <w:color w:val="000000" w:themeColor="text1"/>
                      <w:szCs w:val="21"/>
                      <w:highlight w:val="none"/>
                    </w:rPr>
                    <w:t>天2</w:t>
                  </w:r>
                  <w:r>
                    <w:rPr>
                      <w:color w:val="000000" w:themeColor="text1"/>
                      <w:szCs w:val="21"/>
                      <w:highlight w:val="none"/>
                    </w:rPr>
                    <w:t>班，每班8</w:t>
                  </w:r>
                  <w:r>
                    <w:rPr>
                      <w:rFonts w:hint="eastAsia"/>
                      <w:color w:val="000000" w:themeColor="text1"/>
                      <w:szCs w:val="21"/>
                      <w:highlight w:val="none"/>
                    </w:rPr>
                    <w:t>h</w:t>
                  </w:r>
                  <w:r>
                    <w:rPr>
                      <w:color w:val="000000" w:themeColor="text1"/>
                      <w:szCs w:val="21"/>
                      <w:highlight w:val="none"/>
                    </w:rPr>
                    <w:t>，</w:t>
                  </w:r>
                  <w:r>
                    <w:rPr>
                      <w:rFonts w:hint="eastAsia"/>
                      <w:color w:val="000000" w:themeColor="text1"/>
                      <w:highlight w:val="none"/>
                    </w:rPr>
                    <w:t>只在昼间运行。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2</w:t>
                  </w:r>
                </w:p>
              </w:tc>
              <w:tc>
                <w:tcPr>
                  <w:tcW w:w="1134" w:type="dxa"/>
                  <w:shd w:val="clear" w:color="auto" w:fill="auto"/>
                  <w:vAlign w:val="center"/>
                </w:tcPr>
                <w:p>
                  <w:pPr>
                    <w:pStyle w:val="53"/>
                    <w:spacing w:line="240" w:lineRule="auto"/>
                    <w:rPr>
                      <w:b/>
                      <w:bCs/>
                      <w:color w:val="000000" w:themeColor="text1"/>
                      <w:highlight w:val="none"/>
                    </w:rPr>
                  </w:pPr>
                  <w:r>
                    <w:rPr>
                      <w:color w:val="000000" w:themeColor="text1"/>
                      <w:highlight w:val="none"/>
                    </w:rPr>
                    <w:t>风机</w:t>
                  </w:r>
                </w:p>
              </w:tc>
              <w:tc>
                <w:tcPr>
                  <w:tcW w:w="66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3</w:t>
                  </w:r>
                </w:p>
              </w:tc>
              <w:tc>
                <w:tcPr>
                  <w:tcW w:w="870"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9</w:t>
                  </w:r>
                </w:p>
              </w:tc>
              <w:tc>
                <w:tcPr>
                  <w:tcW w:w="795"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w:t>
                  </w:r>
                </w:p>
              </w:tc>
              <w:tc>
                <w:tcPr>
                  <w:tcW w:w="1770" w:type="dxa"/>
                  <w:shd w:val="clear" w:color="auto" w:fill="auto"/>
                  <w:vAlign w:val="center"/>
                </w:tcPr>
                <w:p>
                  <w:pPr>
                    <w:pStyle w:val="56"/>
                    <w:rPr>
                      <w:b/>
                      <w:bCs/>
                      <w:color w:val="000000" w:themeColor="text1"/>
                      <w:szCs w:val="21"/>
                      <w:highlight w:val="none"/>
                    </w:rPr>
                  </w:pPr>
                  <w:r>
                    <w:rPr>
                      <w:color w:val="000000" w:themeColor="text1"/>
                      <w:szCs w:val="21"/>
                      <w:highlight w:val="none"/>
                    </w:rPr>
                    <w:t>87</w:t>
                  </w:r>
                </w:p>
              </w:tc>
              <w:tc>
                <w:tcPr>
                  <w:tcW w:w="1125"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c>
                <w:tcPr>
                  <w:tcW w:w="1050"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3</w:t>
                  </w:r>
                </w:p>
              </w:tc>
              <w:tc>
                <w:tcPr>
                  <w:tcW w:w="1134" w:type="dxa"/>
                  <w:shd w:val="clear" w:color="auto" w:fill="auto"/>
                  <w:vAlign w:val="center"/>
                </w:tcPr>
                <w:p>
                  <w:pPr>
                    <w:pStyle w:val="53"/>
                    <w:spacing w:line="240" w:lineRule="auto"/>
                    <w:rPr>
                      <w:b/>
                      <w:bCs/>
                      <w:color w:val="000000" w:themeColor="text1"/>
                      <w:highlight w:val="none"/>
                    </w:rPr>
                  </w:pPr>
                  <w:r>
                    <w:rPr>
                      <w:color w:val="000000" w:themeColor="text1"/>
                      <w:highlight w:val="none"/>
                    </w:rPr>
                    <w:t>沥青泵</w:t>
                  </w:r>
                </w:p>
              </w:tc>
              <w:tc>
                <w:tcPr>
                  <w:tcW w:w="66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14</w:t>
                  </w:r>
                </w:p>
              </w:tc>
              <w:tc>
                <w:tcPr>
                  <w:tcW w:w="870"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10</w:t>
                  </w:r>
                </w:p>
              </w:tc>
              <w:tc>
                <w:tcPr>
                  <w:tcW w:w="795"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w:t>
                  </w:r>
                </w:p>
              </w:tc>
              <w:tc>
                <w:tcPr>
                  <w:tcW w:w="1770" w:type="dxa"/>
                  <w:shd w:val="clear" w:color="auto" w:fill="auto"/>
                  <w:vAlign w:val="center"/>
                </w:tcPr>
                <w:p>
                  <w:pPr>
                    <w:pStyle w:val="56"/>
                    <w:rPr>
                      <w:b/>
                      <w:bCs/>
                      <w:color w:val="000000" w:themeColor="text1"/>
                      <w:szCs w:val="21"/>
                      <w:highlight w:val="none"/>
                    </w:rPr>
                  </w:pPr>
                  <w:r>
                    <w:rPr>
                      <w:color w:val="000000" w:themeColor="text1"/>
                      <w:szCs w:val="21"/>
                      <w:highlight w:val="none"/>
                    </w:rPr>
                    <w:t>90</w:t>
                  </w:r>
                </w:p>
              </w:tc>
              <w:tc>
                <w:tcPr>
                  <w:tcW w:w="1125"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c>
                <w:tcPr>
                  <w:tcW w:w="1050"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4</w:t>
                  </w:r>
                </w:p>
              </w:tc>
              <w:tc>
                <w:tcPr>
                  <w:tcW w:w="1134" w:type="dxa"/>
                  <w:shd w:val="clear" w:color="auto" w:fill="auto"/>
                  <w:vAlign w:val="center"/>
                </w:tcPr>
                <w:p>
                  <w:pPr>
                    <w:pStyle w:val="53"/>
                    <w:spacing w:line="240" w:lineRule="auto"/>
                    <w:rPr>
                      <w:b/>
                      <w:bCs/>
                      <w:color w:val="000000" w:themeColor="text1"/>
                      <w:highlight w:val="none"/>
                    </w:rPr>
                  </w:pPr>
                  <w:r>
                    <w:rPr>
                      <w:color w:val="000000" w:themeColor="text1"/>
                      <w:highlight w:val="none"/>
                    </w:rPr>
                    <w:t>输送机</w:t>
                  </w:r>
                </w:p>
              </w:tc>
              <w:tc>
                <w:tcPr>
                  <w:tcW w:w="66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16</w:t>
                  </w:r>
                </w:p>
              </w:tc>
              <w:tc>
                <w:tcPr>
                  <w:tcW w:w="870"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20</w:t>
                  </w:r>
                </w:p>
              </w:tc>
              <w:tc>
                <w:tcPr>
                  <w:tcW w:w="795"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w:t>
                  </w:r>
                </w:p>
              </w:tc>
              <w:tc>
                <w:tcPr>
                  <w:tcW w:w="1770" w:type="dxa"/>
                  <w:shd w:val="clear" w:color="auto" w:fill="auto"/>
                  <w:vAlign w:val="center"/>
                </w:tcPr>
                <w:p>
                  <w:pPr>
                    <w:pStyle w:val="56"/>
                    <w:rPr>
                      <w:b/>
                      <w:bCs/>
                      <w:color w:val="000000" w:themeColor="text1"/>
                      <w:szCs w:val="21"/>
                      <w:highlight w:val="none"/>
                    </w:rPr>
                  </w:pPr>
                  <w:r>
                    <w:rPr>
                      <w:color w:val="000000" w:themeColor="text1"/>
                      <w:szCs w:val="21"/>
                      <w:highlight w:val="none"/>
                    </w:rPr>
                    <w:t>7</w:t>
                  </w:r>
                  <w:r>
                    <w:rPr>
                      <w:rFonts w:hint="eastAsia"/>
                      <w:color w:val="000000" w:themeColor="text1"/>
                      <w:szCs w:val="21"/>
                      <w:highlight w:val="none"/>
                    </w:rPr>
                    <w:t>0</w:t>
                  </w:r>
                </w:p>
              </w:tc>
              <w:tc>
                <w:tcPr>
                  <w:tcW w:w="1125"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c>
                <w:tcPr>
                  <w:tcW w:w="1050" w:type="dxa"/>
                  <w:vMerge w:val="continue"/>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5</w:t>
                  </w:r>
                </w:p>
              </w:tc>
              <w:tc>
                <w:tcPr>
                  <w:tcW w:w="1134" w:type="dxa"/>
                  <w:shd w:val="clear" w:color="auto" w:fill="auto"/>
                  <w:vAlign w:val="center"/>
                </w:tcPr>
                <w:p>
                  <w:pPr>
                    <w:pStyle w:val="53"/>
                    <w:spacing w:line="240" w:lineRule="auto"/>
                    <w:rPr>
                      <w:b/>
                      <w:bCs/>
                      <w:color w:val="000000" w:themeColor="text1"/>
                      <w:highlight w:val="none"/>
                    </w:rPr>
                  </w:pPr>
                  <w:r>
                    <w:rPr>
                      <w:color w:val="000000" w:themeColor="text1"/>
                      <w:highlight w:val="none"/>
                    </w:rPr>
                    <w:t>车辆</w:t>
                  </w:r>
                </w:p>
              </w:tc>
              <w:tc>
                <w:tcPr>
                  <w:tcW w:w="664"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46</w:t>
                  </w:r>
                </w:p>
              </w:tc>
              <w:tc>
                <w:tcPr>
                  <w:tcW w:w="870"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14</w:t>
                  </w:r>
                </w:p>
              </w:tc>
              <w:tc>
                <w:tcPr>
                  <w:tcW w:w="795" w:type="dxa"/>
                  <w:shd w:val="clear" w:color="auto" w:fill="auto"/>
                  <w:vAlign w:val="center"/>
                </w:tcPr>
                <w:p>
                  <w:pPr>
                    <w:pStyle w:val="20"/>
                    <w:spacing w:before="0" w:line="240" w:lineRule="auto"/>
                    <w:ind w:right="0" w:firstLine="0" w:firstLineChars="0"/>
                    <w:jc w:val="center"/>
                    <w:rPr>
                      <w:color w:val="000000" w:themeColor="text1"/>
                      <w:sz w:val="21"/>
                      <w:szCs w:val="21"/>
                      <w:highlight w:val="none"/>
                    </w:rPr>
                  </w:pPr>
                  <w:r>
                    <w:rPr>
                      <w:rFonts w:hint="eastAsia"/>
                      <w:color w:val="000000" w:themeColor="text1"/>
                      <w:sz w:val="21"/>
                      <w:szCs w:val="21"/>
                      <w:highlight w:val="none"/>
                    </w:rPr>
                    <w:t>1</w:t>
                  </w:r>
                </w:p>
              </w:tc>
              <w:tc>
                <w:tcPr>
                  <w:tcW w:w="1770" w:type="dxa"/>
                  <w:shd w:val="clear" w:color="auto" w:fill="auto"/>
                  <w:vAlign w:val="center"/>
                </w:tcPr>
                <w:p>
                  <w:pPr>
                    <w:pStyle w:val="56"/>
                    <w:rPr>
                      <w:b/>
                      <w:bCs/>
                      <w:color w:val="000000" w:themeColor="text1"/>
                      <w:szCs w:val="21"/>
                      <w:highlight w:val="none"/>
                    </w:rPr>
                  </w:pPr>
                  <w:r>
                    <w:rPr>
                      <w:color w:val="000000" w:themeColor="text1"/>
                      <w:szCs w:val="21"/>
                      <w:highlight w:val="none"/>
                    </w:rPr>
                    <w:t>85</w:t>
                  </w:r>
                </w:p>
              </w:tc>
              <w:tc>
                <w:tcPr>
                  <w:tcW w:w="1125" w:type="dxa"/>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snapToGrid w:val="0"/>
                      <w:color w:val="000000" w:themeColor="text1"/>
                      <w:szCs w:val="21"/>
                      <w:highlight w:val="none"/>
                    </w:rPr>
                    <w:t>运输车辆禁止鸣笛、减速慢行</w:t>
                  </w:r>
                </w:p>
              </w:tc>
              <w:tc>
                <w:tcPr>
                  <w:tcW w:w="1050" w:type="dxa"/>
                  <w:shd w:val="clear" w:color="auto" w:fill="auto"/>
                  <w:vAlign w:val="center"/>
                </w:tcPr>
                <w:p>
                  <w:pPr>
                    <w:pStyle w:val="20"/>
                    <w:spacing w:before="0" w:line="240" w:lineRule="auto"/>
                    <w:ind w:right="0" w:firstLine="0" w:firstLineChars="0"/>
                    <w:jc w:val="center"/>
                    <w:rPr>
                      <w:b/>
                      <w:bCs/>
                      <w:color w:val="000000" w:themeColor="text1"/>
                      <w:sz w:val="21"/>
                      <w:szCs w:val="21"/>
                      <w:highlight w:val="none"/>
                    </w:rPr>
                  </w:pPr>
                  <w:r>
                    <w:rPr>
                      <w:rFonts w:hint="eastAsia"/>
                      <w:b/>
                      <w:bCs/>
                      <w:color w:val="000000" w:themeColor="text1"/>
                      <w:sz w:val="21"/>
                      <w:szCs w:val="21"/>
                      <w:highlight w:val="none"/>
                    </w:rPr>
                    <w:t>/</w:t>
                  </w:r>
                </w:p>
              </w:tc>
            </w:tr>
          </w:tbl>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工业企业噪声源强调查清单（室内声源）</w:t>
            </w:r>
          </w:p>
          <w:tbl>
            <w:tblPr>
              <w:tblStyle w:val="22"/>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
              <w:gridCol w:w="429"/>
              <w:gridCol w:w="936"/>
              <w:gridCol w:w="914"/>
              <w:gridCol w:w="656"/>
              <w:gridCol w:w="390"/>
              <w:gridCol w:w="474"/>
              <w:gridCol w:w="500"/>
              <w:gridCol w:w="518"/>
              <w:gridCol w:w="781"/>
              <w:gridCol w:w="435"/>
              <w:gridCol w:w="600"/>
              <w:gridCol w:w="735"/>
              <w:gridCol w:w="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314"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序号</w:t>
                  </w:r>
                </w:p>
              </w:tc>
              <w:tc>
                <w:tcPr>
                  <w:tcW w:w="430"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建筑物名称</w:t>
                  </w:r>
                </w:p>
              </w:tc>
              <w:tc>
                <w:tcPr>
                  <w:tcW w:w="937"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声源名称</w:t>
                  </w:r>
                </w:p>
              </w:tc>
              <w:tc>
                <w:tcPr>
                  <w:tcW w:w="914"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b/>
                      <w:bCs/>
                      <w:color w:val="000000" w:themeColor="text1"/>
                      <w:spacing w:val="-11"/>
                      <w:sz w:val="21"/>
                      <w:szCs w:val="21"/>
                      <w:highlight w:val="none"/>
                    </w:rPr>
                    <w:t>声源源强</w:t>
                  </w:r>
                </w:p>
              </w:tc>
              <w:tc>
                <w:tcPr>
                  <w:tcW w:w="656"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b/>
                      <w:bCs/>
                      <w:color w:val="000000" w:themeColor="text1"/>
                      <w:spacing w:val="-11"/>
                      <w:sz w:val="21"/>
                      <w:szCs w:val="21"/>
                      <w:highlight w:val="none"/>
                    </w:rPr>
                    <w:t>声源控制措施</w:t>
                  </w:r>
                </w:p>
              </w:tc>
              <w:tc>
                <w:tcPr>
                  <w:tcW w:w="1361" w:type="dxa"/>
                  <w:gridSpan w:val="3"/>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b/>
                      <w:bCs/>
                      <w:color w:val="000000" w:themeColor="text1"/>
                      <w:spacing w:val="-11"/>
                      <w:sz w:val="21"/>
                      <w:szCs w:val="21"/>
                      <w:highlight w:val="none"/>
                    </w:rPr>
                    <w:t>相对空间位置/m</w:t>
                  </w:r>
                </w:p>
              </w:tc>
              <w:tc>
                <w:tcPr>
                  <w:tcW w:w="518"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距室内边界距离/m</w:t>
                  </w:r>
                </w:p>
              </w:tc>
              <w:tc>
                <w:tcPr>
                  <w:tcW w:w="781"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室内边界声级/</w:t>
                  </w:r>
                  <w:r>
                    <w:rPr>
                      <w:rFonts w:hint="eastAsia"/>
                      <w:b/>
                      <w:bCs/>
                      <w:color w:val="000000" w:themeColor="text1"/>
                      <w:spacing w:val="-11"/>
                      <w:sz w:val="21"/>
                      <w:szCs w:val="21"/>
                      <w:highlight w:val="none"/>
                    </w:rPr>
                    <w:t>dB(A)</w:t>
                  </w:r>
                </w:p>
              </w:tc>
              <w:tc>
                <w:tcPr>
                  <w:tcW w:w="435"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b/>
                      <w:bCs/>
                      <w:color w:val="000000" w:themeColor="text1"/>
                      <w:spacing w:val="-11"/>
                      <w:sz w:val="21"/>
                      <w:szCs w:val="21"/>
                      <w:highlight w:val="none"/>
                    </w:rPr>
                    <w:t>运行时段</w:t>
                  </w:r>
                </w:p>
              </w:tc>
              <w:tc>
                <w:tcPr>
                  <w:tcW w:w="600"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建筑物插入损失/</w:t>
                  </w:r>
                  <w:r>
                    <w:rPr>
                      <w:rFonts w:hint="eastAsia"/>
                      <w:b/>
                      <w:bCs/>
                      <w:color w:val="000000" w:themeColor="text1"/>
                      <w:spacing w:val="-11"/>
                      <w:sz w:val="21"/>
                      <w:szCs w:val="21"/>
                      <w:highlight w:val="none"/>
                    </w:rPr>
                    <w:t>dB(A)</w:t>
                  </w:r>
                </w:p>
              </w:tc>
              <w:tc>
                <w:tcPr>
                  <w:tcW w:w="1318" w:type="dxa"/>
                  <w:gridSpan w:val="2"/>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314"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430"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937"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914"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b/>
                      <w:bCs/>
                      <w:color w:val="000000" w:themeColor="text1"/>
                      <w:spacing w:val="-11"/>
                      <w:sz w:val="21"/>
                      <w:szCs w:val="21"/>
                      <w:highlight w:val="none"/>
                    </w:rPr>
                    <w:t>声功率级dB(A)</w:t>
                  </w:r>
                </w:p>
              </w:tc>
              <w:tc>
                <w:tcPr>
                  <w:tcW w:w="656"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39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b/>
                      <w:bCs/>
                      <w:color w:val="000000" w:themeColor="text1"/>
                      <w:spacing w:val="-11"/>
                      <w:sz w:val="21"/>
                      <w:szCs w:val="21"/>
                      <w:highlight w:val="none"/>
                    </w:rPr>
                    <w:t>X</w:t>
                  </w:r>
                </w:p>
              </w:tc>
              <w:tc>
                <w:tcPr>
                  <w:tcW w:w="474"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b/>
                      <w:bCs/>
                      <w:color w:val="000000" w:themeColor="text1"/>
                      <w:spacing w:val="-11"/>
                      <w:sz w:val="21"/>
                      <w:szCs w:val="21"/>
                      <w:highlight w:val="none"/>
                    </w:rPr>
                    <w:t>Y</w:t>
                  </w:r>
                </w:p>
              </w:tc>
              <w:tc>
                <w:tcPr>
                  <w:tcW w:w="497"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b/>
                      <w:bCs/>
                      <w:color w:val="000000" w:themeColor="text1"/>
                      <w:spacing w:val="-11"/>
                      <w:sz w:val="21"/>
                      <w:szCs w:val="21"/>
                      <w:highlight w:val="none"/>
                    </w:rPr>
                    <w:t>Z</w:t>
                  </w:r>
                </w:p>
              </w:tc>
              <w:tc>
                <w:tcPr>
                  <w:tcW w:w="518"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781"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435"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600"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735"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声压级/</w:t>
                  </w:r>
                  <w:r>
                    <w:rPr>
                      <w:rFonts w:hint="eastAsia"/>
                      <w:b/>
                      <w:bCs/>
                      <w:color w:val="000000" w:themeColor="text1"/>
                      <w:spacing w:val="-11"/>
                      <w:sz w:val="21"/>
                      <w:szCs w:val="21"/>
                      <w:highlight w:val="none"/>
                    </w:rPr>
                    <w:t>dB(A)</w:t>
                  </w:r>
                </w:p>
              </w:tc>
              <w:tc>
                <w:tcPr>
                  <w:tcW w:w="583"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z w:val="21"/>
                      <w:szCs w:val="21"/>
                      <w:highlight w:val="none"/>
                    </w:rPr>
                    <w:t>1</w:t>
                  </w:r>
                </w:p>
              </w:tc>
              <w:tc>
                <w:tcPr>
                  <w:tcW w:w="430"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搅拌楼</w:t>
                  </w:r>
                </w:p>
              </w:tc>
              <w:tc>
                <w:tcPr>
                  <w:tcW w:w="937" w:type="dxa"/>
                  <w:shd w:val="clear" w:color="auto" w:fill="auto"/>
                  <w:vAlign w:val="center"/>
                </w:tcPr>
                <w:p>
                  <w:pPr>
                    <w:pStyle w:val="53"/>
                    <w:spacing w:line="240" w:lineRule="auto"/>
                    <w:rPr>
                      <w:color w:val="000000" w:themeColor="text1"/>
                      <w:spacing w:val="-11"/>
                      <w:highlight w:val="none"/>
                    </w:rPr>
                  </w:pPr>
                  <w:r>
                    <w:rPr>
                      <w:color w:val="000000" w:themeColor="text1"/>
                      <w:highlight w:val="none"/>
                    </w:rPr>
                    <w:t>振动筛</w:t>
                  </w:r>
                </w:p>
              </w:tc>
              <w:tc>
                <w:tcPr>
                  <w:tcW w:w="914" w:type="dxa"/>
                  <w:shd w:val="clear" w:color="auto" w:fill="auto"/>
                  <w:vAlign w:val="center"/>
                </w:tcPr>
                <w:p>
                  <w:pPr>
                    <w:pStyle w:val="56"/>
                    <w:rPr>
                      <w:color w:val="000000" w:themeColor="text1"/>
                      <w:spacing w:val="-11"/>
                      <w:szCs w:val="21"/>
                      <w:highlight w:val="none"/>
                    </w:rPr>
                  </w:pPr>
                  <w:r>
                    <w:rPr>
                      <w:color w:val="000000" w:themeColor="text1"/>
                      <w:szCs w:val="21"/>
                      <w:highlight w:val="none"/>
                    </w:rPr>
                    <w:t>90</w:t>
                  </w:r>
                </w:p>
              </w:tc>
              <w:tc>
                <w:tcPr>
                  <w:tcW w:w="656"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color w:val="000000" w:themeColor="text1"/>
                      <w:sz w:val="21"/>
                      <w:szCs w:val="21"/>
                      <w:highlight w:val="none"/>
                    </w:rPr>
                    <w:t>选用低噪声设备、基础减震</w:t>
                  </w:r>
                  <w:r>
                    <w:rPr>
                      <w:rFonts w:hint="eastAsia"/>
                      <w:color w:val="000000" w:themeColor="text1"/>
                      <w:sz w:val="21"/>
                      <w:szCs w:val="21"/>
                      <w:highlight w:val="none"/>
                    </w:rPr>
                    <w:t>，厂房隔声</w:t>
                  </w:r>
                </w:p>
              </w:tc>
              <w:tc>
                <w:tcPr>
                  <w:tcW w:w="39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9</w:t>
                  </w:r>
                </w:p>
              </w:tc>
              <w:tc>
                <w:tcPr>
                  <w:tcW w:w="471"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19</w:t>
                  </w:r>
                </w:p>
              </w:tc>
              <w:tc>
                <w:tcPr>
                  <w:tcW w:w="5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c>
                <w:tcPr>
                  <w:tcW w:w="518"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3</w:t>
                  </w:r>
                </w:p>
              </w:tc>
              <w:tc>
                <w:tcPr>
                  <w:tcW w:w="781"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80.5</w:t>
                  </w:r>
                </w:p>
              </w:tc>
              <w:tc>
                <w:tcPr>
                  <w:tcW w:w="435"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color w:val="000000" w:themeColor="text1"/>
                      <w:szCs w:val="21"/>
                      <w:highlight w:val="none"/>
                    </w:rPr>
                    <w:t>每</w:t>
                  </w:r>
                  <w:r>
                    <w:rPr>
                      <w:rFonts w:hint="eastAsia"/>
                      <w:color w:val="000000" w:themeColor="text1"/>
                      <w:szCs w:val="21"/>
                      <w:highlight w:val="none"/>
                    </w:rPr>
                    <w:t>天2</w:t>
                  </w:r>
                  <w:r>
                    <w:rPr>
                      <w:color w:val="000000" w:themeColor="text1"/>
                      <w:szCs w:val="21"/>
                      <w:highlight w:val="none"/>
                    </w:rPr>
                    <w:t>班，每班8</w:t>
                  </w:r>
                  <w:r>
                    <w:rPr>
                      <w:rFonts w:hint="eastAsia"/>
                      <w:color w:val="000000" w:themeColor="text1"/>
                      <w:szCs w:val="21"/>
                      <w:highlight w:val="none"/>
                    </w:rPr>
                    <w:t>h</w:t>
                  </w:r>
                  <w:r>
                    <w:rPr>
                      <w:color w:val="000000" w:themeColor="text1"/>
                      <w:szCs w:val="21"/>
                      <w:highlight w:val="none"/>
                    </w:rPr>
                    <w:t>，</w:t>
                  </w:r>
                  <w:r>
                    <w:rPr>
                      <w:rFonts w:hint="eastAsia"/>
                      <w:color w:val="000000" w:themeColor="text1"/>
                      <w:highlight w:val="none"/>
                    </w:rPr>
                    <w:t>只在昼间运行。</w:t>
                  </w:r>
                </w:p>
              </w:tc>
              <w:tc>
                <w:tcPr>
                  <w:tcW w:w="6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25</w:t>
                  </w:r>
                </w:p>
              </w:tc>
              <w:tc>
                <w:tcPr>
                  <w:tcW w:w="735"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55.5</w:t>
                  </w:r>
                </w:p>
              </w:tc>
              <w:tc>
                <w:tcPr>
                  <w:tcW w:w="583"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z w:val="21"/>
                      <w:szCs w:val="21"/>
                      <w:highlight w:val="none"/>
                    </w:rPr>
                    <w:t>2</w:t>
                  </w:r>
                </w:p>
              </w:tc>
              <w:tc>
                <w:tcPr>
                  <w:tcW w:w="430"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937" w:type="dxa"/>
                  <w:shd w:val="clear" w:color="auto" w:fill="auto"/>
                  <w:vAlign w:val="center"/>
                </w:tcPr>
                <w:p>
                  <w:pPr>
                    <w:pStyle w:val="53"/>
                    <w:spacing w:line="240" w:lineRule="auto"/>
                    <w:rPr>
                      <w:color w:val="000000" w:themeColor="text1"/>
                      <w:spacing w:val="-11"/>
                      <w:highlight w:val="none"/>
                    </w:rPr>
                  </w:pPr>
                  <w:r>
                    <w:rPr>
                      <w:color w:val="000000" w:themeColor="text1"/>
                      <w:highlight w:val="none"/>
                    </w:rPr>
                    <w:t>提升机</w:t>
                  </w:r>
                </w:p>
              </w:tc>
              <w:tc>
                <w:tcPr>
                  <w:tcW w:w="914" w:type="dxa"/>
                  <w:shd w:val="clear" w:color="auto" w:fill="auto"/>
                  <w:vAlign w:val="center"/>
                </w:tcPr>
                <w:p>
                  <w:pPr>
                    <w:pStyle w:val="56"/>
                    <w:rPr>
                      <w:color w:val="000000" w:themeColor="text1"/>
                      <w:spacing w:val="-11"/>
                      <w:szCs w:val="21"/>
                      <w:highlight w:val="none"/>
                    </w:rPr>
                  </w:pPr>
                  <w:r>
                    <w:rPr>
                      <w:color w:val="000000" w:themeColor="text1"/>
                      <w:szCs w:val="21"/>
                      <w:highlight w:val="none"/>
                    </w:rPr>
                    <w:t>80</w:t>
                  </w:r>
                </w:p>
              </w:tc>
              <w:tc>
                <w:tcPr>
                  <w:tcW w:w="656"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39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8</w:t>
                  </w:r>
                </w:p>
              </w:tc>
              <w:tc>
                <w:tcPr>
                  <w:tcW w:w="471"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6</w:t>
                  </w:r>
                </w:p>
              </w:tc>
              <w:tc>
                <w:tcPr>
                  <w:tcW w:w="5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c>
                <w:tcPr>
                  <w:tcW w:w="518"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4</w:t>
                  </w:r>
                </w:p>
              </w:tc>
              <w:tc>
                <w:tcPr>
                  <w:tcW w:w="781"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68.0</w:t>
                  </w:r>
                </w:p>
              </w:tc>
              <w:tc>
                <w:tcPr>
                  <w:tcW w:w="435"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6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25</w:t>
                  </w:r>
                </w:p>
              </w:tc>
              <w:tc>
                <w:tcPr>
                  <w:tcW w:w="735"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43.0</w:t>
                  </w:r>
                </w:p>
              </w:tc>
              <w:tc>
                <w:tcPr>
                  <w:tcW w:w="583"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z w:val="21"/>
                      <w:szCs w:val="21"/>
                      <w:highlight w:val="none"/>
                    </w:rPr>
                    <w:t>3</w:t>
                  </w:r>
                </w:p>
              </w:tc>
              <w:tc>
                <w:tcPr>
                  <w:tcW w:w="430"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937" w:type="dxa"/>
                  <w:shd w:val="clear" w:color="auto" w:fill="auto"/>
                  <w:vAlign w:val="center"/>
                </w:tcPr>
                <w:p>
                  <w:pPr>
                    <w:pStyle w:val="53"/>
                    <w:spacing w:line="240" w:lineRule="auto"/>
                    <w:rPr>
                      <w:color w:val="000000" w:themeColor="text1"/>
                      <w:spacing w:val="-11"/>
                      <w:highlight w:val="none"/>
                    </w:rPr>
                  </w:pPr>
                  <w:r>
                    <w:rPr>
                      <w:color w:val="000000" w:themeColor="text1"/>
                      <w:highlight w:val="none"/>
                    </w:rPr>
                    <w:t>搅拌器</w:t>
                  </w:r>
                </w:p>
              </w:tc>
              <w:tc>
                <w:tcPr>
                  <w:tcW w:w="914" w:type="dxa"/>
                  <w:shd w:val="clear" w:color="auto" w:fill="auto"/>
                  <w:vAlign w:val="center"/>
                </w:tcPr>
                <w:p>
                  <w:pPr>
                    <w:pStyle w:val="56"/>
                    <w:rPr>
                      <w:color w:val="000000" w:themeColor="text1"/>
                      <w:spacing w:val="-11"/>
                      <w:szCs w:val="21"/>
                      <w:highlight w:val="none"/>
                    </w:rPr>
                  </w:pPr>
                  <w:r>
                    <w:rPr>
                      <w:color w:val="000000" w:themeColor="text1"/>
                      <w:szCs w:val="21"/>
                      <w:highlight w:val="none"/>
                    </w:rPr>
                    <w:t>90</w:t>
                  </w:r>
                </w:p>
              </w:tc>
              <w:tc>
                <w:tcPr>
                  <w:tcW w:w="656"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39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8</w:t>
                  </w:r>
                </w:p>
              </w:tc>
              <w:tc>
                <w:tcPr>
                  <w:tcW w:w="471"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6</w:t>
                  </w:r>
                </w:p>
              </w:tc>
              <w:tc>
                <w:tcPr>
                  <w:tcW w:w="5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c>
                <w:tcPr>
                  <w:tcW w:w="518"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3</w:t>
                  </w:r>
                </w:p>
              </w:tc>
              <w:tc>
                <w:tcPr>
                  <w:tcW w:w="781"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80.5</w:t>
                  </w:r>
                </w:p>
              </w:tc>
              <w:tc>
                <w:tcPr>
                  <w:tcW w:w="435"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6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25</w:t>
                  </w:r>
                </w:p>
              </w:tc>
              <w:tc>
                <w:tcPr>
                  <w:tcW w:w="735"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55.5</w:t>
                  </w:r>
                </w:p>
              </w:tc>
              <w:tc>
                <w:tcPr>
                  <w:tcW w:w="583"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z w:val="21"/>
                      <w:szCs w:val="21"/>
                      <w:highlight w:val="none"/>
                    </w:rPr>
                    <w:t>4</w:t>
                  </w:r>
                </w:p>
              </w:tc>
              <w:tc>
                <w:tcPr>
                  <w:tcW w:w="430"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锅炉房</w:t>
                  </w:r>
                </w:p>
              </w:tc>
              <w:tc>
                <w:tcPr>
                  <w:tcW w:w="937" w:type="dxa"/>
                  <w:shd w:val="clear" w:color="auto" w:fill="auto"/>
                  <w:vAlign w:val="center"/>
                </w:tcPr>
                <w:p>
                  <w:pPr>
                    <w:pStyle w:val="53"/>
                    <w:spacing w:line="240" w:lineRule="auto"/>
                    <w:rPr>
                      <w:color w:val="000000" w:themeColor="text1"/>
                      <w:spacing w:val="-11"/>
                      <w:highlight w:val="none"/>
                    </w:rPr>
                  </w:pPr>
                  <w:r>
                    <w:rPr>
                      <w:rFonts w:hint="eastAsia"/>
                      <w:color w:val="000000" w:themeColor="text1"/>
                      <w:highlight w:val="none"/>
                    </w:rPr>
                    <w:t>导热油炉</w:t>
                  </w:r>
                </w:p>
              </w:tc>
              <w:tc>
                <w:tcPr>
                  <w:tcW w:w="914" w:type="dxa"/>
                  <w:shd w:val="clear" w:color="auto" w:fill="auto"/>
                  <w:vAlign w:val="center"/>
                </w:tcPr>
                <w:p>
                  <w:pPr>
                    <w:pStyle w:val="56"/>
                    <w:rPr>
                      <w:color w:val="000000" w:themeColor="text1"/>
                      <w:spacing w:val="-11"/>
                      <w:szCs w:val="21"/>
                      <w:highlight w:val="none"/>
                    </w:rPr>
                  </w:pPr>
                  <w:r>
                    <w:rPr>
                      <w:rFonts w:hint="eastAsia"/>
                      <w:color w:val="000000" w:themeColor="text1"/>
                      <w:szCs w:val="21"/>
                      <w:highlight w:val="none"/>
                    </w:rPr>
                    <w:t>70</w:t>
                  </w:r>
                </w:p>
              </w:tc>
              <w:tc>
                <w:tcPr>
                  <w:tcW w:w="656"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39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9</w:t>
                  </w:r>
                </w:p>
              </w:tc>
              <w:tc>
                <w:tcPr>
                  <w:tcW w:w="471"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w:t>
                  </w:r>
                </w:p>
              </w:tc>
              <w:tc>
                <w:tcPr>
                  <w:tcW w:w="5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c>
                <w:tcPr>
                  <w:tcW w:w="518"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w:t>
                  </w:r>
                </w:p>
              </w:tc>
              <w:tc>
                <w:tcPr>
                  <w:tcW w:w="781"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64.0</w:t>
                  </w:r>
                </w:p>
              </w:tc>
              <w:tc>
                <w:tcPr>
                  <w:tcW w:w="435" w:type="dxa"/>
                  <w:vMerge w:val="restart"/>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zCs w:val="21"/>
                      <w:highlight w:val="none"/>
                    </w:rPr>
                    <w:t>昼夜24h运行</w:t>
                  </w:r>
                </w:p>
              </w:tc>
              <w:tc>
                <w:tcPr>
                  <w:tcW w:w="6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25</w:t>
                  </w:r>
                </w:p>
              </w:tc>
              <w:tc>
                <w:tcPr>
                  <w:tcW w:w="735"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39.0</w:t>
                  </w:r>
                </w:p>
              </w:tc>
              <w:tc>
                <w:tcPr>
                  <w:tcW w:w="583"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z w:val="21"/>
                      <w:szCs w:val="21"/>
                      <w:highlight w:val="none"/>
                    </w:rPr>
                    <w:t>5</w:t>
                  </w:r>
                </w:p>
              </w:tc>
              <w:tc>
                <w:tcPr>
                  <w:tcW w:w="430"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937" w:type="dxa"/>
                  <w:shd w:val="clear" w:color="auto" w:fill="auto"/>
                  <w:vAlign w:val="center"/>
                </w:tcPr>
                <w:p>
                  <w:pPr>
                    <w:pStyle w:val="53"/>
                    <w:spacing w:line="240" w:lineRule="auto"/>
                    <w:rPr>
                      <w:color w:val="000000" w:themeColor="text1"/>
                      <w:spacing w:val="-11"/>
                      <w:highlight w:val="none"/>
                    </w:rPr>
                  </w:pPr>
                  <w:r>
                    <w:rPr>
                      <w:rFonts w:hint="eastAsia"/>
                      <w:color w:val="000000" w:themeColor="text1"/>
                      <w:highlight w:val="none"/>
                    </w:rPr>
                    <w:t>导热油泵</w:t>
                  </w:r>
                </w:p>
              </w:tc>
              <w:tc>
                <w:tcPr>
                  <w:tcW w:w="914" w:type="dxa"/>
                  <w:shd w:val="clear" w:color="auto" w:fill="auto"/>
                  <w:vAlign w:val="center"/>
                </w:tcPr>
                <w:p>
                  <w:pPr>
                    <w:pStyle w:val="56"/>
                    <w:rPr>
                      <w:color w:val="000000" w:themeColor="text1"/>
                      <w:spacing w:val="-11"/>
                      <w:szCs w:val="21"/>
                      <w:highlight w:val="none"/>
                    </w:rPr>
                  </w:pPr>
                  <w:r>
                    <w:rPr>
                      <w:rFonts w:hint="eastAsia"/>
                      <w:color w:val="000000" w:themeColor="text1"/>
                      <w:szCs w:val="21"/>
                      <w:highlight w:val="none"/>
                    </w:rPr>
                    <w:t>70</w:t>
                  </w:r>
                </w:p>
              </w:tc>
              <w:tc>
                <w:tcPr>
                  <w:tcW w:w="656"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39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9</w:t>
                  </w:r>
                </w:p>
              </w:tc>
              <w:tc>
                <w:tcPr>
                  <w:tcW w:w="471"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w:t>
                  </w:r>
                </w:p>
              </w:tc>
              <w:tc>
                <w:tcPr>
                  <w:tcW w:w="5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c>
                <w:tcPr>
                  <w:tcW w:w="518"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w:t>
                  </w:r>
                </w:p>
              </w:tc>
              <w:tc>
                <w:tcPr>
                  <w:tcW w:w="781"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64.0</w:t>
                  </w:r>
                </w:p>
              </w:tc>
              <w:tc>
                <w:tcPr>
                  <w:tcW w:w="435" w:type="dxa"/>
                  <w:vMerge w:val="continue"/>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p>
              </w:tc>
              <w:tc>
                <w:tcPr>
                  <w:tcW w:w="600"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25</w:t>
                  </w:r>
                </w:p>
              </w:tc>
              <w:tc>
                <w:tcPr>
                  <w:tcW w:w="735" w:type="dxa"/>
                  <w:shd w:val="clear" w:color="auto" w:fill="auto"/>
                  <w:vAlign w:val="center"/>
                </w:tcPr>
                <w:p>
                  <w:pPr>
                    <w:widowControl/>
                    <w:spacing w:line="240" w:lineRule="auto"/>
                    <w:ind w:firstLine="0" w:firstLineChars="0"/>
                    <w:jc w:val="center"/>
                    <w:textAlignment w:val="center"/>
                    <w:rPr>
                      <w:color w:val="000000" w:themeColor="text1"/>
                      <w:spacing w:val="-11"/>
                      <w:sz w:val="21"/>
                      <w:szCs w:val="21"/>
                      <w:highlight w:val="none"/>
                    </w:rPr>
                  </w:pPr>
                  <w:r>
                    <w:rPr>
                      <w:color w:val="000000" w:themeColor="text1"/>
                      <w:kern w:val="0"/>
                      <w:sz w:val="21"/>
                      <w:szCs w:val="21"/>
                      <w:highlight w:val="none"/>
                      <w:lang w:bidi="ar"/>
                    </w:rPr>
                    <w:t>39.0</w:t>
                  </w:r>
                </w:p>
              </w:tc>
              <w:tc>
                <w:tcPr>
                  <w:tcW w:w="583" w:type="dxa"/>
                  <w:shd w:val="clear" w:color="auto" w:fill="auto"/>
                  <w:vAlign w:val="center"/>
                </w:tcPr>
                <w:p>
                  <w:pPr>
                    <w:pStyle w:val="20"/>
                    <w:spacing w:before="0" w:line="240" w:lineRule="auto"/>
                    <w:ind w:right="0" w:firstLine="0" w:firstLineChars="0"/>
                    <w:jc w:val="center"/>
                    <w:rPr>
                      <w:color w:val="000000" w:themeColor="text1"/>
                      <w:spacing w:val="-11"/>
                      <w:sz w:val="21"/>
                      <w:szCs w:val="21"/>
                      <w:highlight w:val="none"/>
                    </w:rPr>
                  </w:pPr>
                  <w:r>
                    <w:rPr>
                      <w:rFonts w:hint="eastAsia"/>
                      <w:color w:val="000000" w:themeColor="text1"/>
                      <w:spacing w:val="-11"/>
                      <w:sz w:val="21"/>
                      <w:szCs w:val="21"/>
                      <w:highlight w:val="none"/>
                    </w:rPr>
                    <w:t>1</w:t>
                  </w:r>
                </w:p>
              </w:tc>
            </w:tr>
          </w:tbl>
          <w:p>
            <w:pPr>
              <w:spacing w:before="120" w:beforeLines="50"/>
              <w:ind w:firstLine="482"/>
              <w:rPr>
                <w:b/>
                <w:bCs/>
                <w:color w:val="000000" w:themeColor="text1"/>
                <w:highlight w:val="none"/>
              </w:rPr>
            </w:pPr>
            <w:r>
              <w:rPr>
                <w:b/>
                <w:bCs/>
                <w:color w:val="000000" w:themeColor="text1"/>
                <w:highlight w:val="none"/>
              </w:rPr>
              <w:t>（</w:t>
            </w:r>
            <w:r>
              <w:rPr>
                <w:rFonts w:hint="eastAsia"/>
                <w:b/>
                <w:bCs/>
                <w:color w:val="000000" w:themeColor="text1"/>
                <w:highlight w:val="none"/>
              </w:rPr>
              <w:t>2</w:t>
            </w:r>
            <w:r>
              <w:rPr>
                <w:b/>
                <w:bCs/>
                <w:color w:val="000000" w:themeColor="text1"/>
                <w:highlight w:val="none"/>
              </w:rPr>
              <w:t>）达标情况分析</w:t>
            </w:r>
          </w:p>
          <w:p>
            <w:pPr>
              <w:ind w:firstLine="480"/>
              <w:rPr>
                <w:color w:val="000000" w:themeColor="text1"/>
                <w:highlight w:val="none"/>
              </w:rPr>
            </w:pPr>
            <w:r>
              <w:rPr>
                <w:color w:val="000000" w:themeColor="text1"/>
                <w:highlight w:val="none"/>
              </w:rPr>
              <w:t>项目声环境影响预测过程中，各噪声设备在一定的距离处可以被视作点源，设备所处位置、与墙壁的距离、房间常数、与预测点的距离、隔墙厚度等均按实际布设确定，同时考虑了地形因素的影响。</w:t>
            </w:r>
          </w:p>
          <w:p>
            <w:pPr>
              <w:ind w:firstLine="480"/>
              <w:rPr>
                <w:color w:val="000000" w:themeColor="text1"/>
                <w:szCs w:val="22"/>
                <w:highlight w:val="none"/>
              </w:rPr>
            </w:pPr>
            <w:r>
              <w:rPr>
                <w:color w:val="000000" w:themeColor="text1"/>
                <w:kern w:val="0"/>
                <w:szCs w:val="32"/>
                <w:highlight w:val="none"/>
                <w:lang w:val="zh-CN"/>
              </w:rPr>
              <w:t>项目生产运行阶段</w:t>
            </w:r>
            <w:r>
              <w:rPr>
                <w:rFonts w:hint="eastAsia"/>
                <w:color w:val="000000" w:themeColor="text1"/>
                <w:kern w:val="0"/>
                <w:szCs w:val="32"/>
                <w:highlight w:val="none"/>
                <w:lang w:val="zh-CN"/>
              </w:rPr>
              <w:t>昼间</w:t>
            </w:r>
            <w:r>
              <w:rPr>
                <w:color w:val="000000" w:themeColor="text1"/>
                <w:kern w:val="0"/>
                <w:szCs w:val="32"/>
                <w:highlight w:val="none"/>
                <w:lang w:val="zh-CN"/>
              </w:rPr>
              <w:t>声级等值线（</w:t>
            </w:r>
            <w:r>
              <w:rPr>
                <w:rFonts w:hint="eastAsia"/>
                <w:color w:val="000000" w:themeColor="text1"/>
                <w:kern w:val="0"/>
                <w:szCs w:val="32"/>
                <w:highlight w:val="none"/>
                <w:lang w:val="zh-CN"/>
              </w:rPr>
              <w:t>贡献</w:t>
            </w:r>
            <w:r>
              <w:rPr>
                <w:color w:val="000000" w:themeColor="text1"/>
                <w:kern w:val="0"/>
                <w:szCs w:val="32"/>
                <w:highlight w:val="none"/>
                <w:lang w:val="zh-CN"/>
              </w:rPr>
              <w:t>值）</w:t>
            </w:r>
            <w:r>
              <w:rPr>
                <w:color w:val="000000" w:themeColor="text1"/>
                <w:szCs w:val="22"/>
                <w:highlight w:val="none"/>
              </w:rPr>
              <w:t>见</w:t>
            </w:r>
            <w:r>
              <w:rPr>
                <w:rFonts w:hint="eastAsia"/>
                <w:color w:val="000000" w:themeColor="text1"/>
                <w:szCs w:val="22"/>
                <w:highlight w:val="none"/>
              </w:rPr>
              <w:t>下图</w:t>
            </w:r>
            <w:r>
              <w:rPr>
                <w:color w:val="000000" w:themeColor="text1"/>
                <w:szCs w:val="22"/>
                <w:highlight w:val="none"/>
              </w:rPr>
              <w:t>。</w:t>
            </w:r>
          </w:p>
          <w:p>
            <w:pPr>
              <w:ind w:firstLine="0" w:firstLineChars="0"/>
              <w:rPr>
                <w:color w:val="000000" w:themeColor="text1"/>
                <w:highlight w:val="none"/>
              </w:rPr>
            </w:pPr>
            <w:r>
              <w:rPr>
                <w:color w:val="000000" w:themeColor="text1"/>
                <w:highlight w:val="none"/>
              </w:rPr>
              <w:pict>
                <v:shape id="_x0000_i1031" o:spt="75" type="#_x0000_t75" style="height:256.05pt;width:421.35pt;" filled="f" o:preferrelative="t" stroked="f" coordsize="21600,21600">
                  <v:path/>
                  <v:fill on="f" focussize="0,0"/>
                  <v:stroke on="f" joinstyle="miter"/>
                  <v:imagedata r:id="rId22" o:title=""/>
                  <o:lock v:ext="edit" aspectratio="t"/>
                  <w10:wrap type="none"/>
                  <w10:anchorlock/>
                </v:shape>
              </w:pict>
            </w:r>
          </w:p>
          <w:p>
            <w:pPr>
              <w:numPr>
                <w:ilvl w:val="0"/>
                <w:numId w:val="7"/>
              </w:numPr>
              <w:ind w:left="420" w:firstLineChars="0"/>
              <w:jc w:val="center"/>
              <w:rPr>
                <w:color w:val="000000" w:themeColor="text1"/>
                <w:sz w:val="21"/>
                <w:szCs w:val="21"/>
                <w:highlight w:val="none"/>
              </w:rPr>
            </w:pPr>
            <w:r>
              <w:rPr>
                <w:rFonts w:hint="eastAsia"/>
                <w:b/>
                <w:color w:val="000000" w:themeColor="text1"/>
                <w:sz w:val="21"/>
                <w:szCs w:val="21"/>
                <w:highlight w:val="none"/>
              </w:rPr>
              <w:t>昼间</w:t>
            </w:r>
            <w:r>
              <w:rPr>
                <w:b/>
                <w:color w:val="000000" w:themeColor="text1"/>
                <w:sz w:val="21"/>
                <w:szCs w:val="21"/>
                <w:highlight w:val="none"/>
              </w:rPr>
              <w:t>噪声</w:t>
            </w:r>
            <w:r>
              <w:rPr>
                <w:rFonts w:hint="eastAsia"/>
                <w:b/>
                <w:color w:val="000000" w:themeColor="text1"/>
                <w:sz w:val="21"/>
                <w:szCs w:val="21"/>
                <w:highlight w:val="none"/>
              </w:rPr>
              <w:t>贡献</w:t>
            </w:r>
            <w:r>
              <w:rPr>
                <w:b/>
                <w:color w:val="000000" w:themeColor="text1"/>
                <w:sz w:val="21"/>
                <w:szCs w:val="21"/>
                <w:highlight w:val="none"/>
              </w:rPr>
              <w:t>值分布图</w:t>
            </w:r>
          </w:p>
          <w:p>
            <w:pPr>
              <w:ind w:firstLine="480"/>
              <w:rPr>
                <w:color w:val="000000" w:themeColor="text1"/>
                <w:highlight w:val="none"/>
              </w:rPr>
            </w:pPr>
            <w:r>
              <w:rPr>
                <w:color w:val="000000" w:themeColor="text1"/>
                <w:highlight w:val="none"/>
              </w:rPr>
              <w:t>项目四厂界</w:t>
            </w:r>
            <w:r>
              <w:rPr>
                <w:rFonts w:hint="eastAsia"/>
                <w:color w:val="000000" w:themeColor="text1"/>
                <w:highlight w:val="none"/>
              </w:rPr>
              <w:t>昼间</w:t>
            </w:r>
            <w:r>
              <w:rPr>
                <w:color w:val="000000" w:themeColor="text1"/>
                <w:highlight w:val="none"/>
              </w:rPr>
              <w:t>噪声预测结果如下表所示：</w:t>
            </w:r>
          </w:p>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昼间</w:t>
            </w:r>
            <w:r>
              <w:rPr>
                <w:b/>
                <w:bCs/>
                <w:color w:val="000000" w:themeColor="text1"/>
                <w:sz w:val="21"/>
                <w:szCs w:val="21"/>
                <w:highlight w:val="none"/>
              </w:rPr>
              <w:t>噪声贡献值计算结果</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2273"/>
              <w:gridCol w:w="3236"/>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19" w:type="pct"/>
                  <w:vAlign w:val="center"/>
                </w:tcPr>
                <w:p>
                  <w:pPr>
                    <w:pStyle w:val="53"/>
                    <w:rPr>
                      <w:b/>
                      <w:color w:val="000000" w:themeColor="text1"/>
                      <w:highlight w:val="none"/>
                    </w:rPr>
                  </w:pPr>
                  <w:r>
                    <w:rPr>
                      <w:b/>
                      <w:color w:val="000000" w:themeColor="text1"/>
                      <w:highlight w:val="none"/>
                    </w:rPr>
                    <w:t>点位</w:t>
                  </w:r>
                </w:p>
              </w:tc>
              <w:tc>
                <w:tcPr>
                  <w:tcW w:w="1358" w:type="pct"/>
                  <w:vAlign w:val="center"/>
                </w:tcPr>
                <w:p>
                  <w:pPr>
                    <w:pStyle w:val="53"/>
                    <w:rPr>
                      <w:b/>
                      <w:color w:val="000000" w:themeColor="text1"/>
                      <w:highlight w:val="none"/>
                    </w:rPr>
                  </w:pPr>
                  <w:r>
                    <w:rPr>
                      <w:b/>
                      <w:color w:val="000000" w:themeColor="text1"/>
                      <w:highlight w:val="none"/>
                    </w:rPr>
                    <w:t>昼间贡献值</w:t>
                  </w:r>
                  <w:r>
                    <w:rPr>
                      <w:b/>
                      <w:bCs/>
                      <w:color w:val="000000" w:themeColor="text1"/>
                      <w:kern w:val="0"/>
                      <w:highlight w:val="none"/>
                    </w:rPr>
                    <w:t>dB（A）</w:t>
                  </w:r>
                </w:p>
              </w:tc>
              <w:tc>
                <w:tcPr>
                  <w:tcW w:w="1934" w:type="pct"/>
                  <w:vAlign w:val="center"/>
                </w:tcPr>
                <w:p>
                  <w:pPr>
                    <w:pStyle w:val="53"/>
                    <w:rPr>
                      <w:b/>
                      <w:color w:val="000000" w:themeColor="text1"/>
                      <w:highlight w:val="none"/>
                    </w:rPr>
                  </w:pPr>
                  <w:r>
                    <w:rPr>
                      <w:b/>
                      <w:color w:val="000000" w:themeColor="text1"/>
                      <w:highlight w:val="none"/>
                    </w:rPr>
                    <w:t>标准值</w:t>
                  </w:r>
                  <w:r>
                    <w:rPr>
                      <w:b/>
                      <w:bCs/>
                      <w:color w:val="000000" w:themeColor="text1"/>
                      <w:kern w:val="0"/>
                      <w:highlight w:val="none"/>
                    </w:rPr>
                    <w:t>dB（A）</w:t>
                  </w:r>
                </w:p>
              </w:tc>
              <w:tc>
                <w:tcPr>
                  <w:tcW w:w="886" w:type="pct"/>
                  <w:vAlign w:val="center"/>
                </w:tcPr>
                <w:p>
                  <w:pPr>
                    <w:pStyle w:val="53"/>
                    <w:rPr>
                      <w:b/>
                      <w:color w:val="000000" w:themeColor="text1"/>
                      <w:highlight w:val="none"/>
                    </w:rPr>
                  </w:pPr>
                  <w:r>
                    <w:rPr>
                      <w:b/>
                      <w:color w:val="000000" w:themeColor="text1"/>
                      <w:highlight w:val="none"/>
                    </w:rPr>
                    <w:t>达标性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9" w:type="pct"/>
                  <w:vAlign w:val="center"/>
                </w:tcPr>
                <w:p>
                  <w:pPr>
                    <w:pStyle w:val="53"/>
                    <w:rPr>
                      <w:color w:val="000000" w:themeColor="text1"/>
                      <w:kern w:val="0"/>
                      <w:highlight w:val="none"/>
                    </w:rPr>
                  </w:pPr>
                  <w:r>
                    <w:rPr>
                      <w:color w:val="000000" w:themeColor="text1"/>
                      <w:kern w:val="0"/>
                      <w:highlight w:val="none"/>
                    </w:rPr>
                    <w:t>北厂界</w:t>
                  </w:r>
                </w:p>
              </w:tc>
              <w:tc>
                <w:tcPr>
                  <w:tcW w:w="1358" w:type="pct"/>
                  <w:vAlign w:val="center"/>
                </w:tcPr>
                <w:p>
                  <w:pPr>
                    <w:pStyle w:val="53"/>
                    <w:rPr>
                      <w:color w:val="000000" w:themeColor="text1"/>
                      <w:kern w:val="0"/>
                      <w:highlight w:val="none"/>
                    </w:rPr>
                  </w:pPr>
                  <w:r>
                    <w:rPr>
                      <w:rFonts w:hint="eastAsia"/>
                      <w:color w:val="000000" w:themeColor="text1"/>
                      <w:kern w:val="0"/>
                      <w:highlight w:val="none"/>
                    </w:rPr>
                    <w:t>26.84</w:t>
                  </w:r>
                </w:p>
              </w:tc>
              <w:tc>
                <w:tcPr>
                  <w:tcW w:w="1934" w:type="pct"/>
                  <w:vMerge w:val="restart"/>
                  <w:vAlign w:val="center"/>
                </w:tcPr>
                <w:p>
                  <w:pPr>
                    <w:pStyle w:val="53"/>
                    <w:rPr>
                      <w:color w:val="000000" w:themeColor="text1"/>
                      <w:kern w:val="0"/>
                      <w:highlight w:val="none"/>
                    </w:rPr>
                  </w:pPr>
                  <w:r>
                    <w:rPr>
                      <w:color w:val="000000" w:themeColor="text1"/>
                      <w:kern w:val="0"/>
                      <w:highlight w:val="none"/>
                    </w:rPr>
                    <w:t>昼间≤60</w:t>
                  </w:r>
                </w:p>
              </w:tc>
              <w:tc>
                <w:tcPr>
                  <w:tcW w:w="886" w:type="pct"/>
                  <w:vAlign w:val="center"/>
                </w:tcPr>
                <w:p>
                  <w:pPr>
                    <w:pStyle w:val="53"/>
                    <w:rPr>
                      <w:color w:val="000000" w:themeColor="text1"/>
                      <w:kern w:val="0"/>
                      <w:highlight w:val="none"/>
                    </w:rPr>
                  </w:pPr>
                  <w:r>
                    <w:rPr>
                      <w:color w:val="000000" w:themeColor="text1"/>
                      <w:kern w:val="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9" w:type="pct"/>
                  <w:vAlign w:val="center"/>
                </w:tcPr>
                <w:p>
                  <w:pPr>
                    <w:pStyle w:val="53"/>
                    <w:rPr>
                      <w:color w:val="000000" w:themeColor="text1"/>
                      <w:kern w:val="0"/>
                      <w:highlight w:val="none"/>
                    </w:rPr>
                  </w:pPr>
                  <w:r>
                    <w:rPr>
                      <w:color w:val="000000" w:themeColor="text1"/>
                      <w:kern w:val="0"/>
                      <w:highlight w:val="none"/>
                    </w:rPr>
                    <w:t>东厂界</w:t>
                  </w:r>
                </w:p>
              </w:tc>
              <w:tc>
                <w:tcPr>
                  <w:tcW w:w="1358" w:type="pct"/>
                  <w:vAlign w:val="center"/>
                </w:tcPr>
                <w:p>
                  <w:pPr>
                    <w:pStyle w:val="53"/>
                    <w:rPr>
                      <w:color w:val="000000" w:themeColor="text1"/>
                      <w:kern w:val="0"/>
                      <w:highlight w:val="none"/>
                    </w:rPr>
                  </w:pPr>
                  <w:r>
                    <w:rPr>
                      <w:rFonts w:hint="eastAsia"/>
                      <w:color w:val="000000" w:themeColor="text1"/>
                      <w:kern w:val="0"/>
                      <w:highlight w:val="none"/>
                    </w:rPr>
                    <w:t>44.75</w:t>
                  </w:r>
                </w:p>
              </w:tc>
              <w:tc>
                <w:tcPr>
                  <w:tcW w:w="1934" w:type="pct"/>
                  <w:vMerge w:val="continue"/>
                  <w:vAlign w:val="center"/>
                </w:tcPr>
                <w:p>
                  <w:pPr>
                    <w:pStyle w:val="53"/>
                    <w:rPr>
                      <w:color w:val="000000" w:themeColor="text1"/>
                      <w:kern w:val="0"/>
                      <w:highlight w:val="none"/>
                    </w:rPr>
                  </w:pPr>
                </w:p>
              </w:tc>
              <w:tc>
                <w:tcPr>
                  <w:tcW w:w="886" w:type="pct"/>
                  <w:vAlign w:val="center"/>
                </w:tcPr>
                <w:p>
                  <w:pPr>
                    <w:pStyle w:val="53"/>
                    <w:rPr>
                      <w:color w:val="000000" w:themeColor="text1"/>
                      <w:kern w:val="0"/>
                      <w:highlight w:val="none"/>
                    </w:rPr>
                  </w:pPr>
                  <w:r>
                    <w:rPr>
                      <w:color w:val="000000" w:themeColor="text1"/>
                      <w:kern w:val="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9" w:type="pct"/>
                  <w:vAlign w:val="center"/>
                </w:tcPr>
                <w:p>
                  <w:pPr>
                    <w:pStyle w:val="53"/>
                    <w:rPr>
                      <w:color w:val="000000" w:themeColor="text1"/>
                      <w:kern w:val="0"/>
                      <w:highlight w:val="none"/>
                    </w:rPr>
                  </w:pPr>
                  <w:r>
                    <w:rPr>
                      <w:color w:val="000000" w:themeColor="text1"/>
                      <w:kern w:val="0"/>
                      <w:highlight w:val="none"/>
                    </w:rPr>
                    <w:t>南厂界</w:t>
                  </w:r>
                </w:p>
              </w:tc>
              <w:tc>
                <w:tcPr>
                  <w:tcW w:w="1358" w:type="pct"/>
                  <w:vAlign w:val="center"/>
                </w:tcPr>
                <w:p>
                  <w:pPr>
                    <w:pStyle w:val="53"/>
                    <w:rPr>
                      <w:color w:val="000000" w:themeColor="text1"/>
                      <w:kern w:val="0"/>
                      <w:highlight w:val="none"/>
                    </w:rPr>
                  </w:pPr>
                  <w:r>
                    <w:rPr>
                      <w:rFonts w:hint="eastAsia"/>
                      <w:color w:val="000000" w:themeColor="text1"/>
                      <w:kern w:val="0"/>
                      <w:highlight w:val="none"/>
                    </w:rPr>
                    <w:t>59.53</w:t>
                  </w:r>
                </w:p>
              </w:tc>
              <w:tc>
                <w:tcPr>
                  <w:tcW w:w="1934" w:type="pct"/>
                  <w:vMerge w:val="continue"/>
                </w:tcPr>
                <w:p>
                  <w:pPr>
                    <w:pStyle w:val="53"/>
                    <w:rPr>
                      <w:color w:val="000000" w:themeColor="text1"/>
                      <w:kern w:val="0"/>
                      <w:highlight w:val="none"/>
                    </w:rPr>
                  </w:pPr>
                </w:p>
              </w:tc>
              <w:tc>
                <w:tcPr>
                  <w:tcW w:w="886" w:type="pct"/>
                  <w:vAlign w:val="center"/>
                </w:tcPr>
                <w:p>
                  <w:pPr>
                    <w:pStyle w:val="53"/>
                    <w:rPr>
                      <w:color w:val="000000" w:themeColor="text1"/>
                      <w:kern w:val="0"/>
                      <w:highlight w:val="none"/>
                    </w:rPr>
                  </w:pPr>
                  <w:r>
                    <w:rPr>
                      <w:color w:val="000000" w:themeColor="text1"/>
                      <w:kern w:val="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9" w:type="pct"/>
                  <w:vAlign w:val="center"/>
                </w:tcPr>
                <w:p>
                  <w:pPr>
                    <w:pStyle w:val="53"/>
                    <w:rPr>
                      <w:color w:val="000000" w:themeColor="text1"/>
                      <w:kern w:val="0"/>
                      <w:highlight w:val="none"/>
                    </w:rPr>
                  </w:pPr>
                  <w:r>
                    <w:rPr>
                      <w:color w:val="000000" w:themeColor="text1"/>
                      <w:kern w:val="0"/>
                      <w:highlight w:val="none"/>
                    </w:rPr>
                    <w:t>西厂界</w:t>
                  </w:r>
                </w:p>
              </w:tc>
              <w:tc>
                <w:tcPr>
                  <w:tcW w:w="1358" w:type="pct"/>
                  <w:vAlign w:val="center"/>
                </w:tcPr>
                <w:p>
                  <w:pPr>
                    <w:pStyle w:val="53"/>
                    <w:rPr>
                      <w:color w:val="000000" w:themeColor="text1"/>
                      <w:kern w:val="0"/>
                      <w:highlight w:val="none"/>
                    </w:rPr>
                  </w:pPr>
                  <w:r>
                    <w:rPr>
                      <w:rFonts w:hint="eastAsia"/>
                      <w:color w:val="000000" w:themeColor="text1"/>
                      <w:kern w:val="0"/>
                      <w:highlight w:val="none"/>
                    </w:rPr>
                    <w:t>25.70</w:t>
                  </w:r>
                </w:p>
              </w:tc>
              <w:tc>
                <w:tcPr>
                  <w:tcW w:w="1934" w:type="pct"/>
                  <w:vMerge w:val="continue"/>
                </w:tcPr>
                <w:p>
                  <w:pPr>
                    <w:pStyle w:val="53"/>
                    <w:rPr>
                      <w:color w:val="000000" w:themeColor="text1"/>
                      <w:kern w:val="0"/>
                      <w:highlight w:val="none"/>
                    </w:rPr>
                  </w:pPr>
                </w:p>
              </w:tc>
              <w:tc>
                <w:tcPr>
                  <w:tcW w:w="886" w:type="pct"/>
                  <w:vAlign w:val="center"/>
                </w:tcPr>
                <w:p>
                  <w:pPr>
                    <w:pStyle w:val="53"/>
                    <w:rPr>
                      <w:color w:val="000000" w:themeColor="text1"/>
                      <w:kern w:val="0"/>
                      <w:highlight w:val="none"/>
                    </w:rPr>
                  </w:pPr>
                  <w:r>
                    <w:rPr>
                      <w:color w:val="000000" w:themeColor="text1"/>
                      <w:kern w:val="0"/>
                      <w:highlight w:val="none"/>
                    </w:rPr>
                    <w:t>达标</w:t>
                  </w:r>
                </w:p>
              </w:tc>
            </w:tr>
          </w:tbl>
          <w:p>
            <w:pPr>
              <w:spacing w:before="120" w:beforeLines="50"/>
              <w:ind w:firstLine="480"/>
              <w:rPr>
                <w:color w:val="000000" w:themeColor="text1"/>
                <w:szCs w:val="22"/>
                <w:highlight w:val="none"/>
              </w:rPr>
            </w:pPr>
            <w:r>
              <w:rPr>
                <w:color w:val="000000" w:themeColor="text1"/>
                <w:kern w:val="0"/>
                <w:szCs w:val="32"/>
                <w:highlight w:val="none"/>
                <w:lang w:val="zh-CN"/>
              </w:rPr>
              <w:t>项目生产运行阶段</w:t>
            </w:r>
            <w:r>
              <w:rPr>
                <w:rFonts w:hint="eastAsia"/>
                <w:color w:val="000000" w:themeColor="text1"/>
                <w:kern w:val="0"/>
                <w:szCs w:val="32"/>
                <w:highlight w:val="none"/>
                <w:lang w:val="zh-CN"/>
              </w:rPr>
              <w:t>夜间</w:t>
            </w:r>
            <w:r>
              <w:rPr>
                <w:color w:val="000000" w:themeColor="text1"/>
                <w:kern w:val="0"/>
                <w:szCs w:val="32"/>
                <w:highlight w:val="none"/>
                <w:lang w:val="zh-CN"/>
              </w:rPr>
              <w:t>声级等值线（</w:t>
            </w:r>
            <w:r>
              <w:rPr>
                <w:rFonts w:hint="eastAsia"/>
                <w:color w:val="000000" w:themeColor="text1"/>
                <w:kern w:val="0"/>
                <w:szCs w:val="32"/>
                <w:highlight w:val="none"/>
                <w:lang w:val="zh-CN"/>
              </w:rPr>
              <w:t>贡献</w:t>
            </w:r>
            <w:r>
              <w:rPr>
                <w:color w:val="000000" w:themeColor="text1"/>
                <w:kern w:val="0"/>
                <w:szCs w:val="32"/>
                <w:highlight w:val="none"/>
                <w:lang w:val="zh-CN"/>
              </w:rPr>
              <w:t>值）</w:t>
            </w:r>
            <w:r>
              <w:rPr>
                <w:color w:val="000000" w:themeColor="text1"/>
                <w:szCs w:val="22"/>
                <w:highlight w:val="none"/>
              </w:rPr>
              <w:t>见</w:t>
            </w:r>
            <w:r>
              <w:rPr>
                <w:rFonts w:hint="eastAsia"/>
                <w:color w:val="000000" w:themeColor="text1"/>
                <w:szCs w:val="22"/>
                <w:highlight w:val="none"/>
              </w:rPr>
              <w:t>下图</w:t>
            </w:r>
            <w:r>
              <w:rPr>
                <w:color w:val="000000" w:themeColor="text1"/>
                <w:szCs w:val="22"/>
                <w:highlight w:val="none"/>
              </w:rPr>
              <w:t>。</w:t>
            </w:r>
          </w:p>
          <w:p>
            <w:pPr>
              <w:spacing w:before="120" w:beforeLines="50"/>
              <w:ind w:firstLine="480"/>
              <w:rPr>
                <w:color w:val="000000" w:themeColor="text1"/>
                <w:szCs w:val="22"/>
                <w:highlight w:val="none"/>
              </w:rPr>
            </w:pPr>
          </w:p>
          <w:p>
            <w:pPr>
              <w:spacing w:before="120" w:beforeLines="50"/>
              <w:ind w:firstLine="480"/>
              <w:rPr>
                <w:color w:val="000000" w:themeColor="text1"/>
                <w:szCs w:val="22"/>
                <w:highlight w:val="none"/>
              </w:rPr>
            </w:pPr>
          </w:p>
          <w:p>
            <w:pPr>
              <w:spacing w:before="120" w:beforeLines="50"/>
              <w:ind w:firstLine="480"/>
              <w:rPr>
                <w:color w:val="000000" w:themeColor="text1"/>
                <w:szCs w:val="22"/>
                <w:highlight w:val="none"/>
              </w:rPr>
            </w:pPr>
          </w:p>
          <w:p>
            <w:pPr>
              <w:spacing w:before="120" w:beforeLines="50"/>
              <w:ind w:left="0" w:leftChars="0" w:firstLine="0" w:firstLineChars="0"/>
              <w:rPr>
                <w:color w:val="000000" w:themeColor="text1"/>
                <w:highlight w:val="none"/>
              </w:rPr>
            </w:pPr>
            <w:r>
              <w:rPr>
                <w:color w:val="000000" w:themeColor="text1"/>
                <w:highlight w:val="none"/>
              </w:rPr>
              <w:pict>
                <v:shape id="_x0000_i1032" o:spt="75" type="#_x0000_t75" style="height:283.6pt;width:422pt;" filled="f" o:preferrelative="t" stroked="f" coordsize="21600,21600">
                  <v:path/>
                  <v:fill on="f" focussize="0,0"/>
                  <v:stroke on="f" joinstyle="miter"/>
                  <v:imagedata r:id="rId23" o:title=""/>
                  <o:lock v:ext="edit" aspectratio="t"/>
                  <w10:wrap type="none"/>
                  <w10:anchorlock/>
                </v:shape>
              </w:pict>
            </w:r>
          </w:p>
          <w:p>
            <w:pPr>
              <w:numPr>
                <w:ilvl w:val="0"/>
                <w:numId w:val="7"/>
              </w:numPr>
              <w:ind w:left="420" w:firstLineChars="0"/>
              <w:jc w:val="center"/>
              <w:rPr>
                <w:color w:val="000000" w:themeColor="text1"/>
                <w:highlight w:val="none"/>
              </w:rPr>
            </w:pPr>
            <w:r>
              <w:rPr>
                <w:rFonts w:hint="eastAsia"/>
                <w:b/>
                <w:color w:val="000000" w:themeColor="text1"/>
                <w:sz w:val="21"/>
                <w:szCs w:val="21"/>
                <w:highlight w:val="none"/>
              </w:rPr>
              <w:t>夜间</w:t>
            </w:r>
            <w:r>
              <w:rPr>
                <w:b/>
                <w:color w:val="000000" w:themeColor="text1"/>
                <w:sz w:val="21"/>
                <w:szCs w:val="21"/>
                <w:highlight w:val="none"/>
              </w:rPr>
              <w:t>噪声</w:t>
            </w:r>
            <w:r>
              <w:rPr>
                <w:rFonts w:hint="eastAsia"/>
                <w:b/>
                <w:color w:val="000000" w:themeColor="text1"/>
                <w:sz w:val="21"/>
                <w:szCs w:val="21"/>
                <w:highlight w:val="none"/>
              </w:rPr>
              <w:t>贡献</w:t>
            </w:r>
            <w:r>
              <w:rPr>
                <w:b/>
                <w:color w:val="000000" w:themeColor="text1"/>
                <w:sz w:val="21"/>
                <w:szCs w:val="21"/>
                <w:highlight w:val="none"/>
              </w:rPr>
              <w:t>值分布图</w:t>
            </w:r>
          </w:p>
          <w:p>
            <w:pPr>
              <w:ind w:firstLine="480"/>
              <w:rPr>
                <w:color w:val="000000" w:themeColor="text1"/>
                <w:highlight w:val="none"/>
              </w:rPr>
            </w:pPr>
            <w:r>
              <w:rPr>
                <w:color w:val="000000" w:themeColor="text1"/>
                <w:highlight w:val="none"/>
              </w:rPr>
              <w:t>项目四厂界</w:t>
            </w:r>
            <w:r>
              <w:rPr>
                <w:rFonts w:hint="eastAsia"/>
                <w:color w:val="000000" w:themeColor="text1"/>
                <w:highlight w:val="none"/>
              </w:rPr>
              <w:t>夜间</w:t>
            </w:r>
            <w:r>
              <w:rPr>
                <w:color w:val="000000" w:themeColor="text1"/>
                <w:highlight w:val="none"/>
              </w:rPr>
              <w:t>噪声预测结果如下表所示：</w:t>
            </w:r>
          </w:p>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夜间</w:t>
            </w:r>
            <w:r>
              <w:rPr>
                <w:b/>
                <w:bCs/>
                <w:color w:val="000000" w:themeColor="text1"/>
                <w:sz w:val="21"/>
                <w:szCs w:val="21"/>
                <w:highlight w:val="none"/>
              </w:rPr>
              <w:t>噪声贡献值计算结果</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2273"/>
              <w:gridCol w:w="3236"/>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19" w:type="pct"/>
                  <w:vAlign w:val="center"/>
                </w:tcPr>
                <w:p>
                  <w:pPr>
                    <w:pStyle w:val="53"/>
                    <w:rPr>
                      <w:b/>
                      <w:color w:val="000000" w:themeColor="text1"/>
                      <w:highlight w:val="none"/>
                    </w:rPr>
                  </w:pPr>
                  <w:r>
                    <w:rPr>
                      <w:b/>
                      <w:color w:val="000000" w:themeColor="text1"/>
                      <w:highlight w:val="none"/>
                    </w:rPr>
                    <w:t>点位</w:t>
                  </w:r>
                </w:p>
              </w:tc>
              <w:tc>
                <w:tcPr>
                  <w:tcW w:w="1358" w:type="pct"/>
                  <w:vAlign w:val="center"/>
                </w:tcPr>
                <w:p>
                  <w:pPr>
                    <w:pStyle w:val="53"/>
                    <w:rPr>
                      <w:b/>
                      <w:color w:val="000000" w:themeColor="text1"/>
                      <w:highlight w:val="none"/>
                    </w:rPr>
                  </w:pPr>
                  <w:r>
                    <w:rPr>
                      <w:rFonts w:hint="eastAsia"/>
                      <w:b/>
                      <w:color w:val="000000" w:themeColor="text1"/>
                      <w:highlight w:val="none"/>
                    </w:rPr>
                    <w:t>夜间</w:t>
                  </w:r>
                  <w:r>
                    <w:rPr>
                      <w:b/>
                      <w:color w:val="000000" w:themeColor="text1"/>
                      <w:highlight w:val="none"/>
                    </w:rPr>
                    <w:t>贡献值</w:t>
                  </w:r>
                  <w:r>
                    <w:rPr>
                      <w:b/>
                      <w:bCs/>
                      <w:color w:val="000000" w:themeColor="text1"/>
                      <w:kern w:val="0"/>
                      <w:highlight w:val="none"/>
                    </w:rPr>
                    <w:t>dB（A）</w:t>
                  </w:r>
                </w:p>
              </w:tc>
              <w:tc>
                <w:tcPr>
                  <w:tcW w:w="1934" w:type="pct"/>
                  <w:vAlign w:val="center"/>
                </w:tcPr>
                <w:p>
                  <w:pPr>
                    <w:pStyle w:val="53"/>
                    <w:rPr>
                      <w:b/>
                      <w:color w:val="000000" w:themeColor="text1"/>
                      <w:highlight w:val="none"/>
                    </w:rPr>
                  </w:pPr>
                  <w:r>
                    <w:rPr>
                      <w:b/>
                      <w:color w:val="000000" w:themeColor="text1"/>
                      <w:highlight w:val="none"/>
                    </w:rPr>
                    <w:t>标准值</w:t>
                  </w:r>
                  <w:r>
                    <w:rPr>
                      <w:b/>
                      <w:bCs/>
                      <w:color w:val="000000" w:themeColor="text1"/>
                      <w:kern w:val="0"/>
                      <w:highlight w:val="none"/>
                    </w:rPr>
                    <w:t>dB（A）</w:t>
                  </w:r>
                </w:p>
              </w:tc>
              <w:tc>
                <w:tcPr>
                  <w:tcW w:w="886" w:type="pct"/>
                  <w:vAlign w:val="center"/>
                </w:tcPr>
                <w:p>
                  <w:pPr>
                    <w:pStyle w:val="53"/>
                    <w:rPr>
                      <w:b/>
                      <w:color w:val="000000" w:themeColor="text1"/>
                      <w:highlight w:val="none"/>
                    </w:rPr>
                  </w:pPr>
                  <w:r>
                    <w:rPr>
                      <w:b/>
                      <w:color w:val="000000" w:themeColor="text1"/>
                      <w:highlight w:val="none"/>
                    </w:rPr>
                    <w:t>达标性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9" w:type="pct"/>
                  <w:vAlign w:val="center"/>
                </w:tcPr>
                <w:p>
                  <w:pPr>
                    <w:pStyle w:val="53"/>
                    <w:rPr>
                      <w:color w:val="000000" w:themeColor="text1"/>
                      <w:kern w:val="0"/>
                      <w:highlight w:val="none"/>
                    </w:rPr>
                  </w:pPr>
                  <w:r>
                    <w:rPr>
                      <w:color w:val="000000" w:themeColor="text1"/>
                      <w:kern w:val="0"/>
                      <w:highlight w:val="none"/>
                    </w:rPr>
                    <w:t>北厂界</w:t>
                  </w:r>
                </w:p>
              </w:tc>
              <w:tc>
                <w:tcPr>
                  <w:tcW w:w="1358" w:type="pct"/>
                  <w:vAlign w:val="center"/>
                </w:tcPr>
                <w:p>
                  <w:pPr>
                    <w:pStyle w:val="53"/>
                    <w:rPr>
                      <w:color w:val="000000" w:themeColor="text1"/>
                      <w:kern w:val="0"/>
                      <w:highlight w:val="none"/>
                    </w:rPr>
                  </w:pPr>
                  <w:r>
                    <w:rPr>
                      <w:rFonts w:hint="eastAsia"/>
                      <w:color w:val="000000" w:themeColor="text1"/>
                      <w:kern w:val="0"/>
                      <w:highlight w:val="none"/>
                    </w:rPr>
                    <w:t>4.14</w:t>
                  </w:r>
                </w:p>
              </w:tc>
              <w:tc>
                <w:tcPr>
                  <w:tcW w:w="1934" w:type="pct"/>
                  <w:vMerge w:val="restart"/>
                  <w:vAlign w:val="center"/>
                </w:tcPr>
                <w:p>
                  <w:pPr>
                    <w:pStyle w:val="53"/>
                    <w:rPr>
                      <w:color w:val="000000" w:themeColor="text1"/>
                      <w:kern w:val="0"/>
                      <w:highlight w:val="none"/>
                    </w:rPr>
                  </w:pPr>
                  <w:r>
                    <w:rPr>
                      <w:rFonts w:hint="eastAsia"/>
                      <w:color w:val="000000" w:themeColor="text1"/>
                      <w:kern w:val="0"/>
                      <w:highlight w:val="none"/>
                    </w:rPr>
                    <w:t>夜</w:t>
                  </w:r>
                  <w:r>
                    <w:rPr>
                      <w:color w:val="000000" w:themeColor="text1"/>
                      <w:kern w:val="0"/>
                      <w:highlight w:val="none"/>
                    </w:rPr>
                    <w:t>间≤</w:t>
                  </w:r>
                  <w:r>
                    <w:rPr>
                      <w:rFonts w:hint="eastAsia"/>
                      <w:color w:val="000000" w:themeColor="text1"/>
                      <w:kern w:val="0"/>
                      <w:highlight w:val="none"/>
                    </w:rPr>
                    <w:t>5</w:t>
                  </w:r>
                  <w:r>
                    <w:rPr>
                      <w:color w:val="000000" w:themeColor="text1"/>
                      <w:kern w:val="0"/>
                      <w:highlight w:val="none"/>
                    </w:rPr>
                    <w:t>0</w:t>
                  </w:r>
                </w:p>
              </w:tc>
              <w:tc>
                <w:tcPr>
                  <w:tcW w:w="886" w:type="pct"/>
                  <w:vAlign w:val="center"/>
                </w:tcPr>
                <w:p>
                  <w:pPr>
                    <w:pStyle w:val="53"/>
                    <w:rPr>
                      <w:color w:val="000000" w:themeColor="text1"/>
                      <w:kern w:val="0"/>
                      <w:highlight w:val="none"/>
                    </w:rPr>
                  </w:pPr>
                  <w:r>
                    <w:rPr>
                      <w:color w:val="000000" w:themeColor="text1"/>
                      <w:kern w:val="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9" w:type="pct"/>
                  <w:vAlign w:val="center"/>
                </w:tcPr>
                <w:p>
                  <w:pPr>
                    <w:pStyle w:val="53"/>
                    <w:rPr>
                      <w:color w:val="000000" w:themeColor="text1"/>
                      <w:kern w:val="0"/>
                      <w:highlight w:val="none"/>
                    </w:rPr>
                  </w:pPr>
                  <w:r>
                    <w:rPr>
                      <w:color w:val="000000" w:themeColor="text1"/>
                      <w:kern w:val="0"/>
                      <w:highlight w:val="none"/>
                    </w:rPr>
                    <w:t>东厂界</w:t>
                  </w:r>
                </w:p>
              </w:tc>
              <w:tc>
                <w:tcPr>
                  <w:tcW w:w="1358" w:type="pct"/>
                  <w:vAlign w:val="center"/>
                </w:tcPr>
                <w:p>
                  <w:pPr>
                    <w:pStyle w:val="53"/>
                    <w:rPr>
                      <w:color w:val="000000" w:themeColor="text1"/>
                      <w:kern w:val="0"/>
                      <w:highlight w:val="none"/>
                    </w:rPr>
                  </w:pPr>
                  <w:r>
                    <w:rPr>
                      <w:rFonts w:hint="eastAsia"/>
                      <w:color w:val="000000" w:themeColor="text1"/>
                      <w:kern w:val="0"/>
                      <w:highlight w:val="none"/>
                    </w:rPr>
                    <w:t>27.31</w:t>
                  </w:r>
                </w:p>
              </w:tc>
              <w:tc>
                <w:tcPr>
                  <w:tcW w:w="1934" w:type="pct"/>
                  <w:vMerge w:val="continue"/>
                  <w:vAlign w:val="center"/>
                </w:tcPr>
                <w:p>
                  <w:pPr>
                    <w:pStyle w:val="53"/>
                    <w:rPr>
                      <w:color w:val="000000" w:themeColor="text1"/>
                      <w:kern w:val="0"/>
                      <w:highlight w:val="none"/>
                    </w:rPr>
                  </w:pPr>
                </w:p>
              </w:tc>
              <w:tc>
                <w:tcPr>
                  <w:tcW w:w="886" w:type="pct"/>
                  <w:vAlign w:val="center"/>
                </w:tcPr>
                <w:p>
                  <w:pPr>
                    <w:pStyle w:val="53"/>
                    <w:rPr>
                      <w:color w:val="000000" w:themeColor="text1"/>
                      <w:kern w:val="0"/>
                      <w:highlight w:val="none"/>
                    </w:rPr>
                  </w:pPr>
                  <w:r>
                    <w:rPr>
                      <w:color w:val="000000" w:themeColor="text1"/>
                      <w:kern w:val="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9" w:type="pct"/>
                  <w:vAlign w:val="center"/>
                </w:tcPr>
                <w:p>
                  <w:pPr>
                    <w:pStyle w:val="53"/>
                    <w:rPr>
                      <w:color w:val="000000" w:themeColor="text1"/>
                      <w:kern w:val="0"/>
                      <w:highlight w:val="none"/>
                    </w:rPr>
                  </w:pPr>
                  <w:r>
                    <w:rPr>
                      <w:color w:val="000000" w:themeColor="text1"/>
                      <w:kern w:val="0"/>
                      <w:highlight w:val="none"/>
                    </w:rPr>
                    <w:t>南厂界</w:t>
                  </w:r>
                </w:p>
              </w:tc>
              <w:tc>
                <w:tcPr>
                  <w:tcW w:w="1358" w:type="pct"/>
                  <w:vAlign w:val="center"/>
                </w:tcPr>
                <w:p>
                  <w:pPr>
                    <w:pStyle w:val="53"/>
                    <w:rPr>
                      <w:color w:val="000000" w:themeColor="text1"/>
                      <w:kern w:val="0"/>
                      <w:highlight w:val="none"/>
                    </w:rPr>
                  </w:pPr>
                  <w:r>
                    <w:rPr>
                      <w:rFonts w:hint="eastAsia"/>
                      <w:color w:val="000000" w:themeColor="text1"/>
                      <w:kern w:val="0"/>
                      <w:highlight w:val="none"/>
                    </w:rPr>
                    <w:t>35.73</w:t>
                  </w:r>
                </w:p>
              </w:tc>
              <w:tc>
                <w:tcPr>
                  <w:tcW w:w="1934" w:type="pct"/>
                  <w:vMerge w:val="continue"/>
                </w:tcPr>
                <w:p>
                  <w:pPr>
                    <w:pStyle w:val="53"/>
                    <w:rPr>
                      <w:color w:val="000000" w:themeColor="text1"/>
                      <w:kern w:val="0"/>
                      <w:highlight w:val="none"/>
                    </w:rPr>
                  </w:pPr>
                </w:p>
              </w:tc>
              <w:tc>
                <w:tcPr>
                  <w:tcW w:w="886" w:type="pct"/>
                  <w:vAlign w:val="center"/>
                </w:tcPr>
                <w:p>
                  <w:pPr>
                    <w:pStyle w:val="53"/>
                    <w:rPr>
                      <w:color w:val="000000" w:themeColor="text1"/>
                      <w:kern w:val="0"/>
                      <w:highlight w:val="none"/>
                    </w:rPr>
                  </w:pPr>
                  <w:r>
                    <w:rPr>
                      <w:color w:val="000000" w:themeColor="text1"/>
                      <w:kern w:val="0"/>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9" w:type="pct"/>
                  <w:vAlign w:val="center"/>
                </w:tcPr>
                <w:p>
                  <w:pPr>
                    <w:pStyle w:val="53"/>
                    <w:rPr>
                      <w:color w:val="000000" w:themeColor="text1"/>
                      <w:kern w:val="0"/>
                      <w:highlight w:val="none"/>
                    </w:rPr>
                  </w:pPr>
                  <w:r>
                    <w:rPr>
                      <w:color w:val="000000" w:themeColor="text1"/>
                      <w:kern w:val="0"/>
                      <w:highlight w:val="none"/>
                    </w:rPr>
                    <w:t>西厂界</w:t>
                  </w:r>
                </w:p>
              </w:tc>
              <w:tc>
                <w:tcPr>
                  <w:tcW w:w="1358" w:type="pct"/>
                  <w:vAlign w:val="center"/>
                </w:tcPr>
                <w:p>
                  <w:pPr>
                    <w:pStyle w:val="53"/>
                    <w:rPr>
                      <w:color w:val="000000" w:themeColor="text1"/>
                      <w:kern w:val="0"/>
                      <w:highlight w:val="none"/>
                    </w:rPr>
                  </w:pPr>
                  <w:r>
                    <w:rPr>
                      <w:rFonts w:hint="eastAsia"/>
                      <w:color w:val="000000" w:themeColor="text1"/>
                      <w:kern w:val="0"/>
                      <w:highlight w:val="none"/>
                    </w:rPr>
                    <w:t>1.72</w:t>
                  </w:r>
                </w:p>
              </w:tc>
              <w:tc>
                <w:tcPr>
                  <w:tcW w:w="1934" w:type="pct"/>
                  <w:vMerge w:val="continue"/>
                </w:tcPr>
                <w:p>
                  <w:pPr>
                    <w:pStyle w:val="53"/>
                    <w:rPr>
                      <w:color w:val="000000" w:themeColor="text1"/>
                      <w:kern w:val="0"/>
                      <w:highlight w:val="none"/>
                    </w:rPr>
                  </w:pPr>
                </w:p>
              </w:tc>
              <w:tc>
                <w:tcPr>
                  <w:tcW w:w="886" w:type="pct"/>
                  <w:vAlign w:val="center"/>
                </w:tcPr>
                <w:p>
                  <w:pPr>
                    <w:pStyle w:val="53"/>
                    <w:rPr>
                      <w:color w:val="000000" w:themeColor="text1"/>
                      <w:kern w:val="0"/>
                      <w:highlight w:val="none"/>
                    </w:rPr>
                  </w:pPr>
                  <w:r>
                    <w:rPr>
                      <w:color w:val="000000" w:themeColor="text1"/>
                      <w:kern w:val="0"/>
                      <w:highlight w:val="none"/>
                    </w:rPr>
                    <w:t>达标</w:t>
                  </w:r>
                </w:p>
              </w:tc>
            </w:tr>
          </w:tbl>
          <w:p>
            <w:pPr>
              <w:spacing w:before="120" w:beforeLines="50"/>
              <w:ind w:firstLine="480"/>
              <w:rPr>
                <w:color w:val="000000" w:themeColor="text1"/>
                <w:highlight w:val="none"/>
              </w:rPr>
            </w:pPr>
            <w:r>
              <w:rPr>
                <w:color w:val="000000" w:themeColor="text1"/>
                <w:highlight w:val="none"/>
              </w:rPr>
              <w:t>根据上表结果可知，项目</w:t>
            </w:r>
            <w:r>
              <w:rPr>
                <w:rFonts w:hint="eastAsia"/>
                <w:color w:val="000000" w:themeColor="text1"/>
                <w:kern w:val="0"/>
                <w:highlight w:val="none"/>
              </w:rPr>
              <w:t>厂界昼夜</w:t>
            </w:r>
            <w:r>
              <w:rPr>
                <w:color w:val="000000" w:themeColor="text1"/>
                <w:highlight w:val="none"/>
              </w:rPr>
              <w:t>噪声贡献值</w:t>
            </w:r>
            <w:r>
              <w:rPr>
                <w:rFonts w:hint="eastAsia"/>
                <w:color w:val="000000" w:themeColor="text1"/>
                <w:highlight w:val="none"/>
              </w:rPr>
              <w:t>满足</w:t>
            </w:r>
            <w:r>
              <w:rPr>
                <w:color w:val="000000" w:themeColor="text1"/>
                <w:highlight w:val="none"/>
              </w:rPr>
              <w:t>《工业企业厂界环境噪声排放标准》（GB12348-2008）中</w:t>
            </w:r>
            <w:r>
              <w:rPr>
                <w:rFonts w:hint="eastAsia"/>
                <w:color w:val="000000" w:themeColor="text1"/>
                <w:highlight w:val="none"/>
              </w:rPr>
              <w:t>2</w:t>
            </w:r>
            <w:r>
              <w:rPr>
                <w:color w:val="000000" w:themeColor="text1"/>
                <w:highlight w:val="none"/>
              </w:rPr>
              <w:t>类标准</w:t>
            </w:r>
            <w:r>
              <w:rPr>
                <w:rFonts w:hint="eastAsia"/>
                <w:color w:val="000000" w:themeColor="text1"/>
                <w:highlight w:val="none"/>
              </w:rPr>
              <w:t>，项目噪声达标排放</w:t>
            </w:r>
            <w:r>
              <w:rPr>
                <w:color w:val="000000" w:themeColor="text1"/>
                <w:highlight w:val="none"/>
              </w:rPr>
              <w:t>。</w:t>
            </w:r>
          </w:p>
          <w:p>
            <w:pPr>
              <w:ind w:firstLine="482"/>
              <w:rPr>
                <w:b/>
                <w:bCs/>
                <w:color w:val="000000" w:themeColor="text1"/>
                <w:highlight w:val="none"/>
              </w:rPr>
            </w:pPr>
            <w:r>
              <w:rPr>
                <w:rFonts w:hint="eastAsia"/>
                <w:b/>
                <w:bCs/>
                <w:color w:val="000000" w:themeColor="text1"/>
                <w:highlight w:val="none"/>
              </w:rPr>
              <w:t>（3）监测要求</w:t>
            </w:r>
          </w:p>
          <w:p>
            <w:pPr>
              <w:ind w:firstLine="480"/>
              <w:rPr>
                <w:color w:val="000000" w:themeColor="text1"/>
                <w:highlight w:val="none"/>
              </w:rPr>
            </w:pPr>
            <w:r>
              <w:rPr>
                <w:rFonts w:hint="eastAsia"/>
                <w:color w:val="000000" w:themeColor="text1"/>
                <w:highlight w:val="none"/>
              </w:rPr>
              <w:t>根据《排污单位自行监测技术指南 总则》（HJ819-2017）自行监测相关要求，</w:t>
            </w:r>
            <w:r>
              <w:rPr>
                <w:color w:val="000000" w:themeColor="text1"/>
                <w:highlight w:val="none"/>
              </w:rPr>
              <w:t>项目</w:t>
            </w:r>
            <w:r>
              <w:rPr>
                <w:rFonts w:hint="eastAsia"/>
                <w:color w:val="000000" w:themeColor="text1"/>
                <w:highlight w:val="none"/>
              </w:rPr>
              <w:t>噪声源</w:t>
            </w:r>
            <w:r>
              <w:rPr>
                <w:color w:val="000000" w:themeColor="text1"/>
                <w:highlight w:val="none"/>
              </w:rPr>
              <w:t>监测详见下表：</w:t>
            </w:r>
          </w:p>
          <w:p>
            <w:pPr>
              <w:numPr>
                <w:ilvl w:val="0"/>
                <w:numId w:val="6"/>
              </w:numPr>
              <w:autoSpaceDE w:val="0"/>
              <w:autoSpaceDN w:val="0"/>
              <w:ind w:firstLineChars="0"/>
              <w:jc w:val="center"/>
              <w:rPr>
                <w:b/>
                <w:bCs/>
                <w:color w:val="000000" w:themeColor="text1"/>
                <w:sz w:val="21"/>
                <w:szCs w:val="21"/>
                <w:highlight w:val="none"/>
              </w:rPr>
            </w:pPr>
            <w:r>
              <w:rPr>
                <w:b/>
                <w:bCs/>
                <w:color w:val="000000" w:themeColor="text1"/>
                <w:sz w:val="21"/>
                <w:szCs w:val="21"/>
                <w:highlight w:val="none"/>
              </w:rPr>
              <w:t>项目噪声源监测要求一览表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063"/>
              <w:gridCol w:w="1103"/>
              <w:gridCol w:w="1049"/>
              <w:gridCol w:w="4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环境要素</w:t>
                  </w:r>
                </w:p>
              </w:tc>
              <w:tc>
                <w:tcPr>
                  <w:tcW w:w="635"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监测位置</w:t>
                  </w:r>
                </w:p>
              </w:tc>
              <w:tc>
                <w:tcPr>
                  <w:tcW w:w="659"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监测项目</w:t>
                  </w:r>
                </w:p>
              </w:tc>
              <w:tc>
                <w:tcPr>
                  <w:tcW w:w="627"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频次</w:t>
                  </w:r>
                </w:p>
              </w:tc>
              <w:tc>
                <w:tcPr>
                  <w:tcW w:w="2410" w:type="pct"/>
                  <w:vAlign w:val="center"/>
                </w:tcPr>
                <w:p>
                  <w:pPr>
                    <w:spacing w:line="240" w:lineRule="auto"/>
                    <w:ind w:firstLine="0" w:firstLineChars="0"/>
                    <w:jc w:val="center"/>
                    <w:rPr>
                      <w:b/>
                      <w:color w:val="000000" w:themeColor="text1"/>
                      <w:sz w:val="21"/>
                      <w:szCs w:val="21"/>
                      <w:highlight w:val="none"/>
                    </w:rPr>
                  </w:pPr>
                  <w:r>
                    <w:rPr>
                      <w:rFonts w:hint="eastAsia"/>
                      <w:b/>
                      <w:color w:val="000000" w:themeColor="text1"/>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6"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厂界</w:t>
                  </w:r>
                  <w:r>
                    <w:rPr>
                      <w:color w:val="000000" w:themeColor="text1"/>
                      <w:sz w:val="21"/>
                      <w:szCs w:val="21"/>
                      <w:highlight w:val="none"/>
                    </w:rPr>
                    <w:t>噪声</w:t>
                  </w:r>
                </w:p>
              </w:tc>
              <w:tc>
                <w:tcPr>
                  <w:tcW w:w="635"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四厂界外1m处</w:t>
                  </w:r>
                </w:p>
              </w:tc>
              <w:tc>
                <w:tcPr>
                  <w:tcW w:w="659"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Leq</w:t>
                  </w:r>
                </w:p>
              </w:tc>
              <w:tc>
                <w:tcPr>
                  <w:tcW w:w="627"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每</w:t>
                  </w:r>
                  <w:r>
                    <w:rPr>
                      <w:rFonts w:hint="eastAsia"/>
                      <w:color w:val="000000" w:themeColor="text1"/>
                      <w:sz w:val="21"/>
                      <w:szCs w:val="21"/>
                      <w:highlight w:val="none"/>
                    </w:rPr>
                    <w:t>季度</w:t>
                  </w:r>
                  <w:r>
                    <w:rPr>
                      <w:color w:val="000000" w:themeColor="text1"/>
                      <w:sz w:val="21"/>
                      <w:szCs w:val="21"/>
                      <w:highlight w:val="none"/>
                    </w:rPr>
                    <w:t>一次</w:t>
                  </w:r>
                </w:p>
              </w:tc>
              <w:tc>
                <w:tcPr>
                  <w:tcW w:w="2410" w:type="pct"/>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《工业企业厂界环境噪声排放标准》（GB12348-2008）中2类标准要求</w:t>
                  </w:r>
                </w:p>
              </w:tc>
            </w:tr>
          </w:tbl>
          <w:p>
            <w:pPr>
              <w:spacing w:before="120" w:beforeLines="50"/>
              <w:ind w:firstLine="482"/>
              <w:rPr>
                <w:b/>
                <w:bCs/>
                <w:color w:val="000000" w:themeColor="text1"/>
                <w:highlight w:val="none"/>
              </w:rPr>
            </w:pPr>
            <w:r>
              <w:rPr>
                <w:b/>
                <w:bCs/>
                <w:color w:val="000000" w:themeColor="text1"/>
                <w:highlight w:val="none"/>
              </w:rPr>
              <w:t>4、固体废物</w:t>
            </w:r>
          </w:p>
          <w:p>
            <w:pPr>
              <w:ind w:firstLine="480"/>
              <w:rPr>
                <w:color w:val="000000" w:themeColor="text1"/>
                <w:highlight w:val="none"/>
              </w:rPr>
            </w:pPr>
            <w:r>
              <w:rPr>
                <w:rFonts w:hint="eastAsia"/>
                <w:color w:val="000000" w:themeColor="text1"/>
                <w:highlight w:val="none"/>
              </w:rPr>
              <w:t>项目生产运行阶段产生的固体废物主要为：生活垃圾、除尘灰、沥青拌合站筛分废料、废导热油、废润滑油、废油桶、废活性炭</w:t>
            </w:r>
            <w:r>
              <w:rPr>
                <w:rFonts w:hint="eastAsia"/>
                <w:color w:val="000000" w:themeColor="text1"/>
                <w:highlight w:val="none"/>
                <w:lang w:val="en-US" w:eastAsia="zh-CN"/>
              </w:rPr>
              <w:t>及涉及沥青废气治理的废布袋</w:t>
            </w:r>
            <w:r>
              <w:rPr>
                <w:rFonts w:hint="eastAsia"/>
                <w:color w:val="000000" w:themeColor="text1"/>
                <w:highlight w:val="none"/>
              </w:rPr>
              <w:t>等。</w:t>
            </w:r>
          </w:p>
          <w:p>
            <w:pPr>
              <w:ind w:firstLine="480"/>
              <w:rPr>
                <w:rFonts w:hint="eastAsia" w:eastAsia="宋体"/>
                <w:color w:val="000000" w:themeColor="text1"/>
                <w:highlight w:val="none"/>
                <w:lang w:val="en-US" w:eastAsia="zh-CN"/>
              </w:rPr>
            </w:pPr>
            <w:r>
              <w:rPr>
                <w:rFonts w:hint="eastAsia"/>
                <w:color w:val="000000" w:themeColor="text1"/>
                <w:highlight w:val="none"/>
              </w:rPr>
              <w:t>（1）</w:t>
            </w:r>
            <w:r>
              <w:rPr>
                <w:color w:val="000000" w:themeColor="text1"/>
                <w:highlight w:val="none"/>
              </w:rPr>
              <w:t>生活垃圾日产生量按0.5kg/人计算，则生活垃圾产生量为</w:t>
            </w:r>
            <w:r>
              <w:rPr>
                <w:rFonts w:hint="eastAsia"/>
                <w:color w:val="000000" w:themeColor="text1"/>
                <w:highlight w:val="none"/>
              </w:rPr>
              <w:t>6</w:t>
            </w:r>
            <w:r>
              <w:rPr>
                <w:color w:val="000000" w:themeColor="text1"/>
                <w:highlight w:val="none"/>
              </w:rPr>
              <w:t>kg/d，</w:t>
            </w:r>
            <w:r>
              <w:rPr>
                <w:rFonts w:hint="eastAsia"/>
                <w:color w:val="000000" w:themeColor="text1"/>
                <w:highlight w:val="none"/>
              </w:rPr>
              <w:t>0.54</w:t>
            </w:r>
            <w:r>
              <w:rPr>
                <w:color w:val="000000" w:themeColor="text1"/>
                <w:highlight w:val="none"/>
              </w:rPr>
              <w:t>t/a</w:t>
            </w:r>
            <w:r>
              <w:rPr>
                <w:rFonts w:hint="eastAsia"/>
                <w:color w:val="000000" w:themeColor="text1"/>
                <w:highlight w:val="none"/>
              </w:rPr>
              <w:t>，由建设单位</w:t>
            </w:r>
            <w:r>
              <w:rPr>
                <w:color w:val="000000" w:themeColor="text1"/>
                <w:highlight w:val="none"/>
              </w:rPr>
              <w:t>集中收集后交由环卫部门统一清运处理</w:t>
            </w:r>
            <w:r>
              <w:rPr>
                <w:rFonts w:hint="eastAsia"/>
                <w:color w:val="000000" w:themeColor="text1"/>
                <w:highlight w:val="none"/>
                <w:lang w:eastAsia="zh-CN"/>
              </w:rPr>
              <w:t>。</w:t>
            </w:r>
          </w:p>
          <w:p>
            <w:pPr>
              <w:ind w:firstLine="480"/>
              <w:rPr>
                <w:rFonts w:hint="eastAsia" w:eastAsia="宋体"/>
                <w:color w:val="000000" w:themeColor="text1"/>
                <w:highlight w:val="none"/>
                <w:lang w:eastAsia="zh-CN"/>
              </w:rPr>
            </w:pPr>
            <w:r>
              <w:rPr>
                <w:rFonts w:hint="eastAsia"/>
                <w:color w:val="000000" w:themeColor="text1"/>
                <w:highlight w:val="none"/>
              </w:rPr>
              <w:t>（2）除尘灰产生量为43.38t/a，作为原料</w:t>
            </w:r>
            <w:r>
              <w:rPr>
                <w:color w:val="000000" w:themeColor="text1"/>
                <w:highlight w:val="none"/>
              </w:rPr>
              <w:t>回用于</w:t>
            </w:r>
            <w:r>
              <w:rPr>
                <w:rFonts w:hint="eastAsia"/>
                <w:color w:val="000000" w:themeColor="text1"/>
                <w:highlight w:val="none"/>
              </w:rPr>
              <w:t>生产</w:t>
            </w:r>
            <w:r>
              <w:rPr>
                <w:rFonts w:hint="eastAsia"/>
                <w:color w:val="000000" w:themeColor="text1"/>
                <w:highlight w:val="none"/>
                <w:lang w:eastAsia="zh-CN"/>
              </w:rPr>
              <w:t>。</w:t>
            </w:r>
          </w:p>
          <w:p>
            <w:pPr>
              <w:widowControl/>
              <w:ind w:firstLine="480"/>
              <w:jc w:val="left"/>
              <w:rPr>
                <w:color w:val="000000" w:themeColor="text1"/>
                <w:highlight w:val="none"/>
              </w:rPr>
            </w:pPr>
            <w:r>
              <w:rPr>
                <w:color w:val="000000" w:themeColor="text1"/>
                <w:highlight w:val="none"/>
              </w:rPr>
              <w:t>（</w:t>
            </w:r>
            <w:r>
              <w:rPr>
                <w:rFonts w:hint="eastAsia"/>
                <w:color w:val="000000" w:themeColor="text1"/>
                <w:highlight w:val="none"/>
              </w:rPr>
              <w:t>3</w:t>
            </w:r>
            <w:r>
              <w:rPr>
                <w:color w:val="000000" w:themeColor="text1"/>
                <w:highlight w:val="none"/>
              </w:rPr>
              <w:t>）</w:t>
            </w:r>
            <w:r>
              <w:rPr>
                <w:rFonts w:hint="eastAsia"/>
                <w:color w:val="000000" w:themeColor="text1"/>
                <w:highlight w:val="none"/>
                <w:lang w:val="en-US" w:eastAsia="zh-CN"/>
              </w:rPr>
              <w:t>骨料</w:t>
            </w:r>
            <w:r>
              <w:rPr>
                <w:color w:val="000000" w:themeColor="text1"/>
                <w:highlight w:val="none"/>
              </w:rPr>
              <w:t>筛分废料，</w:t>
            </w:r>
            <w:r>
              <w:rPr>
                <w:color w:val="000000" w:themeColor="text1"/>
                <w:kern w:val="0"/>
                <w:highlight w:val="none"/>
                <w:lang w:bidi="ar"/>
              </w:rPr>
              <w:t>项目生产原料为不同粒径的</w:t>
            </w:r>
            <w:r>
              <w:rPr>
                <w:rFonts w:hint="eastAsia"/>
                <w:color w:val="000000" w:themeColor="text1"/>
                <w:kern w:val="0"/>
                <w:highlight w:val="none"/>
                <w:lang w:bidi="ar"/>
              </w:rPr>
              <w:t>骨料</w:t>
            </w:r>
            <w:r>
              <w:rPr>
                <w:color w:val="000000" w:themeColor="text1"/>
                <w:kern w:val="0"/>
                <w:highlight w:val="none"/>
                <w:lang w:bidi="ar"/>
              </w:rPr>
              <w:t>，经烘干加热后通过提升机进入振动筛，筛分后合格的物料进入后续生产，筛选不合格（粒径过大）的废</w:t>
            </w:r>
            <w:r>
              <w:rPr>
                <w:rFonts w:hint="eastAsia"/>
                <w:color w:val="000000" w:themeColor="text1"/>
                <w:kern w:val="0"/>
                <w:highlight w:val="none"/>
                <w:lang w:bidi="ar"/>
              </w:rPr>
              <w:t>骨</w:t>
            </w:r>
            <w:r>
              <w:rPr>
                <w:color w:val="000000" w:themeColor="text1"/>
                <w:kern w:val="0"/>
                <w:highlight w:val="none"/>
                <w:lang w:bidi="ar"/>
              </w:rPr>
              <w:t>料则不能进入生产线，根据建设单位提供资料，振动筛筛选出来的废</w:t>
            </w:r>
            <w:r>
              <w:rPr>
                <w:rFonts w:hint="eastAsia"/>
                <w:color w:val="000000" w:themeColor="text1"/>
                <w:kern w:val="0"/>
                <w:highlight w:val="none"/>
                <w:lang w:bidi="ar"/>
              </w:rPr>
              <w:t>骨</w:t>
            </w:r>
            <w:r>
              <w:rPr>
                <w:color w:val="000000" w:themeColor="text1"/>
                <w:kern w:val="0"/>
                <w:highlight w:val="none"/>
                <w:lang w:bidi="ar"/>
              </w:rPr>
              <w:t>料产生量约为</w:t>
            </w:r>
            <w:r>
              <w:rPr>
                <w:rFonts w:hint="eastAsia"/>
                <w:color w:val="000000" w:themeColor="text1"/>
                <w:kern w:val="0"/>
                <w:highlight w:val="none"/>
                <w:lang w:bidi="ar"/>
              </w:rPr>
              <w:t>5.8</w:t>
            </w:r>
            <w:r>
              <w:rPr>
                <w:color w:val="000000" w:themeColor="text1"/>
                <w:kern w:val="0"/>
                <w:highlight w:val="none"/>
                <w:lang w:bidi="ar"/>
              </w:rPr>
              <w:t>t/a。项</w:t>
            </w:r>
            <w:r>
              <w:rPr>
                <w:rFonts w:hint="eastAsia" w:ascii="宋体" w:hAnsi="宋体" w:cs="宋体"/>
                <w:color w:val="000000" w:themeColor="text1"/>
                <w:kern w:val="0"/>
                <w:highlight w:val="none"/>
                <w:lang w:bidi="ar"/>
              </w:rPr>
              <w:t>目废骨料收集后暂存于原料库房，由</w:t>
            </w:r>
            <w:r>
              <w:rPr>
                <w:rFonts w:hint="eastAsia"/>
                <w:highlight w:val="none"/>
                <w:lang w:val="en-US" w:eastAsia="zh-CN"/>
              </w:rPr>
              <w:t>三河市徐达路桥建设有限公司前苇塘水稳站项目作为原料用于生产。</w:t>
            </w:r>
          </w:p>
          <w:p>
            <w:pPr>
              <w:widowControl/>
              <w:ind w:firstLine="480"/>
              <w:jc w:val="left"/>
              <w:rPr>
                <w:color w:val="000000" w:themeColor="text1"/>
                <w:kern w:val="0"/>
                <w:highlight w:val="none"/>
                <w:lang w:bidi="ar"/>
              </w:rPr>
            </w:pPr>
            <w:r>
              <w:rPr>
                <w:color w:val="000000" w:themeColor="text1"/>
                <w:kern w:val="0"/>
                <w:highlight w:val="none"/>
                <w:lang w:bidi="ar"/>
              </w:rPr>
              <w:t>（</w:t>
            </w:r>
            <w:r>
              <w:rPr>
                <w:rFonts w:hint="eastAsia"/>
                <w:color w:val="000000" w:themeColor="text1"/>
                <w:kern w:val="0"/>
                <w:highlight w:val="none"/>
                <w:lang w:bidi="ar"/>
              </w:rPr>
              <w:t>4</w:t>
            </w:r>
            <w:r>
              <w:rPr>
                <w:color w:val="000000" w:themeColor="text1"/>
                <w:kern w:val="0"/>
                <w:highlight w:val="none"/>
                <w:lang w:bidi="ar"/>
              </w:rPr>
              <w:t>）废导热油：</w:t>
            </w:r>
            <w:r>
              <w:rPr>
                <w:rFonts w:hint="eastAsia"/>
                <w:color w:val="000000" w:themeColor="text1"/>
                <w:kern w:val="0"/>
                <w:highlight w:val="none"/>
                <w:lang w:bidi="ar"/>
              </w:rPr>
              <w:t>项目导热油每2年更换一次，</w:t>
            </w:r>
            <w:r>
              <w:rPr>
                <w:color w:val="000000" w:themeColor="text1"/>
                <w:kern w:val="0"/>
                <w:highlight w:val="none"/>
                <w:lang w:bidi="ar"/>
              </w:rPr>
              <w:t>项目废导热油</w:t>
            </w:r>
            <w:r>
              <w:rPr>
                <w:rFonts w:hint="eastAsia"/>
                <w:color w:val="000000" w:themeColor="text1"/>
                <w:kern w:val="0"/>
                <w:highlight w:val="none"/>
                <w:lang w:bidi="ar"/>
              </w:rPr>
              <w:t>产生</w:t>
            </w:r>
            <w:r>
              <w:rPr>
                <w:color w:val="000000" w:themeColor="text1"/>
                <w:kern w:val="0"/>
                <w:highlight w:val="none"/>
                <w:lang w:bidi="ar"/>
              </w:rPr>
              <w:t>量为</w:t>
            </w:r>
            <w:r>
              <w:rPr>
                <w:rFonts w:hint="eastAsia"/>
                <w:color w:val="000000" w:themeColor="text1"/>
                <w:kern w:val="0"/>
                <w:highlight w:val="none"/>
                <w:lang w:bidi="ar"/>
              </w:rPr>
              <w:t>1</w:t>
            </w:r>
            <w:r>
              <w:rPr>
                <w:color w:val="000000" w:themeColor="text1"/>
                <w:kern w:val="0"/>
                <w:highlight w:val="none"/>
                <w:lang w:bidi="ar"/>
              </w:rPr>
              <w:t>t</w:t>
            </w:r>
            <w:r>
              <w:rPr>
                <w:rFonts w:hint="eastAsia"/>
                <w:color w:val="000000" w:themeColor="text1"/>
                <w:kern w:val="0"/>
                <w:highlight w:val="none"/>
                <w:lang w:bidi="ar"/>
              </w:rPr>
              <w:t>。本项目为临时性项目，</w:t>
            </w:r>
            <w:r>
              <w:rPr>
                <w:rFonts w:hint="eastAsia"/>
                <w:color w:val="000000" w:themeColor="text1"/>
                <w:kern w:val="0"/>
                <w:highlight w:val="none"/>
              </w:rPr>
              <w:t>生产的沥青不对外进行销售，仅供承平高速项目建设使用。承平高速路面沥青铺设预计在2024年8月完工，本项目待承平高速项目建设完成后进行拆除。</w:t>
            </w:r>
            <w:r>
              <w:rPr>
                <w:rFonts w:hint="eastAsia"/>
                <w:color w:val="000000" w:themeColor="text1"/>
                <w:kern w:val="0"/>
                <w:highlight w:val="none"/>
                <w:lang w:bidi="ar"/>
              </w:rPr>
              <w:t>项目运营期小于导热油更换周期，待本项目结束后废导热油交由有资质单位进行处置。</w:t>
            </w:r>
          </w:p>
          <w:p>
            <w:pPr>
              <w:widowControl/>
              <w:ind w:firstLine="480"/>
              <w:jc w:val="left"/>
              <w:rPr>
                <w:color w:val="000000" w:themeColor="text1"/>
                <w:kern w:val="0"/>
                <w:highlight w:val="none"/>
                <w:lang w:bidi="ar"/>
              </w:rPr>
            </w:pPr>
            <w:r>
              <w:rPr>
                <w:rFonts w:hint="eastAsia" w:ascii="宋体" w:hAnsi="宋体" w:cs="宋体"/>
                <w:color w:val="000000" w:themeColor="text1"/>
                <w:kern w:val="0"/>
                <w:highlight w:val="none"/>
                <w:lang w:bidi="ar"/>
              </w:rPr>
              <w:t>根据《国家危险废物名录（</w:t>
            </w:r>
            <w:r>
              <w:rPr>
                <w:color w:val="000000" w:themeColor="text1"/>
                <w:kern w:val="0"/>
                <w:highlight w:val="none"/>
                <w:lang w:bidi="ar"/>
              </w:rPr>
              <w:t>2021年版）》，废导热油属于HW08</w:t>
            </w:r>
            <w:r>
              <w:rPr>
                <w:rFonts w:hint="eastAsia"/>
                <w:color w:val="000000" w:themeColor="text1"/>
                <w:kern w:val="0"/>
                <w:highlight w:val="none"/>
                <w:lang w:bidi="ar"/>
              </w:rPr>
              <w:t>废润滑油与</w:t>
            </w:r>
            <w:r>
              <w:rPr>
                <w:color w:val="000000" w:themeColor="text1"/>
                <w:kern w:val="0"/>
                <w:highlight w:val="none"/>
                <w:lang w:bidi="ar"/>
              </w:rPr>
              <w:t>含矿物油废物类危险废物（废物代码：900-249-08）</w:t>
            </w:r>
            <w:r>
              <w:rPr>
                <w:rFonts w:hint="eastAsia"/>
                <w:color w:val="000000" w:themeColor="text1"/>
                <w:kern w:val="0"/>
                <w:highlight w:val="none"/>
                <w:lang w:bidi="ar"/>
              </w:rPr>
              <w:t>，</w:t>
            </w:r>
            <w:r>
              <w:rPr>
                <w:color w:val="000000" w:themeColor="text1"/>
                <w:kern w:val="0"/>
                <w:highlight w:val="none"/>
                <w:lang w:bidi="ar"/>
              </w:rPr>
              <w:t>暂存于危废贮存间，委托有资质单位处理</w:t>
            </w:r>
            <w:r>
              <w:rPr>
                <w:rFonts w:hint="eastAsia"/>
                <w:color w:val="000000" w:themeColor="text1"/>
                <w:kern w:val="0"/>
                <w:highlight w:val="none"/>
                <w:lang w:bidi="ar"/>
              </w:rPr>
              <w:t>。</w:t>
            </w:r>
          </w:p>
          <w:p>
            <w:pPr>
              <w:widowControl/>
              <w:ind w:firstLine="480"/>
              <w:rPr>
                <w:color w:val="000000" w:themeColor="text1"/>
                <w:highlight w:val="none"/>
              </w:rPr>
            </w:pPr>
            <w:r>
              <w:rPr>
                <w:color w:val="000000" w:themeColor="text1"/>
                <w:kern w:val="0"/>
                <w:highlight w:val="none"/>
                <w:lang w:bidi="ar"/>
              </w:rPr>
              <w:t>（</w:t>
            </w:r>
            <w:r>
              <w:rPr>
                <w:rFonts w:hint="eastAsia"/>
                <w:color w:val="000000" w:themeColor="text1"/>
                <w:kern w:val="0"/>
                <w:highlight w:val="none"/>
                <w:lang w:bidi="ar"/>
              </w:rPr>
              <w:t>5</w:t>
            </w:r>
            <w:r>
              <w:rPr>
                <w:color w:val="000000" w:themeColor="text1"/>
                <w:kern w:val="0"/>
                <w:highlight w:val="none"/>
                <w:lang w:bidi="ar"/>
              </w:rPr>
              <w:t>）沥青烟气治理系统废活性炭：本项目</w:t>
            </w:r>
            <w:r>
              <w:rPr>
                <w:rFonts w:hint="eastAsia" w:ascii="宋体" w:hAnsi="宋体" w:cs="宋体"/>
                <w:color w:val="000000" w:themeColor="text1"/>
                <w:kern w:val="0"/>
                <w:sz w:val="24"/>
                <w:szCs w:val="24"/>
                <w:highlight w:val="none"/>
                <w:lang w:bidi="ar"/>
              </w:rPr>
              <w:t>沥青储罐</w:t>
            </w:r>
            <w:r>
              <w:rPr>
                <w:rFonts w:hint="eastAsia" w:ascii="宋体" w:hAnsi="宋体" w:cs="宋体"/>
                <w:color w:val="000000" w:themeColor="text1"/>
                <w:kern w:val="0"/>
                <w:sz w:val="24"/>
                <w:szCs w:val="24"/>
                <w:highlight w:val="none"/>
                <w:lang w:val="en-US" w:eastAsia="zh-CN" w:bidi="ar"/>
              </w:rPr>
              <w:t>及卸料池</w:t>
            </w:r>
            <w:r>
              <w:rPr>
                <w:rFonts w:hint="eastAsia" w:ascii="宋体" w:hAnsi="宋体" w:cs="宋体"/>
                <w:color w:val="000000" w:themeColor="text1"/>
                <w:kern w:val="0"/>
                <w:sz w:val="24"/>
                <w:szCs w:val="24"/>
                <w:highlight w:val="none"/>
                <w:lang w:bidi="ar"/>
              </w:rPr>
              <w:t>、</w:t>
            </w:r>
            <w:r>
              <w:rPr>
                <w:rFonts w:hint="eastAsia" w:ascii="宋体" w:hAnsi="宋体" w:cs="宋体"/>
                <w:color w:val="000000" w:themeColor="text1"/>
                <w:kern w:val="0"/>
                <w:sz w:val="24"/>
                <w:szCs w:val="24"/>
                <w:highlight w:val="none"/>
                <w:lang w:val="en-US" w:eastAsia="zh-CN" w:bidi="ar"/>
              </w:rPr>
              <w:t>搅拌机呼吸口及卸料口</w:t>
            </w:r>
            <w:r>
              <w:rPr>
                <w:color w:val="000000" w:themeColor="text1"/>
                <w:kern w:val="0"/>
                <w:highlight w:val="none"/>
                <w:lang w:bidi="ar"/>
              </w:rPr>
              <w:t>废气</w:t>
            </w:r>
            <w:r>
              <w:rPr>
                <w:rFonts w:hint="eastAsia" w:ascii="宋体" w:hAnsi="宋体" w:cs="宋体"/>
                <w:color w:val="000000" w:themeColor="text1"/>
                <w:kern w:val="0"/>
                <w:highlight w:val="none"/>
                <w:lang w:bidi="ar"/>
              </w:rPr>
              <w:t>经“两级活性炭”</w:t>
            </w:r>
            <w:r>
              <w:rPr>
                <w:color w:val="000000" w:themeColor="text1"/>
                <w:kern w:val="0"/>
                <w:highlight w:val="none"/>
                <w:lang w:bidi="ar"/>
              </w:rPr>
              <w:t>沥青烟处理系统处理，根据工程分析可知，本项目沥青烟（包括苯并芘</w:t>
            </w:r>
            <w:r>
              <w:rPr>
                <w:rFonts w:hint="eastAsia"/>
                <w:color w:val="000000" w:themeColor="text1"/>
                <w:kern w:val="0"/>
                <w:highlight w:val="none"/>
                <w:lang w:bidi="ar"/>
              </w:rPr>
              <w:t>和非甲烷总烃</w:t>
            </w:r>
            <w:r>
              <w:rPr>
                <w:color w:val="000000" w:themeColor="text1"/>
                <w:kern w:val="0"/>
                <w:highlight w:val="none"/>
                <w:lang w:bidi="ar"/>
              </w:rPr>
              <w:t>）废气去除总量为</w:t>
            </w:r>
            <w:r>
              <w:rPr>
                <w:rFonts w:hint="eastAsia"/>
                <w:color w:val="000000" w:themeColor="text1"/>
                <w:kern w:val="0"/>
                <w:highlight w:val="none"/>
                <w:lang w:bidi="ar"/>
              </w:rPr>
              <w:t>0.27</w:t>
            </w:r>
            <w:r>
              <w:rPr>
                <w:color w:val="000000" w:themeColor="text1"/>
                <w:kern w:val="0"/>
                <w:highlight w:val="none"/>
                <w:lang w:bidi="ar"/>
              </w:rPr>
              <w:t>t/a，一吨活性炭最多可吸附0.25t的废气。根据项目治理措施的活性炭装载量，项目拟每</w:t>
            </w:r>
            <w:r>
              <w:rPr>
                <w:rFonts w:hint="eastAsia"/>
                <w:color w:val="000000" w:themeColor="text1"/>
                <w:kern w:val="0"/>
                <w:highlight w:val="none"/>
                <w:lang w:bidi="ar"/>
              </w:rPr>
              <w:t>3</w:t>
            </w:r>
            <w:r>
              <w:rPr>
                <w:color w:val="000000" w:themeColor="text1"/>
                <w:kern w:val="0"/>
                <w:highlight w:val="none"/>
                <w:lang w:bidi="ar"/>
              </w:rPr>
              <w:t>个月更换一次活性炭，每年更换</w:t>
            </w:r>
            <w:r>
              <w:rPr>
                <w:rFonts w:hint="eastAsia"/>
                <w:color w:val="000000" w:themeColor="text1"/>
                <w:kern w:val="0"/>
                <w:highlight w:val="none"/>
                <w:lang w:bidi="ar"/>
              </w:rPr>
              <w:t>4</w:t>
            </w:r>
            <w:r>
              <w:rPr>
                <w:color w:val="000000" w:themeColor="text1"/>
                <w:kern w:val="0"/>
                <w:highlight w:val="none"/>
                <w:lang w:bidi="ar"/>
              </w:rPr>
              <w:t>次，每次更换量为</w:t>
            </w:r>
            <w:r>
              <w:rPr>
                <w:rFonts w:hint="eastAsia"/>
                <w:color w:val="000000" w:themeColor="text1"/>
                <w:kern w:val="0"/>
                <w:highlight w:val="none"/>
                <w:lang w:bidi="ar"/>
              </w:rPr>
              <w:t>0.27</w:t>
            </w:r>
            <w:r>
              <w:rPr>
                <w:color w:val="000000" w:themeColor="text1"/>
                <w:kern w:val="0"/>
                <w:highlight w:val="none"/>
                <w:lang w:bidi="ar"/>
              </w:rPr>
              <w:t>t，则本项目废活性炭产生量约为</w:t>
            </w:r>
            <w:r>
              <w:rPr>
                <w:rFonts w:hint="eastAsia"/>
                <w:color w:val="000000" w:themeColor="text1"/>
                <w:kern w:val="0"/>
                <w:highlight w:val="none"/>
                <w:lang w:bidi="ar"/>
              </w:rPr>
              <w:t>1.08</w:t>
            </w:r>
            <w:r>
              <w:rPr>
                <w:color w:val="000000" w:themeColor="text1"/>
                <w:kern w:val="0"/>
                <w:highlight w:val="none"/>
                <w:lang w:bidi="ar"/>
              </w:rPr>
              <w:t>t/a。</w:t>
            </w:r>
          </w:p>
          <w:p>
            <w:pPr>
              <w:widowControl/>
              <w:ind w:firstLine="480"/>
              <w:rPr>
                <w:color w:val="000000" w:themeColor="text1"/>
                <w:highlight w:val="none"/>
              </w:rPr>
            </w:pPr>
            <w:r>
              <w:rPr>
                <w:color w:val="000000" w:themeColor="text1"/>
                <w:kern w:val="0"/>
                <w:highlight w:val="none"/>
                <w:lang w:bidi="ar"/>
              </w:rPr>
              <w:t>根据《国家危险废物名录（2021年版）》，废活性炭属于HW49其他废物类危险废物（废物代码：900-039-49），废活性炭暂存于危废贮存间，定期委托有资质单位处理。</w:t>
            </w:r>
          </w:p>
          <w:p>
            <w:pPr>
              <w:widowControl/>
              <w:ind w:firstLine="480"/>
              <w:rPr>
                <w:color w:val="000000" w:themeColor="text1"/>
                <w:highlight w:val="none"/>
              </w:rPr>
            </w:pPr>
            <w:r>
              <w:rPr>
                <w:color w:val="000000" w:themeColor="text1"/>
                <w:kern w:val="0"/>
                <w:highlight w:val="none"/>
                <w:lang w:bidi="ar"/>
              </w:rPr>
              <w:t>（</w:t>
            </w:r>
            <w:r>
              <w:rPr>
                <w:rFonts w:hint="eastAsia"/>
                <w:color w:val="000000" w:themeColor="text1"/>
                <w:kern w:val="0"/>
                <w:highlight w:val="none"/>
                <w:lang w:bidi="ar"/>
              </w:rPr>
              <w:t>6</w:t>
            </w:r>
            <w:r>
              <w:rPr>
                <w:color w:val="000000" w:themeColor="text1"/>
                <w:kern w:val="0"/>
                <w:highlight w:val="none"/>
                <w:lang w:bidi="ar"/>
              </w:rPr>
              <w:t>）废润滑油和废油桶：项目生产机械设备要进行定期维护保养及维修，该过程会产生一定量的废润滑油和废油桶，废润滑油产生量约为0.5t/a，废油桶产生量约为0.5t/a。</w:t>
            </w:r>
          </w:p>
          <w:p>
            <w:pPr>
              <w:widowControl/>
              <w:ind w:firstLine="480"/>
              <w:rPr>
                <w:color w:val="000000" w:themeColor="text1"/>
                <w:kern w:val="0"/>
                <w:highlight w:val="none"/>
                <w:lang w:bidi="ar"/>
              </w:rPr>
            </w:pPr>
            <w:r>
              <w:rPr>
                <w:color w:val="000000" w:themeColor="text1"/>
                <w:kern w:val="0"/>
                <w:highlight w:val="none"/>
                <w:lang w:bidi="ar"/>
              </w:rPr>
              <w:t>根据《国家危险废物名录（2021年版）》，机械维修过程产生的废润滑油属于HW08</w:t>
            </w:r>
            <w:r>
              <w:rPr>
                <w:rFonts w:hint="eastAsia"/>
                <w:color w:val="000000" w:themeColor="text1"/>
                <w:kern w:val="0"/>
                <w:highlight w:val="none"/>
                <w:lang w:bidi="ar"/>
              </w:rPr>
              <w:t>废润滑油与</w:t>
            </w:r>
            <w:r>
              <w:rPr>
                <w:color w:val="000000" w:themeColor="text1"/>
                <w:kern w:val="0"/>
                <w:highlight w:val="none"/>
                <w:lang w:bidi="ar"/>
              </w:rPr>
              <w:t>含矿物油废物类危险废物（废物代码：900-2</w:t>
            </w:r>
            <w:r>
              <w:rPr>
                <w:rFonts w:hint="eastAsia"/>
                <w:color w:val="000000" w:themeColor="text1"/>
                <w:kern w:val="0"/>
                <w:highlight w:val="none"/>
                <w:lang w:bidi="ar"/>
              </w:rPr>
              <w:t>17</w:t>
            </w:r>
            <w:r>
              <w:rPr>
                <w:color w:val="000000" w:themeColor="text1"/>
                <w:kern w:val="0"/>
                <w:highlight w:val="none"/>
                <w:lang w:bidi="ar"/>
              </w:rPr>
              <w:t>-08），废油桶属于HW08</w:t>
            </w:r>
            <w:r>
              <w:rPr>
                <w:rFonts w:hint="eastAsia"/>
                <w:color w:val="000000" w:themeColor="text1"/>
                <w:kern w:val="0"/>
                <w:highlight w:val="none"/>
                <w:lang w:bidi="ar"/>
              </w:rPr>
              <w:t>废润滑油与</w:t>
            </w:r>
            <w:r>
              <w:rPr>
                <w:color w:val="000000" w:themeColor="text1"/>
                <w:kern w:val="0"/>
                <w:highlight w:val="none"/>
                <w:lang w:bidi="ar"/>
              </w:rPr>
              <w:t>含矿物油废物类危险废物（废物代码：</w:t>
            </w:r>
            <w:r>
              <w:rPr>
                <w:color w:val="000000" w:themeColor="text1"/>
                <w:highlight w:val="none"/>
              </w:rPr>
              <w:t>900-249-08</w:t>
            </w:r>
            <w:r>
              <w:rPr>
                <w:color w:val="000000" w:themeColor="text1"/>
                <w:kern w:val="0"/>
                <w:highlight w:val="none"/>
                <w:lang w:bidi="ar"/>
              </w:rPr>
              <w:t>），废润滑油</w:t>
            </w:r>
            <w:r>
              <w:rPr>
                <w:rFonts w:hint="eastAsia"/>
                <w:color w:val="000000" w:themeColor="text1"/>
                <w:kern w:val="0"/>
                <w:highlight w:val="none"/>
                <w:lang w:bidi="ar"/>
              </w:rPr>
              <w:t>和废油桶</w:t>
            </w:r>
            <w:r>
              <w:rPr>
                <w:color w:val="000000" w:themeColor="text1"/>
                <w:kern w:val="0"/>
                <w:highlight w:val="none"/>
                <w:lang w:bidi="ar"/>
              </w:rPr>
              <w:t xml:space="preserve">暂存于危废贮存间，委托有资质单位处理。 </w:t>
            </w:r>
          </w:p>
          <w:p>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eastAsia"/>
                <w:color w:val="000000" w:themeColor="text1"/>
                <w:highlight w:val="none"/>
                <w:lang w:val="en-US" w:eastAsia="zh-CN"/>
              </w:rPr>
            </w:pPr>
            <w:r>
              <w:rPr>
                <w:rFonts w:hint="eastAsia"/>
                <w:color w:val="000000" w:themeColor="text1"/>
                <w:highlight w:val="none"/>
                <w:lang w:val="en-US" w:eastAsia="zh-CN"/>
              </w:rPr>
              <w:t>（7）涉及沥青废气治理的废布袋：布袋除尘器处理沥青废气后会产生废布袋，废布袋的产生量为0.05t/a。</w:t>
            </w:r>
          </w:p>
          <w:p>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eastAsia" w:eastAsia="宋体"/>
                <w:color w:val="000000" w:themeColor="text1"/>
                <w:highlight w:val="none"/>
                <w:lang w:val="en-US" w:eastAsia="zh-CN"/>
              </w:rPr>
            </w:pPr>
            <w:r>
              <w:rPr>
                <w:rFonts w:hint="eastAsia"/>
                <w:color w:val="000000" w:themeColor="text1"/>
                <w:highlight w:val="none"/>
                <w:lang w:val="en-US" w:eastAsia="zh-CN"/>
              </w:rPr>
              <w:t>根据</w:t>
            </w:r>
            <w:r>
              <w:rPr>
                <w:color w:val="000000" w:themeColor="text1"/>
                <w:kern w:val="0"/>
                <w:highlight w:val="none"/>
                <w:lang w:bidi="ar"/>
              </w:rPr>
              <w:t>《国家危险废物名录（2021年版）》</w:t>
            </w:r>
            <w:r>
              <w:rPr>
                <w:rFonts w:hint="eastAsia"/>
                <w:color w:val="000000" w:themeColor="text1"/>
                <w:highlight w:val="none"/>
                <w:lang w:val="en-US" w:eastAsia="zh-CN"/>
              </w:rPr>
              <w:t>布袋除尘器处理沥青废气后产生的废布袋属于“含有或沾染毒性、感染性危险废物的废弃包装物、容器、过滤吸附介质”，属于HW49非特定行业其他废物（废物代码：900-041-49），涉及沥青废气治理的废布袋</w:t>
            </w:r>
            <w:r>
              <w:rPr>
                <w:color w:val="000000" w:themeColor="text1"/>
                <w:kern w:val="0"/>
                <w:highlight w:val="none"/>
                <w:lang w:bidi="ar"/>
              </w:rPr>
              <w:t>暂存于危废贮存间，委托有资质单位处理</w:t>
            </w:r>
            <w:r>
              <w:rPr>
                <w:rFonts w:hint="eastAsia"/>
                <w:color w:val="000000" w:themeColor="text1"/>
                <w:kern w:val="0"/>
                <w:highlight w:val="none"/>
                <w:lang w:eastAsia="zh-CN" w:bidi="ar"/>
              </w:rPr>
              <w:t>。</w:t>
            </w:r>
          </w:p>
          <w:p>
            <w:pPr>
              <w:ind w:firstLine="480"/>
              <w:rPr>
                <w:color w:val="000000" w:themeColor="text1"/>
                <w:highlight w:val="none"/>
              </w:rPr>
            </w:pPr>
            <w:r>
              <w:rPr>
                <w:color w:val="000000" w:themeColor="text1"/>
                <w:highlight w:val="none"/>
              </w:rPr>
              <w:t>项目运营期固体废物产生情况详见下表：</w:t>
            </w:r>
          </w:p>
          <w:p>
            <w:pPr>
              <w:numPr>
                <w:ilvl w:val="0"/>
                <w:numId w:val="6"/>
              </w:numPr>
              <w:autoSpaceDE w:val="0"/>
              <w:autoSpaceDN w:val="0"/>
              <w:ind w:firstLineChars="0"/>
              <w:jc w:val="center"/>
              <w:rPr>
                <w:b/>
                <w:bCs/>
                <w:color w:val="000000" w:themeColor="text1"/>
                <w:sz w:val="21"/>
                <w:szCs w:val="21"/>
                <w:highlight w:val="none"/>
              </w:rPr>
            </w:pPr>
            <w:r>
              <w:rPr>
                <w:b/>
                <w:bCs/>
                <w:color w:val="000000" w:themeColor="text1"/>
                <w:sz w:val="21"/>
                <w:szCs w:val="21"/>
                <w:highlight w:val="none"/>
              </w:rPr>
              <w:t>固体废物产生情况一览表</w:t>
            </w:r>
            <w:r>
              <w:rPr>
                <w:rFonts w:hint="eastAsia"/>
                <w:b/>
                <w:bCs/>
                <w:color w:val="000000" w:themeColor="text1"/>
                <w:sz w:val="21"/>
                <w:szCs w:val="21"/>
                <w:highlight w:val="none"/>
              </w:rPr>
              <w:t xml:space="preserve">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73"/>
              <w:gridCol w:w="810"/>
              <w:gridCol w:w="735"/>
              <w:gridCol w:w="750"/>
              <w:gridCol w:w="795"/>
              <w:gridCol w:w="885"/>
              <w:gridCol w:w="765"/>
              <w:gridCol w:w="64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序号</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废物名称</w:t>
                  </w:r>
                </w:p>
              </w:tc>
              <w:tc>
                <w:tcPr>
                  <w:tcW w:w="48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属性</w:t>
                  </w:r>
                </w:p>
              </w:tc>
              <w:tc>
                <w:tcPr>
                  <w:tcW w:w="43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类别</w:t>
                  </w:r>
                </w:p>
              </w:tc>
              <w:tc>
                <w:tcPr>
                  <w:tcW w:w="44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代码</w:t>
                  </w:r>
                </w:p>
              </w:tc>
              <w:tc>
                <w:tcPr>
                  <w:tcW w:w="47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产生量（t/a）</w:t>
                  </w:r>
                </w:p>
              </w:tc>
              <w:tc>
                <w:tcPr>
                  <w:tcW w:w="52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产生工序及装置</w:t>
                  </w:r>
                </w:p>
              </w:tc>
              <w:tc>
                <w:tcPr>
                  <w:tcW w:w="45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形态</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产废周期</w:t>
                  </w:r>
                </w:p>
              </w:tc>
              <w:tc>
                <w:tcPr>
                  <w:tcW w:w="1013"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
                      <w:color w:val="000000" w:themeColor="text1"/>
                      <w:sz w:val="21"/>
                      <w:szCs w:val="21"/>
                      <w:highlight w:val="none"/>
                      <w:lang w:bidi="ar"/>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rFonts w:hint="eastAsia"/>
                      <w:bCs/>
                      <w:color w:val="000000" w:themeColor="text1"/>
                      <w:sz w:val="21"/>
                      <w:szCs w:val="21"/>
                      <w:highlight w:val="none"/>
                      <w:lang w:bidi="ar"/>
                    </w:rPr>
                    <w:t>1</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lang w:bidi="ar"/>
                    </w:rPr>
                    <w:t>生活垃圾</w:t>
                  </w:r>
                </w:p>
              </w:tc>
              <w:tc>
                <w:tcPr>
                  <w:tcW w:w="48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lang w:bidi="ar"/>
                    </w:rPr>
                    <w:t>生活垃圾</w:t>
                  </w:r>
                </w:p>
              </w:tc>
              <w:tc>
                <w:tcPr>
                  <w:tcW w:w="43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lang w:bidi="ar"/>
                    </w:rPr>
                    <w:t>/</w:t>
                  </w:r>
                </w:p>
              </w:tc>
              <w:tc>
                <w:tcPr>
                  <w:tcW w:w="44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lang w:bidi="ar"/>
                    </w:rPr>
                    <w:t>/</w:t>
                  </w:r>
                </w:p>
              </w:tc>
              <w:tc>
                <w:tcPr>
                  <w:tcW w:w="47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rPr>
                    <w:t>0.54</w:t>
                  </w:r>
                </w:p>
              </w:tc>
              <w:tc>
                <w:tcPr>
                  <w:tcW w:w="52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lang w:bidi="ar"/>
                    </w:rPr>
                    <w:t>职工生活</w:t>
                  </w:r>
                </w:p>
              </w:tc>
              <w:tc>
                <w:tcPr>
                  <w:tcW w:w="457" w:type="pct"/>
                  <w:tcBorders>
                    <w:top w:val="single" w:color="auto" w:sz="4" w:space="0"/>
                    <w:left w:val="nil"/>
                    <w:bottom w:val="single" w:color="auto" w:sz="4" w:space="0"/>
                    <w:right w:val="single" w:color="auto" w:sz="4" w:space="0"/>
                  </w:tcBorders>
                  <w:shd w:val="clear" w:color="auto" w:fill="auto"/>
                  <w:noWrap/>
                  <w:vAlign w:val="center"/>
                </w:tcPr>
                <w:p>
                  <w:pPr>
                    <w:autoSpaceDE w:val="0"/>
                    <w:spacing w:line="240" w:lineRule="auto"/>
                    <w:ind w:firstLine="0" w:firstLineChars="0"/>
                    <w:jc w:val="center"/>
                    <w:rPr>
                      <w:bCs/>
                      <w:color w:val="000000" w:themeColor="text1"/>
                      <w:sz w:val="21"/>
                      <w:szCs w:val="21"/>
                      <w:highlight w:val="none"/>
                    </w:rPr>
                  </w:pPr>
                  <w:r>
                    <w:rPr>
                      <w:bCs/>
                      <w:color w:val="000000" w:themeColor="text1"/>
                      <w:sz w:val="21"/>
                      <w:szCs w:val="21"/>
                      <w:highlight w:val="none"/>
                      <w:lang w:bidi="ar"/>
                    </w:rPr>
                    <w:t>固态</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rFonts w:hint="eastAsia"/>
                      <w:bCs/>
                      <w:color w:val="000000" w:themeColor="text1"/>
                      <w:sz w:val="21"/>
                      <w:szCs w:val="21"/>
                      <w:highlight w:val="none"/>
                      <w:lang w:bidi="ar"/>
                    </w:rPr>
                    <w:t>1天</w:t>
                  </w:r>
                </w:p>
              </w:tc>
              <w:tc>
                <w:tcPr>
                  <w:tcW w:w="1013"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lang w:bidi="ar"/>
                    </w:rPr>
                    <w:t>收集后由环卫部门处理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46" w:type="pct"/>
                  <w:tcBorders>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2</w:t>
                  </w:r>
                </w:p>
              </w:tc>
              <w:tc>
                <w:tcPr>
                  <w:tcW w:w="521" w:type="pct"/>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除尘灰</w:t>
                  </w:r>
                </w:p>
              </w:tc>
              <w:tc>
                <w:tcPr>
                  <w:tcW w:w="484" w:type="pct"/>
                  <w:vMerge w:val="restart"/>
                  <w:tcBorders>
                    <w:left w:val="nil"/>
                    <w:right w:val="single" w:color="auto" w:sz="4" w:space="0"/>
                  </w:tcBorders>
                  <w:shd w:val="clear" w:color="auto" w:fill="auto"/>
                  <w:noWrap/>
                  <w:vAlign w:val="center"/>
                </w:tcPr>
                <w:p>
                  <w:pPr>
                    <w:spacing w:line="240" w:lineRule="auto"/>
                    <w:ind w:firstLine="0" w:firstLineChars="0"/>
                    <w:rPr>
                      <w:color w:val="000000" w:themeColor="text1"/>
                      <w:sz w:val="21"/>
                      <w:szCs w:val="21"/>
                      <w:highlight w:val="none"/>
                    </w:rPr>
                  </w:pPr>
                  <w:r>
                    <w:rPr>
                      <w:bCs/>
                      <w:color w:val="000000" w:themeColor="text1"/>
                      <w:sz w:val="21"/>
                      <w:szCs w:val="21"/>
                      <w:highlight w:val="none"/>
                      <w:lang w:bidi="ar"/>
                    </w:rPr>
                    <w:t>一般工业固体废物</w:t>
                  </w:r>
                </w:p>
              </w:tc>
              <w:tc>
                <w:tcPr>
                  <w:tcW w:w="43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bCs/>
                      <w:color w:val="000000" w:themeColor="text1"/>
                      <w:kern w:val="0"/>
                      <w:sz w:val="21"/>
                      <w:szCs w:val="21"/>
                      <w:highlight w:val="none"/>
                      <w:lang w:bidi="ar"/>
                    </w:rPr>
                    <w:t>工业粉尘</w:t>
                  </w:r>
                </w:p>
              </w:tc>
              <w:tc>
                <w:tcPr>
                  <w:tcW w:w="44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rFonts w:hint="eastAsia"/>
                      <w:bCs/>
                      <w:color w:val="000000" w:themeColor="text1"/>
                      <w:kern w:val="0"/>
                      <w:sz w:val="21"/>
                      <w:szCs w:val="21"/>
                      <w:highlight w:val="none"/>
                      <w:lang w:bidi="ar"/>
                    </w:rPr>
                    <w:t>309</w:t>
                  </w:r>
                  <w:r>
                    <w:rPr>
                      <w:bCs/>
                      <w:color w:val="000000" w:themeColor="text1"/>
                      <w:kern w:val="0"/>
                      <w:sz w:val="21"/>
                      <w:szCs w:val="21"/>
                      <w:highlight w:val="none"/>
                      <w:lang w:bidi="ar"/>
                    </w:rPr>
                    <w:t>-</w:t>
                  </w:r>
                  <w:r>
                    <w:rPr>
                      <w:rFonts w:hint="eastAsia"/>
                      <w:bCs/>
                      <w:color w:val="000000" w:themeColor="text1"/>
                      <w:kern w:val="0"/>
                      <w:sz w:val="21"/>
                      <w:szCs w:val="21"/>
                      <w:highlight w:val="none"/>
                      <w:lang w:bidi="ar"/>
                    </w:rPr>
                    <w:t>002</w:t>
                  </w:r>
                  <w:r>
                    <w:rPr>
                      <w:bCs/>
                      <w:color w:val="000000" w:themeColor="text1"/>
                      <w:kern w:val="0"/>
                      <w:sz w:val="21"/>
                      <w:szCs w:val="21"/>
                      <w:highlight w:val="none"/>
                      <w:lang w:bidi="ar"/>
                    </w:rPr>
                    <w:t>-66</w:t>
                  </w:r>
                </w:p>
              </w:tc>
              <w:tc>
                <w:tcPr>
                  <w:tcW w:w="47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43.38</w:t>
                  </w:r>
                </w:p>
              </w:tc>
              <w:tc>
                <w:tcPr>
                  <w:tcW w:w="528" w:type="pct"/>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color w:val="000000" w:themeColor="text1"/>
                      <w:sz w:val="21"/>
                      <w:szCs w:val="21"/>
                      <w:highlight w:val="none"/>
                    </w:rPr>
                    <w:t>除尘器</w:t>
                  </w:r>
                </w:p>
              </w:tc>
              <w:tc>
                <w:tcPr>
                  <w:tcW w:w="457" w:type="pct"/>
                  <w:tcBorders>
                    <w:left w:val="nil"/>
                    <w:bottom w:val="single" w:color="auto" w:sz="4" w:space="0"/>
                    <w:right w:val="single" w:color="auto" w:sz="4" w:space="0"/>
                  </w:tcBorders>
                  <w:shd w:val="clear" w:color="auto" w:fill="auto"/>
                  <w:noWrap/>
                  <w:vAlign w:val="center"/>
                </w:tcPr>
                <w:p>
                  <w:pPr>
                    <w:autoSpaceDE w:val="0"/>
                    <w:spacing w:line="240" w:lineRule="auto"/>
                    <w:ind w:firstLine="0" w:firstLineChars="0"/>
                    <w:jc w:val="center"/>
                    <w:rPr>
                      <w:color w:val="000000" w:themeColor="text1"/>
                      <w:sz w:val="21"/>
                      <w:szCs w:val="21"/>
                      <w:highlight w:val="none"/>
                      <w:lang w:bidi="ar"/>
                    </w:rPr>
                  </w:pPr>
                  <w:r>
                    <w:rPr>
                      <w:color w:val="000000" w:themeColor="text1"/>
                      <w:sz w:val="21"/>
                      <w:szCs w:val="21"/>
                      <w:highlight w:val="none"/>
                      <w:lang w:bidi="ar"/>
                    </w:rPr>
                    <w:t>固态</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rPr>
                  </w:pPr>
                  <w:r>
                    <w:rPr>
                      <w:bCs/>
                      <w:color w:val="000000" w:themeColor="text1"/>
                      <w:sz w:val="21"/>
                      <w:szCs w:val="21"/>
                      <w:highlight w:val="none"/>
                    </w:rPr>
                    <w:t>1年</w:t>
                  </w:r>
                </w:p>
              </w:tc>
              <w:tc>
                <w:tcPr>
                  <w:tcW w:w="1013"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rFonts w:hint="eastAsia"/>
                      <w:color w:val="000000" w:themeColor="text1"/>
                      <w:sz w:val="21"/>
                      <w:szCs w:val="21"/>
                      <w:highlight w:val="none"/>
                    </w:rPr>
                    <w:t>作为原料回用于生产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3</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rFonts w:hint="eastAsia"/>
                      <w:color w:val="000000" w:themeColor="text1"/>
                      <w:sz w:val="21"/>
                      <w:szCs w:val="21"/>
                      <w:highlight w:val="none"/>
                      <w:lang w:val="en-US" w:eastAsia="zh-CN"/>
                    </w:rPr>
                    <w:t>骨料</w:t>
                  </w:r>
                  <w:r>
                    <w:rPr>
                      <w:color w:val="000000" w:themeColor="text1"/>
                      <w:sz w:val="21"/>
                      <w:szCs w:val="21"/>
                      <w:highlight w:val="none"/>
                    </w:rPr>
                    <w:t>筛分废料</w:t>
                  </w:r>
                </w:p>
              </w:tc>
              <w:tc>
                <w:tcPr>
                  <w:tcW w:w="484" w:type="pct"/>
                  <w:vMerge w:val="continue"/>
                  <w:tcBorders>
                    <w:left w:val="nil"/>
                    <w:right w:val="single" w:color="auto" w:sz="4" w:space="0"/>
                  </w:tcBorders>
                  <w:shd w:val="clear" w:color="auto" w:fill="auto"/>
                  <w:noWrap/>
                  <w:vAlign w:val="center"/>
                </w:tcPr>
                <w:p>
                  <w:pPr>
                    <w:spacing w:line="240" w:lineRule="auto"/>
                    <w:ind w:firstLine="0" w:firstLineChars="0"/>
                    <w:rPr>
                      <w:color w:val="000000" w:themeColor="text1"/>
                      <w:sz w:val="21"/>
                      <w:szCs w:val="21"/>
                      <w:highlight w:val="none"/>
                    </w:rPr>
                  </w:pPr>
                </w:p>
              </w:tc>
              <w:tc>
                <w:tcPr>
                  <w:tcW w:w="43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bCs/>
                      <w:color w:val="000000" w:themeColor="text1"/>
                      <w:sz w:val="21"/>
                      <w:szCs w:val="21"/>
                      <w:highlight w:val="none"/>
                      <w:lang w:bidi="ar"/>
                    </w:rPr>
                    <w:t>其他废物</w:t>
                  </w:r>
                </w:p>
              </w:tc>
              <w:tc>
                <w:tcPr>
                  <w:tcW w:w="44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rFonts w:hint="eastAsia"/>
                      <w:bCs/>
                      <w:color w:val="000000" w:themeColor="text1"/>
                      <w:kern w:val="0"/>
                      <w:sz w:val="21"/>
                      <w:szCs w:val="21"/>
                      <w:highlight w:val="none"/>
                      <w:lang w:bidi="ar"/>
                    </w:rPr>
                    <w:t>309</w:t>
                  </w:r>
                  <w:r>
                    <w:rPr>
                      <w:bCs/>
                      <w:color w:val="000000" w:themeColor="text1"/>
                      <w:kern w:val="0"/>
                      <w:sz w:val="21"/>
                      <w:szCs w:val="21"/>
                      <w:highlight w:val="none"/>
                      <w:lang w:bidi="ar"/>
                    </w:rPr>
                    <w:t>-</w:t>
                  </w:r>
                  <w:r>
                    <w:rPr>
                      <w:rFonts w:hint="eastAsia"/>
                      <w:bCs/>
                      <w:color w:val="000000" w:themeColor="text1"/>
                      <w:kern w:val="0"/>
                      <w:sz w:val="21"/>
                      <w:szCs w:val="21"/>
                      <w:highlight w:val="none"/>
                      <w:lang w:bidi="ar"/>
                    </w:rPr>
                    <w:t>002</w:t>
                  </w:r>
                  <w:r>
                    <w:rPr>
                      <w:bCs/>
                      <w:color w:val="000000" w:themeColor="text1"/>
                      <w:kern w:val="0"/>
                      <w:sz w:val="21"/>
                      <w:szCs w:val="21"/>
                      <w:highlight w:val="none"/>
                      <w:lang w:bidi="ar"/>
                    </w:rPr>
                    <w:t>-99</w:t>
                  </w:r>
                </w:p>
              </w:tc>
              <w:tc>
                <w:tcPr>
                  <w:tcW w:w="47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rFonts w:hint="eastAsia"/>
                      <w:bCs/>
                      <w:color w:val="000000" w:themeColor="text1"/>
                      <w:sz w:val="21"/>
                      <w:szCs w:val="21"/>
                      <w:highlight w:val="none"/>
                      <w:lang w:bidi="ar"/>
                    </w:rPr>
                    <w:t>5.8</w:t>
                  </w:r>
                </w:p>
              </w:tc>
              <w:tc>
                <w:tcPr>
                  <w:tcW w:w="52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rFonts w:hint="eastAsia"/>
                      <w:color w:val="000000" w:themeColor="text1"/>
                      <w:sz w:val="21"/>
                      <w:szCs w:val="21"/>
                      <w:highlight w:val="none"/>
                      <w:lang w:val="en-US" w:eastAsia="zh-CN"/>
                    </w:rPr>
                    <w:t>骨料</w:t>
                  </w:r>
                  <w:r>
                    <w:rPr>
                      <w:color w:val="000000" w:themeColor="text1"/>
                      <w:sz w:val="21"/>
                      <w:szCs w:val="21"/>
                      <w:highlight w:val="none"/>
                    </w:rPr>
                    <w:t>筛分</w:t>
                  </w:r>
                </w:p>
              </w:tc>
              <w:tc>
                <w:tcPr>
                  <w:tcW w:w="457" w:type="pct"/>
                  <w:tcBorders>
                    <w:top w:val="single" w:color="auto" w:sz="4" w:space="0"/>
                    <w:left w:val="nil"/>
                    <w:bottom w:val="single" w:color="auto" w:sz="4" w:space="0"/>
                    <w:right w:val="single" w:color="auto" w:sz="4" w:space="0"/>
                  </w:tcBorders>
                  <w:shd w:val="clear" w:color="auto" w:fill="auto"/>
                  <w:noWrap/>
                  <w:vAlign w:val="center"/>
                </w:tcPr>
                <w:p>
                  <w:pPr>
                    <w:autoSpaceDE w:val="0"/>
                    <w:spacing w:line="240" w:lineRule="auto"/>
                    <w:ind w:firstLine="0" w:firstLineChars="0"/>
                    <w:jc w:val="center"/>
                    <w:rPr>
                      <w:color w:val="000000" w:themeColor="text1"/>
                      <w:sz w:val="21"/>
                      <w:szCs w:val="21"/>
                      <w:highlight w:val="none"/>
                      <w:lang w:bidi="ar"/>
                    </w:rPr>
                  </w:pPr>
                  <w:r>
                    <w:rPr>
                      <w:color w:val="000000" w:themeColor="text1"/>
                      <w:sz w:val="21"/>
                      <w:szCs w:val="21"/>
                      <w:highlight w:val="none"/>
                      <w:lang w:bidi="ar"/>
                    </w:rPr>
                    <w:t>固态</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bCs/>
                      <w:color w:val="000000" w:themeColor="text1"/>
                      <w:sz w:val="21"/>
                      <w:szCs w:val="21"/>
                      <w:highlight w:val="none"/>
                    </w:rPr>
                    <w:t>1年</w:t>
                  </w:r>
                </w:p>
              </w:tc>
              <w:tc>
                <w:tcPr>
                  <w:tcW w:w="1013"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bCs/>
                      <w:color w:val="000000" w:themeColor="text1"/>
                      <w:sz w:val="21"/>
                      <w:szCs w:val="21"/>
                      <w:highlight w:val="none"/>
                      <w:lang w:bidi="ar"/>
                    </w:rPr>
                  </w:pPr>
                  <w:r>
                    <w:rPr>
                      <w:rFonts w:hint="eastAsia" w:ascii="宋体" w:hAnsi="宋体" w:cs="宋体"/>
                      <w:color w:val="000000" w:themeColor="text1"/>
                      <w:kern w:val="0"/>
                      <w:sz w:val="21"/>
                      <w:szCs w:val="21"/>
                      <w:highlight w:val="none"/>
                      <w:lang w:bidi="ar"/>
                    </w:rPr>
                    <w:t>由</w:t>
                  </w:r>
                  <w:r>
                    <w:rPr>
                      <w:rFonts w:hint="eastAsia"/>
                      <w:sz w:val="21"/>
                      <w:szCs w:val="21"/>
                      <w:highlight w:val="none"/>
                      <w:lang w:val="en-US" w:eastAsia="zh-CN"/>
                    </w:rPr>
                    <w:t>三河市徐达路桥建设有限公司前苇塘水稳站项目作为原料用于生产</w:t>
                  </w:r>
                </w:p>
              </w:tc>
            </w:tr>
          </w:tbl>
          <w:p>
            <w:pPr>
              <w:keepNext w:val="0"/>
              <w:keepLines w:val="0"/>
              <w:pageBreakBefore w:val="0"/>
              <w:widowControl w:val="0"/>
              <w:numPr>
                <w:ilvl w:val="0"/>
                <w:numId w:val="6"/>
              </w:numPr>
              <w:kinsoku/>
              <w:wordWrap/>
              <w:overflowPunct/>
              <w:topLinePunct w:val="0"/>
              <w:autoSpaceDE w:val="0"/>
              <w:autoSpaceDN w:val="0"/>
              <w:bidi w:val="0"/>
              <w:adjustRightInd w:val="0"/>
              <w:snapToGrid w:val="0"/>
              <w:spacing w:before="313" w:beforeLines="100"/>
              <w:ind w:left="420" w:hanging="420" w:firstLineChars="0"/>
              <w:jc w:val="center"/>
              <w:textAlignment w:val="auto"/>
              <w:rPr>
                <w:b/>
                <w:bCs/>
                <w:color w:val="000000" w:themeColor="text1"/>
                <w:sz w:val="21"/>
                <w:szCs w:val="21"/>
                <w:highlight w:val="none"/>
              </w:rPr>
            </w:pPr>
            <w:r>
              <w:rPr>
                <w:rFonts w:hint="eastAsia"/>
                <w:b/>
                <w:bCs/>
                <w:color w:val="000000" w:themeColor="text1"/>
                <w:sz w:val="21"/>
                <w:szCs w:val="21"/>
                <w:highlight w:val="none"/>
              </w:rPr>
              <w:t>危险废物汇</w:t>
            </w:r>
            <w:r>
              <w:rPr>
                <w:b/>
                <w:bCs/>
                <w:color w:val="000000" w:themeColor="text1"/>
                <w:sz w:val="21"/>
                <w:szCs w:val="21"/>
                <w:highlight w:val="none"/>
              </w:rPr>
              <w:t>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
              <w:gridCol w:w="691"/>
              <w:gridCol w:w="1228"/>
              <w:gridCol w:w="885"/>
              <w:gridCol w:w="721"/>
              <w:gridCol w:w="1006"/>
              <w:gridCol w:w="390"/>
              <w:gridCol w:w="524"/>
              <w:gridCol w:w="691"/>
              <w:gridCol w:w="479"/>
              <w:gridCol w:w="433"/>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 w:type="pct"/>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序号</w:t>
                  </w:r>
                </w:p>
              </w:tc>
              <w:tc>
                <w:tcPr>
                  <w:tcW w:w="412" w:type="pct"/>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危险废物名称</w:t>
                  </w:r>
                </w:p>
              </w:tc>
              <w:tc>
                <w:tcPr>
                  <w:tcW w:w="733" w:type="pct"/>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危险废物类别</w:t>
                  </w:r>
                </w:p>
              </w:tc>
              <w:tc>
                <w:tcPr>
                  <w:tcW w:w="528" w:type="pct"/>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危险废物代码</w:t>
                  </w:r>
                </w:p>
              </w:tc>
              <w:tc>
                <w:tcPr>
                  <w:tcW w:w="430" w:type="pct"/>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产生量（t/a）</w:t>
                  </w:r>
                </w:p>
              </w:tc>
              <w:tc>
                <w:tcPr>
                  <w:tcW w:w="601" w:type="pct"/>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产生工序及装置</w:t>
                  </w:r>
                </w:p>
              </w:tc>
              <w:tc>
                <w:tcPr>
                  <w:tcW w:w="233" w:type="pct"/>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形态</w:t>
                  </w:r>
                </w:p>
              </w:tc>
              <w:tc>
                <w:tcPr>
                  <w:tcW w:w="313" w:type="pct"/>
                  <w:noWrap/>
                  <w:vAlign w:val="center"/>
                </w:tcPr>
                <w:p>
                  <w:pPr>
                    <w:spacing w:line="240" w:lineRule="auto"/>
                    <w:ind w:firstLine="0" w:firstLineChars="0"/>
                    <w:jc w:val="center"/>
                    <w:rPr>
                      <w:b/>
                      <w:color w:val="000000" w:themeColor="text1"/>
                      <w:spacing w:val="-11"/>
                      <w:sz w:val="21"/>
                      <w:szCs w:val="21"/>
                      <w:highlight w:val="none"/>
                    </w:rPr>
                  </w:pPr>
                  <w:r>
                    <w:rPr>
                      <w:b/>
                      <w:color w:val="000000" w:themeColor="text1"/>
                      <w:spacing w:val="-11"/>
                      <w:sz w:val="21"/>
                      <w:szCs w:val="21"/>
                      <w:highlight w:val="none"/>
                    </w:rPr>
                    <w:t>主要成分</w:t>
                  </w:r>
                </w:p>
              </w:tc>
              <w:tc>
                <w:tcPr>
                  <w:tcW w:w="412" w:type="pct"/>
                  <w:noWrap/>
                  <w:vAlign w:val="center"/>
                </w:tcPr>
                <w:p>
                  <w:pPr>
                    <w:spacing w:line="240" w:lineRule="auto"/>
                    <w:ind w:firstLine="0" w:firstLineChars="0"/>
                    <w:jc w:val="center"/>
                    <w:rPr>
                      <w:b/>
                      <w:color w:val="000000" w:themeColor="text1"/>
                      <w:spacing w:val="-11"/>
                      <w:sz w:val="21"/>
                      <w:szCs w:val="21"/>
                      <w:highlight w:val="none"/>
                    </w:rPr>
                  </w:pPr>
                  <w:r>
                    <w:rPr>
                      <w:b/>
                      <w:color w:val="000000" w:themeColor="text1"/>
                      <w:spacing w:val="-11"/>
                      <w:sz w:val="21"/>
                      <w:szCs w:val="21"/>
                      <w:highlight w:val="none"/>
                    </w:rPr>
                    <w:t>有害成分</w:t>
                  </w:r>
                </w:p>
              </w:tc>
              <w:tc>
                <w:tcPr>
                  <w:tcW w:w="286" w:type="pct"/>
                  <w:noWrap/>
                  <w:vAlign w:val="center"/>
                </w:tcPr>
                <w:p>
                  <w:pPr>
                    <w:spacing w:line="240" w:lineRule="auto"/>
                    <w:ind w:firstLine="0" w:firstLineChars="0"/>
                    <w:jc w:val="center"/>
                    <w:rPr>
                      <w:b/>
                      <w:color w:val="000000" w:themeColor="text1"/>
                      <w:spacing w:val="-11"/>
                      <w:sz w:val="21"/>
                      <w:szCs w:val="21"/>
                      <w:highlight w:val="none"/>
                    </w:rPr>
                  </w:pPr>
                  <w:r>
                    <w:rPr>
                      <w:b/>
                      <w:color w:val="000000" w:themeColor="text1"/>
                      <w:spacing w:val="-11"/>
                      <w:sz w:val="21"/>
                      <w:szCs w:val="21"/>
                      <w:highlight w:val="none"/>
                    </w:rPr>
                    <w:t>产废周期</w:t>
                  </w:r>
                </w:p>
              </w:tc>
              <w:tc>
                <w:tcPr>
                  <w:tcW w:w="258" w:type="pct"/>
                  <w:noWrap/>
                  <w:vAlign w:val="center"/>
                </w:tcPr>
                <w:p>
                  <w:pPr>
                    <w:spacing w:line="240" w:lineRule="auto"/>
                    <w:ind w:firstLine="0" w:firstLineChars="0"/>
                    <w:jc w:val="center"/>
                    <w:rPr>
                      <w:b/>
                      <w:color w:val="000000" w:themeColor="text1"/>
                      <w:spacing w:val="-11"/>
                      <w:sz w:val="21"/>
                      <w:szCs w:val="21"/>
                      <w:highlight w:val="none"/>
                    </w:rPr>
                  </w:pPr>
                  <w:r>
                    <w:rPr>
                      <w:b/>
                      <w:color w:val="000000" w:themeColor="text1"/>
                      <w:spacing w:val="-11"/>
                      <w:sz w:val="21"/>
                      <w:szCs w:val="21"/>
                      <w:highlight w:val="none"/>
                    </w:rPr>
                    <w:t>危险特性</w:t>
                  </w:r>
                </w:p>
              </w:tc>
              <w:tc>
                <w:tcPr>
                  <w:tcW w:w="595" w:type="pct"/>
                  <w:noWrap/>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 w:type="pct"/>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w:t>
                  </w:r>
                </w:p>
              </w:tc>
              <w:tc>
                <w:tcPr>
                  <w:tcW w:w="412"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废导热油</w:t>
                  </w:r>
                </w:p>
              </w:tc>
              <w:tc>
                <w:tcPr>
                  <w:tcW w:w="73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HW08</w:t>
                  </w:r>
                  <w:r>
                    <w:rPr>
                      <w:rFonts w:hint="eastAsia"/>
                      <w:color w:val="000000" w:themeColor="text1"/>
                      <w:kern w:val="0"/>
                      <w:sz w:val="21"/>
                      <w:szCs w:val="21"/>
                      <w:highlight w:val="none"/>
                      <w:lang w:bidi="ar"/>
                    </w:rPr>
                    <w:t>废润滑油与</w:t>
                  </w:r>
                  <w:r>
                    <w:rPr>
                      <w:color w:val="000000" w:themeColor="text1"/>
                      <w:kern w:val="0"/>
                      <w:sz w:val="21"/>
                      <w:szCs w:val="21"/>
                      <w:highlight w:val="none"/>
                      <w:lang w:bidi="ar"/>
                    </w:rPr>
                    <w:t>含矿物油废物类危险废物</w:t>
                  </w:r>
                </w:p>
              </w:tc>
              <w:tc>
                <w:tcPr>
                  <w:tcW w:w="528" w:type="pct"/>
                  <w:noWrap/>
                  <w:vAlign w:val="center"/>
                </w:tcPr>
                <w:p>
                  <w:pPr>
                    <w:pStyle w:val="18"/>
                    <w:spacing w:before="0" w:beforeAutospacing="0" w:after="0" w:afterAutospacing="0" w:line="240" w:lineRule="auto"/>
                    <w:ind w:firstLine="0" w:firstLineChars="0"/>
                    <w:jc w:val="center"/>
                    <w:rPr>
                      <w:rFonts w:ascii="Times New Roman" w:hAnsi="Times New Roman"/>
                      <w:color w:val="000000" w:themeColor="text1"/>
                      <w:sz w:val="21"/>
                      <w:szCs w:val="21"/>
                      <w:highlight w:val="none"/>
                    </w:rPr>
                  </w:pPr>
                  <w:r>
                    <w:rPr>
                      <w:rFonts w:ascii="Times New Roman" w:hAnsi="Times New Roman"/>
                      <w:color w:val="000000" w:themeColor="text1"/>
                      <w:sz w:val="21"/>
                      <w:szCs w:val="21"/>
                      <w:highlight w:val="none"/>
                      <w:lang w:bidi="ar"/>
                    </w:rPr>
                    <w:t>900-249-08</w:t>
                  </w:r>
                </w:p>
              </w:tc>
              <w:tc>
                <w:tcPr>
                  <w:tcW w:w="430" w:type="pct"/>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kern w:val="0"/>
                      <w:sz w:val="21"/>
                      <w:szCs w:val="21"/>
                      <w:highlight w:val="none"/>
                      <w:lang w:bidi="ar"/>
                    </w:rPr>
                    <w:t>1</w:t>
                  </w:r>
                  <w:r>
                    <w:rPr>
                      <w:color w:val="000000" w:themeColor="text1"/>
                      <w:kern w:val="0"/>
                      <w:sz w:val="21"/>
                      <w:szCs w:val="21"/>
                      <w:highlight w:val="none"/>
                      <w:lang w:bidi="ar"/>
                    </w:rPr>
                    <w:t>t</w:t>
                  </w:r>
                </w:p>
              </w:tc>
              <w:tc>
                <w:tcPr>
                  <w:tcW w:w="601"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导热油炉</w:t>
                  </w:r>
                </w:p>
              </w:tc>
              <w:tc>
                <w:tcPr>
                  <w:tcW w:w="23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lang w:bidi="ar"/>
                    </w:rPr>
                    <w:t>液态</w:t>
                  </w:r>
                </w:p>
              </w:tc>
              <w:tc>
                <w:tcPr>
                  <w:tcW w:w="31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矿物油</w:t>
                  </w:r>
                </w:p>
              </w:tc>
              <w:tc>
                <w:tcPr>
                  <w:tcW w:w="412"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矿物油</w:t>
                  </w:r>
                </w:p>
              </w:tc>
              <w:tc>
                <w:tcPr>
                  <w:tcW w:w="286" w:type="pct"/>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kern w:val="0"/>
                      <w:sz w:val="21"/>
                      <w:szCs w:val="21"/>
                      <w:highlight w:val="none"/>
                      <w:lang w:bidi="ar"/>
                    </w:rPr>
                    <w:t>2</w:t>
                  </w:r>
                  <w:r>
                    <w:rPr>
                      <w:color w:val="000000" w:themeColor="text1"/>
                      <w:kern w:val="0"/>
                      <w:sz w:val="21"/>
                      <w:szCs w:val="21"/>
                      <w:highlight w:val="none"/>
                      <w:lang w:bidi="ar"/>
                    </w:rPr>
                    <w:t>年</w:t>
                  </w:r>
                </w:p>
              </w:tc>
              <w:tc>
                <w:tcPr>
                  <w:tcW w:w="258"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T，I</w:t>
                  </w:r>
                </w:p>
              </w:tc>
              <w:tc>
                <w:tcPr>
                  <w:tcW w:w="595" w:type="pc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待项目结束后委托有资质单位处置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 w:type="pc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2</w:t>
                  </w:r>
                </w:p>
              </w:tc>
              <w:tc>
                <w:tcPr>
                  <w:tcW w:w="412"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废活性炭</w:t>
                  </w:r>
                </w:p>
              </w:tc>
              <w:tc>
                <w:tcPr>
                  <w:tcW w:w="73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HW49其他废物</w:t>
                  </w:r>
                </w:p>
              </w:tc>
              <w:tc>
                <w:tcPr>
                  <w:tcW w:w="528"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900-039-49</w:t>
                  </w:r>
                </w:p>
              </w:tc>
              <w:tc>
                <w:tcPr>
                  <w:tcW w:w="430" w:type="pct"/>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1.08</w:t>
                  </w:r>
                </w:p>
              </w:tc>
              <w:tc>
                <w:tcPr>
                  <w:tcW w:w="601"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沥青烟处理系统</w:t>
                  </w:r>
                </w:p>
              </w:tc>
              <w:tc>
                <w:tcPr>
                  <w:tcW w:w="23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lang w:bidi="ar"/>
                    </w:rPr>
                    <w:t>固态</w:t>
                  </w:r>
                </w:p>
              </w:tc>
              <w:tc>
                <w:tcPr>
                  <w:tcW w:w="31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活性炭、吸附物质</w:t>
                  </w:r>
                </w:p>
              </w:tc>
              <w:tc>
                <w:tcPr>
                  <w:tcW w:w="412"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沥青烟、苯并[a]芘</w:t>
                  </w:r>
                  <w:r>
                    <w:rPr>
                      <w:rFonts w:hint="eastAsia"/>
                      <w:color w:val="000000" w:themeColor="text1"/>
                      <w:kern w:val="0"/>
                      <w:sz w:val="21"/>
                      <w:szCs w:val="21"/>
                      <w:highlight w:val="none"/>
                      <w:lang w:bidi="ar"/>
                    </w:rPr>
                    <w:t>、非甲烷总烃</w:t>
                  </w:r>
                </w:p>
              </w:tc>
              <w:tc>
                <w:tcPr>
                  <w:tcW w:w="286" w:type="pc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3个月</w:t>
                  </w:r>
                </w:p>
              </w:tc>
              <w:tc>
                <w:tcPr>
                  <w:tcW w:w="258"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T</w:t>
                  </w:r>
                </w:p>
              </w:tc>
              <w:tc>
                <w:tcPr>
                  <w:tcW w:w="595" w:type="pct"/>
                  <w:vMerge w:val="restart"/>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lang w:bidi="ar"/>
                    </w:rPr>
                    <w:t>分类收集，暂存于危废间内，定期委托有资质单位处置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 w:type="pc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3</w:t>
                  </w:r>
                </w:p>
              </w:tc>
              <w:tc>
                <w:tcPr>
                  <w:tcW w:w="412" w:type="pct"/>
                  <w:noWrap/>
                  <w:vAlign w:val="center"/>
                </w:tcPr>
                <w:p>
                  <w:pPr>
                    <w:widowControl/>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废润滑油</w:t>
                  </w:r>
                </w:p>
              </w:tc>
              <w:tc>
                <w:tcPr>
                  <w:tcW w:w="73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HW08</w:t>
                  </w:r>
                  <w:r>
                    <w:rPr>
                      <w:rFonts w:hint="eastAsia"/>
                      <w:color w:val="000000" w:themeColor="text1"/>
                      <w:kern w:val="0"/>
                      <w:sz w:val="21"/>
                      <w:szCs w:val="21"/>
                      <w:highlight w:val="none"/>
                      <w:lang w:bidi="ar"/>
                    </w:rPr>
                    <w:t>废润滑油与</w:t>
                  </w:r>
                  <w:r>
                    <w:rPr>
                      <w:color w:val="000000" w:themeColor="text1"/>
                      <w:kern w:val="0"/>
                      <w:sz w:val="21"/>
                      <w:szCs w:val="21"/>
                      <w:highlight w:val="none"/>
                      <w:lang w:bidi="ar"/>
                    </w:rPr>
                    <w:t>含矿物油废物类危险废物</w:t>
                  </w:r>
                </w:p>
              </w:tc>
              <w:tc>
                <w:tcPr>
                  <w:tcW w:w="528"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900-</w:t>
                  </w:r>
                  <w:r>
                    <w:rPr>
                      <w:rFonts w:hint="eastAsia"/>
                      <w:color w:val="000000" w:themeColor="text1"/>
                      <w:kern w:val="0"/>
                      <w:sz w:val="21"/>
                      <w:szCs w:val="21"/>
                      <w:highlight w:val="none"/>
                      <w:lang w:bidi="ar"/>
                    </w:rPr>
                    <w:t>217</w:t>
                  </w:r>
                  <w:r>
                    <w:rPr>
                      <w:color w:val="000000" w:themeColor="text1"/>
                      <w:kern w:val="0"/>
                      <w:sz w:val="21"/>
                      <w:szCs w:val="21"/>
                      <w:highlight w:val="none"/>
                      <w:lang w:bidi="ar"/>
                    </w:rPr>
                    <w:t>-08</w:t>
                  </w:r>
                </w:p>
              </w:tc>
              <w:tc>
                <w:tcPr>
                  <w:tcW w:w="430" w:type="pct"/>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0.5</w:t>
                  </w:r>
                </w:p>
              </w:tc>
              <w:tc>
                <w:tcPr>
                  <w:tcW w:w="601"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机械维修</w:t>
                  </w:r>
                </w:p>
              </w:tc>
              <w:tc>
                <w:tcPr>
                  <w:tcW w:w="23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lang w:bidi="ar"/>
                    </w:rPr>
                    <w:t>液态</w:t>
                  </w:r>
                </w:p>
              </w:tc>
              <w:tc>
                <w:tcPr>
                  <w:tcW w:w="31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矿物油</w:t>
                  </w:r>
                </w:p>
              </w:tc>
              <w:tc>
                <w:tcPr>
                  <w:tcW w:w="412"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矿物油</w:t>
                  </w:r>
                </w:p>
              </w:tc>
              <w:tc>
                <w:tcPr>
                  <w:tcW w:w="286" w:type="pct"/>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1年</w:t>
                  </w:r>
                </w:p>
              </w:tc>
              <w:tc>
                <w:tcPr>
                  <w:tcW w:w="258"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T，I</w:t>
                  </w:r>
                </w:p>
              </w:tc>
              <w:tc>
                <w:tcPr>
                  <w:tcW w:w="595" w:type="pct"/>
                  <w:vMerge w:val="continue"/>
                  <w:noWrap/>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 w:type="pc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4</w:t>
                  </w:r>
                </w:p>
              </w:tc>
              <w:tc>
                <w:tcPr>
                  <w:tcW w:w="412" w:type="pct"/>
                  <w:noWrap/>
                  <w:vAlign w:val="center"/>
                </w:tcPr>
                <w:p>
                  <w:pPr>
                    <w:widowControl/>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废油桶</w:t>
                  </w:r>
                </w:p>
              </w:tc>
              <w:tc>
                <w:tcPr>
                  <w:tcW w:w="73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HW08</w:t>
                  </w:r>
                  <w:r>
                    <w:rPr>
                      <w:rFonts w:hint="eastAsia"/>
                      <w:color w:val="000000" w:themeColor="text1"/>
                      <w:kern w:val="0"/>
                      <w:sz w:val="21"/>
                      <w:szCs w:val="21"/>
                      <w:highlight w:val="none"/>
                      <w:lang w:bidi="ar"/>
                    </w:rPr>
                    <w:t>废润滑油与</w:t>
                  </w:r>
                  <w:r>
                    <w:rPr>
                      <w:color w:val="000000" w:themeColor="text1"/>
                      <w:kern w:val="0"/>
                      <w:sz w:val="21"/>
                      <w:szCs w:val="21"/>
                      <w:highlight w:val="none"/>
                      <w:lang w:bidi="ar"/>
                    </w:rPr>
                    <w:t>含矿物油废物类危险废物</w:t>
                  </w:r>
                </w:p>
              </w:tc>
              <w:tc>
                <w:tcPr>
                  <w:tcW w:w="528"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900-249-08</w:t>
                  </w:r>
                </w:p>
              </w:tc>
              <w:tc>
                <w:tcPr>
                  <w:tcW w:w="430" w:type="pct"/>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0.5</w:t>
                  </w:r>
                </w:p>
              </w:tc>
              <w:tc>
                <w:tcPr>
                  <w:tcW w:w="601"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机械维修</w:t>
                  </w:r>
                </w:p>
              </w:tc>
              <w:tc>
                <w:tcPr>
                  <w:tcW w:w="23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lang w:bidi="ar"/>
                    </w:rPr>
                    <w:t>固态</w:t>
                  </w:r>
                </w:p>
              </w:tc>
              <w:tc>
                <w:tcPr>
                  <w:tcW w:w="313"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矿物油</w:t>
                  </w:r>
                </w:p>
              </w:tc>
              <w:tc>
                <w:tcPr>
                  <w:tcW w:w="412"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矿物油</w:t>
                  </w:r>
                </w:p>
              </w:tc>
              <w:tc>
                <w:tcPr>
                  <w:tcW w:w="286" w:type="pct"/>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1年</w:t>
                  </w:r>
                </w:p>
              </w:tc>
              <w:tc>
                <w:tcPr>
                  <w:tcW w:w="258"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T，I</w:t>
                  </w:r>
                </w:p>
              </w:tc>
              <w:tc>
                <w:tcPr>
                  <w:tcW w:w="595" w:type="pct"/>
                  <w:vMerge w:val="continue"/>
                  <w:noWrap/>
                  <w:vAlign w:val="center"/>
                </w:tcPr>
                <w:p>
                  <w:pPr>
                    <w:spacing w:line="240" w:lineRule="auto"/>
                    <w:ind w:firstLine="0" w:firstLineChars="0"/>
                    <w:jc w:val="center"/>
                    <w:rPr>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 w:type="pct"/>
                  <w:noWrap/>
                  <w:vAlign w:val="center"/>
                </w:tcPr>
                <w:p>
                  <w:pPr>
                    <w:spacing w:line="240" w:lineRule="auto"/>
                    <w:ind w:firstLine="0" w:firstLineChars="0"/>
                    <w:jc w:val="center"/>
                    <w:rPr>
                      <w:rFonts w:hint="eastAsia"/>
                      <w:color w:val="000000" w:themeColor="text1"/>
                      <w:sz w:val="21"/>
                      <w:szCs w:val="21"/>
                      <w:highlight w:val="none"/>
                    </w:rPr>
                  </w:pPr>
                  <w:r>
                    <w:rPr>
                      <w:rFonts w:hint="eastAsia"/>
                      <w:color w:val="000000" w:themeColor="text1"/>
                      <w:sz w:val="21"/>
                      <w:szCs w:val="21"/>
                      <w:highlight w:val="none"/>
                      <w:lang w:val="en-US" w:eastAsia="zh-CN"/>
                    </w:rPr>
                    <w:t>5</w:t>
                  </w:r>
                </w:p>
              </w:tc>
              <w:tc>
                <w:tcPr>
                  <w:tcW w:w="412" w:type="pct"/>
                  <w:noWrap/>
                  <w:vAlign w:val="center"/>
                </w:tcPr>
                <w:p>
                  <w:pPr>
                    <w:widowControl/>
                    <w:spacing w:line="240" w:lineRule="auto"/>
                    <w:ind w:firstLine="0" w:firstLineChars="0"/>
                    <w:jc w:val="center"/>
                    <w:rPr>
                      <w:color w:val="000000" w:themeColor="text1"/>
                      <w:kern w:val="0"/>
                      <w:sz w:val="21"/>
                      <w:szCs w:val="21"/>
                      <w:highlight w:val="none"/>
                      <w:lang w:bidi="ar"/>
                    </w:rPr>
                  </w:pPr>
                  <w:r>
                    <w:rPr>
                      <w:rFonts w:hint="eastAsia"/>
                      <w:color w:val="000000" w:themeColor="text1"/>
                      <w:sz w:val="21"/>
                      <w:szCs w:val="21"/>
                      <w:highlight w:val="none"/>
                      <w:lang w:val="en-US" w:eastAsia="zh-CN"/>
                    </w:rPr>
                    <w:t>涉及沥青废气治理的废布袋</w:t>
                  </w:r>
                </w:p>
              </w:tc>
              <w:tc>
                <w:tcPr>
                  <w:tcW w:w="733" w:type="pct"/>
                  <w:noWrap/>
                  <w:vAlign w:val="center"/>
                </w:tcPr>
                <w:p>
                  <w:pPr>
                    <w:widowControl/>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HW49其他废物</w:t>
                  </w:r>
                </w:p>
              </w:tc>
              <w:tc>
                <w:tcPr>
                  <w:tcW w:w="528" w:type="pct"/>
                  <w:noWrap/>
                  <w:vAlign w:val="center"/>
                </w:tcPr>
                <w:p>
                  <w:pPr>
                    <w:widowControl/>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lang w:val="en-US" w:eastAsia="zh-CN"/>
                    </w:rPr>
                    <w:t>900-041-49</w:t>
                  </w:r>
                </w:p>
              </w:tc>
              <w:tc>
                <w:tcPr>
                  <w:tcW w:w="430" w:type="pct"/>
                  <w:noWrap/>
                  <w:vAlign w:val="center"/>
                </w:tcPr>
                <w:p>
                  <w:pPr>
                    <w:widowControl/>
                    <w:spacing w:line="240" w:lineRule="auto"/>
                    <w:ind w:firstLine="0" w:firstLineChars="0"/>
                    <w:jc w:val="center"/>
                    <w:rPr>
                      <w:rFonts w:hint="eastAsia"/>
                      <w:color w:val="000000" w:themeColor="text1"/>
                      <w:sz w:val="21"/>
                      <w:szCs w:val="21"/>
                      <w:highlight w:val="none"/>
                    </w:rPr>
                  </w:pPr>
                  <w:r>
                    <w:rPr>
                      <w:rFonts w:hint="eastAsia"/>
                      <w:color w:val="000000" w:themeColor="text1"/>
                      <w:sz w:val="21"/>
                      <w:szCs w:val="21"/>
                      <w:highlight w:val="none"/>
                      <w:lang w:val="en-US" w:eastAsia="zh-CN"/>
                    </w:rPr>
                    <w:t>0.05</w:t>
                  </w:r>
                </w:p>
              </w:tc>
              <w:tc>
                <w:tcPr>
                  <w:tcW w:w="601"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沥青烟处理系统</w:t>
                  </w:r>
                </w:p>
              </w:tc>
              <w:tc>
                <w:tcPr>
                  <w:tcW w:w="233" w:type="pct"/>
                  <w:noWrap/>
                  <w:vAlign w:val="center"/>
                </w:tcPr>
                <w:p>
                  <w:pPr>
                    <w:widowControl/>
                    <w:spacing w:line="240" w:lineRule="auto"/>
                    <w:ind w:firstLine="0" w:firstLineChars="0"/>
                    <w:jc w:val="center"/>
                    <w:rPr>
                      <w:color w:val="000000" w:themeColor="text1"/>
                      <w:sz w:val="21"/>
                      <w:szCs w:val="21"/>
                      <w:highlight w:val="none"/>
                      <w:lang w:bidi="ar"/>
                    </w:rPr>
                  </w:pPr>
                  <w:r>
                    <w:rPr>
                      <w:color w:val="000000" w:themeColor="text1"/>
                      <w:sz w:val="21"/>
                      <w:szCs w:val="21"/>
                      <w:highlight w:val="none"/>
                      <w:lang w:bidi="ar"/>
                    </w:rPr>
                    <w:t>固态</w:t>
                  </w:r>
                </w:p>
              </w:tc>
              <w:tc>
                <w:tcPr>
                  <w:tcW w:w="313" w:type="pct"/>
                  <w:noWrap/>
                  <w:vAlign w:val="center"/>
                </w:tcPr>
                <w:p>
                  <w:pPr>
                    <w:widowControl/>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活性炭、吸附物质</w:t>
                  </w:r>
                </w:p>
              </w:tc>
              <w:tc>
                <w:tcPr>
                  <w:tcW w:w="412" w:type="pct"/>
                  <w:noWrap/>
                  <w:vAlign w:val="center"/>
                </w:tcPr>
                <w:p>
                  <w:pPr>
                    <w:widowControl/>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沥青烟、苯并[a]芘</w:t>
                  </w:r>
                  <w:r>
                    <w:rPr>
                      <w:rFonts w:hint="eastAsia"/>
                      <w:color w:val="000000" w:themeColor="text1"/>
                      <w:kern w:val="0"/>
                      <w:sz w:val="21"/>
                      <w:szCs w:val="21"/>
                      <w:highlight w:val="none"/>
                      <w:lang w:bidi="ar"/>
                    </w:rPr>
                    <w:t>、非甲烷总烃</w:t>
                  </w:r>
                </w:p>
              </w:tc>
              <w:tc>
                <w:tcPr>
                  <w:tcW w:w="286" w:type="pc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lang w:val="en-US" w:eastAsia="zh-CN"/>
                    </w:rPr>
                    <w:t>2个月</w:t>
                  </w:r>
                </w:p>
              </w:tc>
              <w:tc>
                <w:tcPr>
                  <w:tcW w:w="258" w:type="pct"/>
                  <w:noWrap/>
                  <w:vAlign w:val="center"/>
                </w:tcPr>
                <w:p>
                  <w:pPr>
                    <w:widowControl/>
                    <w:spacing w:line="240" w:lineRule="auto"/>
                    <w:ind w:firstLine="0" w:firstLineChars="0"/>
                    <w:jc w:val="center"/>
                    <w:rPr>
                      <w:color w:val="000000" w:themeColor="text1"/>
                      <w:sz w:val="21"/>
                      <w:szCs w:val="21"/>
                      <w:highlight w:val="none"/>
                    </w:rPr>
                  </w:pPr>
                  <w:r>
                    <w:rPr>
                      <w:color w:val="000000" w:themeColor="text1"/>
                      <w:sz w:val="21"/>
                      <w:szCs w:val="21"/>
                      <w:highlight w:val="none"/>
                    </w:rPr>
                    <w:t>T</w:t>
                  </w:r>
                </w:p>
              </w:tc>
              <w:tc>
                <w:tcPr>
                  <w:tcW w:w="595" w:type="pct"/>
                  <w:vMerge w:val="continue"/>
                  <w:noWrap/>
                  <w:vAlign w:val="center"/>
                </w:tcPr>
                <w:p>
                  <w:pPr>
                    <w:spacing w:line="240" w:lineRule="auto"/>
                    <w:ind w:firstLine="0" w:firstLineChars="0"/>
                    <w:jc w:val="center"/>
                    <w:rPr>
                      <w:color w:val="000000" w:themeColor="text1"/>
                      <w:sz w:val="21"/>
                      <w:szCs w:val="21"/>
                      <w:highlight w:val="none"/>
                    </w:rPr>
                  </w:pPr>
                </w:p>
              </w:tc>
            </w:tr>
          </w:tbl>
          <w:p>
            <w:pPr>
              <w:spacing w:before="120" w:beforeLines="50"/>
              <w:ind w:firstLine="480"/>
              <w:rPr>
                <w:rFonts w:hAnsi="宋体"/>
                <w:color w:val="000000" w:themeColor="text1"/>
                <w:highlight w:val="none"/>
              </w:rPr>
            </w:pPr>
            <w:r>
              <w:rPr>
                <w:rFonts w:hint="eastAsia" w:hAnsi="宋体"/>
                <w:color w:val="000000" w:themeColor="text1"/>
                <w:highlight w:val="none"/>
              </w:rPr>
              <w:t>建设单位拟建设危险废物暂存间，并按照《危险废物贮存污染控制标准》（GB18597-2023）中相关技术要求进行贮存。</w:t>
            </w:r>
          </w:p>
          <w:p>
            <w:pPr>
              <w:ind w:firstLine="482"/>
              <w:rPr>
                <w:b/>
                <w:bCs/>
                <w:color w:val="000000" w:themeColor="text1"/>
                <w:highlight w:val="none"/>
              </w:rPr>
            </w:pPr>
            <w:r>
              <w:rPr>
                <w:rFonts w:hAnsi="宋体"/>
                <w:b/>
                <w:bCs/>
                <w:color w:val="000000" w:themeColor="text1"/>
                <w:highlight w:val="none"/>
              </w:rPr>
              <w:t>（</w:t>
            </w:r>
            <w:r>
              <w:rPr>
                <w:b/>
                <w:bCs/>
                <w:color w:val="000000" w:themeColor="text1"/>
                <w:highlight w:val="none"/>
              </w:rPr>
              <w:t>1</w:t>
            </w:r>
            <w:r>
              <w:rPr>
                <w:rFonts w:hAnsi="宋体"/>
                <w:b/>
                <w:bCs/>
                <w:color w:val="000000" w:themeColor="text1"/>
                <w:highlight w:val="none"/>
              </w:rPr>
              <w:t>）危险废物贮存场所（设施）</w:t>
            </w:r>
          </w:p>
          <w:p>
            <w:pPr>
              <w:ind w:firstLine="480"/>
              <w:rPr>
                <w:color w:val="000000" w:themeColor="text1"/>
                <w:highlight w:val="none"/>
              </w:rPr>
            </w:pPr>
            <w:r>
              <w:rPr>
                <w:rFonts w:hAnsi="宋体"/>
                <w:color w:val="000000" w:themeColor="text1"/>
                <w:highlight w:val="none"/>
              </w:rPr>
              <w:t>建设单位拟建设</w:t>
            </w:r>
            <w:r>
              <w:rPr>
                <w:rFonts w:hint="eastAsia" w:hAnsi="宋体"/>
                <w:color w:val="000000" w:themeColor="text1"/>
                <w:highlight w:val="none"/>
              </w:rPr>
              <w:t>危险废物暂存间一座</w:t>
            </w:r>
            <w:r>
              <w:rPr>
                <w:rFonts w:hAnsi="宋体"/>
                <w:color w:val="000000" w:themeColor="text1"/>
                <w:highlight w:val="none"/>
              </w:rPr>
              <w:t>，并应按照《危险废物收集、贮存、运输技术规范》（</w:t>
            </w:r>
            <w:r>
              <w:rPr>
                <w:color w:val="000000" w:themeColor="text1"/>
                <w:highlight w:val="none"/>
              </w:rPr>
              <w:t>HJ2025-2012</w:t>
            </w:r>
            <w:r>
              <w:rPr>
                <w:rFonts w:hAnsi="宋体"/>
                <w:color w:val="000000" w:themeColor="text1"/>
                <w:highlight w:val="none"/>
              </w:rPr>
              <w:t>）中相关技术要求设置，具体如下：</w:t>
            </w:r>
          </w:p>
          <w:p>
            <w:pPr>
              <w:ind w:firstLine="480"/>
              <w:rPr>
                <w:color w:val="000000" w:themeColor="text1"/>
                <w:highlight w:val="none"/>
              </w:rPr>
            </w:pPr>
            <w:r>
              <w:rPr>
                <w:rFonts w:hAnsi="宋体"/>
                <w:color w:val="000000" w:themeColor="text1"/>
                <w:highlight w:val="none"/>
              </w:rPr>
              <w:t>①危险废物贮存设施的选址、设计、建设、运行管理应满足</w:t>
            </w:r>
            <w:r>
              <w:rPr>
                <w:color w:val="000000" w:themeColor="text1"/>
                <w:highlight w:val="none"/>
              </w:rPr>
              <w:t>GB18597</w:t>
            </w:r>
            <w:r>
              <w:rPr>
                <w:rFonts w:hAnsi="宋体"/>
                <w:color w:val="000000" w:themeColor="text1"/>
                <w:highlight w:val="none"/>
              </w:rPr>
              <w:t>、</w:t>
            </w:r>
            <w:r>
              <w:rPr>
                <w:color w:val="000000" w:themeColor="text1"/>
                <w:highlight w:val="none"/>
              </w:rPr>
              <w:t>GBZ1</w:t>
            </w:r>
            <w:r>
              <w:rPr>
                <w:rFonts w:hAnsi="宋体"/>
                <w:color w:val="000000" w:themeColor="text1"/>
                <w:highlight w:val="none"/>
              </w:rPr>
              <w:t>和</w:t>
            </w:r>
            <w:r>
              <w:rPr>
                <w:color w:val="000000" w:themeColor="text1"/>
                <w:highlight w:val="none"/>
              </w:rPr>
              <w:t>GBZ2</w:t>
            </w:r>
            <w:r>
              <w:rPr>
                <w:rFonts w:hAnsi="宋体"/>
                <w:color w:val="000000" w:themeColor="text1"/>
                <w:highlight w:val="none"/>
              </w:rPr>
              <w:t>的有关要求。</w:t>
            </w:r>
          </w:p>
          <w:p>
            <w:pPr>
              <w:ind w:firstLine="480"/>
              <w:rPr>
                <w:color w:val="000000" w:themeColor="text1"/>
                <w:highlight w:val="none"/>
              </w:rPr>
            </w:pPr>
            <w:r>
              <w:rPr>
                <w:rFonts w:hAnsi="宋体"/>
                <w:color w:val="000000" w:themeColor="text1"/>
                <w:highlight w:val="none"/>
              </w:rPr>
              <w:t>②危险废物贮存设施已配备通讯设备、照明设施和消防设施。</w:t>
            </w:r>
          </w:p>
          <w:p>
            <w:pPr>
              <w:ind w:firstLine="480"/>
              <w:rPr>
                <w:color w:val="000000" w:themeColor="text1"/>
                <w:highlight w:val="none"/>
              </w:rPr>
            </w:pPr>
            <w:r>
              <w:rPr>
                <w:rFonts w:hAnsi="宋体"/>
                <w:color w:val="000000" w:themeColor="text1"/>
                <w:highlight w:val="none"/>
              </w:rPr>
              <w:t>③贮存危险废物时应按危险废物的种类和特性进行分区贮存，每个贮存区域之间宜设置挡墙间隔，并设置防风、防雨、防晒、防渗（渗透系数</w:t>
            </w:r>
            <w:r>
              <w:rPr>
                <w:color w:val="000000" w:themeColor="text1"/>
                <w:highlight w:val="none"/>
              </w:rPr>
              <w:t>≤10</w:t>
            </w:r>
            <w:r>
              <w:rPr>
                <w:color w:val="000000" w:themeColor="text1"/>
                <w:highlight w:val="none"/>
                <w:vertAlign w:val="superscript"/>
              </w:rPr>
              <w:t>-10</w:t>
            </w:r>
            <w:r>
              <w:rPr>
                <w:color w:val="000000" w:themeColor="text1"/>
                <w:highlight w:val="none"/>
              </w:rPr>
              <w:t>cm/s</w:t>
            </w:r>
            <w:r>
              <w:rPr>
                <w:rFonts w:hAnsi="宋体"/>
                <w:color w:val="000000" w:themeColor="text1"/>
                <w:highlight w:val="none"/>
              </w:rPr>
              <w:t>）。</w:t>
            </w:r>
          </w:p>
          <w:p>
            <w:pPr>
              <w:ind w:firstLine="480"/>
              <w:rPr>
                <w:color w:val="000000" w:themeColor="text1"/>
                <w:highlight w:val="none"/>
              </w:rPr>
            </w:pPr>
            <w:r>
              <w:rPr>
                <w:rFonts w:hAnsi="宋体"/>
                <w:color w:val="000000" w:themeColor="text1"/>
                <w:highlight w:val="none"/>
              </w:rPr>
              <w:t>④危险废物贮存期限按《中华人民共和国固体废物污染环境防治法》的有关规定，及时交由资质单位集中处置。</w:t>
            </w:r>
          </w:p>
          <w:p>
            <w:pPr>
              <w:ind w:firstLine="480"/>
              <w:rPr>
                <w:color w:val="000000" w:themeColor="text1"/>
                <w:highlight w:val="none"/>
              </w:rPr>
            </w:pPr>
            <w:r>
              <w:rPr>
                <w:rFonts w:hAnsi="宋体"/>
                <w:color w:val="000000" w:themeColor="text1"/>
                <w:highlight w:val="none"/>
              </w:rPr>
              <w:t>⑤危险废物贮存单位应建立危险废物贮存的台</w:t>
            </w:r>
            <w:r>
              <w:rPr>
                <w:rFonts w:hint="eastAsia" w:hAnsi="宋体"/>
                <w:color w:val="000000" w:themeColor="text1"/>
                <w:highlight w:val="none"/>
                <w:lang w:eastAsia="zh-CN"/>
              </w:rPr>
              <w:t>账</w:t>
            </w:r>
            <w:r>
              <w:rPr>
                <w:rFonts w:hAnsi="宋体"/>
                <w:color w:val="000000" w:themeColor="text1"/>
                <w:highlight w:val="none"/>
              </w:rPr>
              <w:t>制度，并做好危险废物出入库交接记录。</w:t>
            </w:r>
          </w:p>
          <w:p>
            <w:pPr>
              <w:ind w:firstLine="480"/>
              <w:rPr>
                <w:color w:val="000000" w:themeColor="text1"/>
                <w:highlight w:val="none"/>
              </w:rPr>
            </w:pPr>
            <w:r>
              <w:rPr>
                <w:rFonts w:hAnsi="宋体"/>
                <w:color w:val="000000" w:themeColor="text1"/>
                <w:highlight w:val="none"/>
              </w:rPr>
              <w:t>⑥存放装载液体、半固体危险废物容器位置，有耐腐蚀的硬化地面，且表面无裂隙。</w:t>
            </w:r>
          </w:p>
          <w:p>
            <w:pPr>
              <w:ind w:firstLine="480"/>
              <w:rPr>
                <w:color w:val="000000" w:themeColor="text1"/>
                <w:highlight w:val="none"/>
              </w:rPr>
            </w:pPr>
            <w:r>
              <w:rPr>
                <w:rFonts w:hAnsi="宋体"/>
                <w:color w:val="000000" w:themeColor="text1"/>
                <w:highlight w:val="none"/>
              </w:rPr>
              <w:t>⑦危险废物暂存场所设置符合</w:t>
            </w:r>
            <w:r>
              <w:rPr>
                <w:rFonts w:hint="eastAsia" w:hAnsi="宋体"/>
                <w:color w:val="000000" w:themeColor="text1"/>
                <w:highlight w:val="none"/>
              </w:rPr>
              <w:t>《危险废物识别标志设置技术规范》（HJ1276-2022）要求</w:t>
            </w:r>
            <w:r>
              <w:rPr>
                <w:rFonts w:hAnsi="宋体"/>
                <w:color w:val="000000" w:themeColor="text1"/>
                <w:highlight w:val="none"/>
              </w:rPr>
              <w:t>。</w:t>
            </w:r>
          </w:p>
          <w:p>
            <w:pPr>
              <w:ind w:firstLine="480"/>
              <w:rPr>
                <w:color w:val="000000" w:themeColor="text1"/>
                <w:highlight w:val="none"/>
              </w:rPr>
            </w:pPr>
            <w:r>
              <w:rPr>
                <w:rFonts w:hAnsi="宋体"/>
                <w:color w:val="000000" w:themeColor="text1"/>
                <w:highlight w:val="none"/>
              </w:rPr>
              <w:t>⑧危险废物贮存可分为产生单位内部贮存、中转贮存及集中性贮存。所对应的贮存设施分别为：产生危险废物的单位用于暂时贮存的设施。</w:t>
            </w:r>
          </w:p>
          <w:p>
            <w:pPr>
              <w:ind w:firstLine="482"/>
              <w:rPr>
                <w:b/>
                <w:bCs/>
                <w:color w:val="000000" w:themeColor="text1"/>
                <w:highlight w:val="none"/>
              </w:rPr>
            </w:pPr>
            <w:r>
              <w:rPr>
                <w:rFonts w:hint="eastAsia"/>
                <w:b/>
                <w:bCs/>
                <w:color w:val="000000" w:themeColor="text1"/>
                <w:highlight w:val="none"/>
              </w:rPr>
              <w:t>（2）运输过程的环境影响分析</w:t>
            </w:r>
          </w:p>
          <w:p>
            <w:pPr>
              <w:ind w:firstLine="480"/>
              <w:rPr>
                <w:color w:val="000000" w:themeColor="text1"/>
                <w:highlight w:val="none"/>
              </w:rPr>
            </w:pPr>
            <w:r>
              <w:rPr>
                <w:rFonts w:hint="eastAsia"/>
                <w:color w:val="000000" w:themeColor="text1"/>
                <w:highlight w:val="none"/>
              </w:rPr>
              <w:t>从厂区内产生工艺环节运输到危险暂存间可能产生散落、泄漏，有可能污染土壤和地下水，因此从厂区内产生的环节运输到危险废物暂存间，采用专用设备进行运输，并派专人负责运输转运，加强对运输人员的培训，减少运输过程的散落、泄露。从厂区内产生工艺环节运输到危险暂存间运输路线沿线已经进行硬化，没有耕地、园地、牧草地、饮用水源地或居民区、学校、医院、疗养院、养老院等环境敏感点。</w:t>
            </w:r>
          </w:p>
          <w:p>
            <w:pPr>
              <w:ind w:firstLine="482"/>
              <w:rPr>
                <w:b/>
                <w:bCs/>
                <w:color w:val="000000" w:themeColor="text1"/>
                <w:highlight w:val="none"/>
              </w:rPr>
            </w:pPr>
            <w:r>
              <w:rPr>
                <w:rFonts w:hint="eastAsia"/>
                <w:b/>
                <w:bCs/>
                <w:color w:val="000000" w:themeColor="text1"/>
                <w:highlight w:val="none"/>
              </w:rPr>
              <w:t>（3）委托利用或者处置的环境影响分析</w:t>
            </w:r>
          </w:p>
          <w:p>
            <w:pPr>
              <w:ind w:firstLine="480"/>
              <w:rPr>
                <w:color w:val="000000" w:themeColor="text1"/>
                <w:highlight w:val="none"/>
              </w:rPr>
            </w:pPr>
            <w:r>
              <w:rPr>
                <w:color w:val="000000" w:themeColor="text1"/>
                <w:highlight w:val="none"/>
              </w:rPr>
              <w:t>本项目产生的</w:t>
            </w:r>
            <w:r>
              <w:rPr>
                <w:rFonts w:hint="eastAsia"/>
                <w:color w:val="000000" w:themeColor="text1"/>
                <w:highlight w:val="none"/>
              </w:rPr>
              <w:t>废导热油、废润滑油、废油桶、废活性炭</w:t>
            </w:r>
            <w:r>
              <w:rPr>
                <w:rFonts w:hint="eastAsia"/>
                <w:color w:val="000000" w:themeColor="text1"/>
                <w:highlight w:val="none"/>
                <w:lang w:eastAsia="zh-CN"/>
              </w:rPr>
              <w:t>、</w:t>
            </w:r>
            <w:r>
              <w:rPr>
                <w:rFonts w:hint="eastAsia"/>
                <w:color w:val="000000" w:themeColor="text1"/>
                <w:highlight w:val="none"/>
                <w:lang w:val="en-US" w:eastAsia="zh-CN"/>
              </w:rPr>
              <w:t>涉及沥青废气治理的废布袋</w:t>
            </w:r>
            <w:r>
              <w:rPr>
                <w:color w:val="000000" w:themeColor="text1"/>
                <w:highlight w:val="none"/>
              </w:rPr>
              <w:t>作为危险废物分类收集暂存于</w:t>
            </w:r>
            <w:r>
              <w:rPr>
                <w:rFonts w:hint="eastAsia"/>
                <w:color w:val="000000" w:themeColor="text1"/>
                <w:highlight w:val="none"/>
              </w:rPr>
              <w:t>危险废物暂存间</w:t>
            </w:r>
            <w:r>
              <w:rPr>
                <w:color w:val="000000" w:themeColor="text1"/>
                <w:highlight w:val="none"/>
              </w:rPr>
              <w:t>内，定期交由有资质的</w:t>
            </w:r>
            <w:r>
              <w:rPr>
                <w:rFonts w:hint="eastAsia"/>
                <w:color w:val="000000" w:themeColor="text1"/>
                <w:highlight w:val="none"/>
              </w:rPr>
              <w:t>单位转移、处置</w:t>
            </w:r>
            <w:r>
              <w:rPr>
                <w:color w:val="000000" w:themeColor="text1"/>
                <w:highlight w:val="none"/>
              </w:rPr>
              <w:t>。</w:t>
            </w:r>
            <w:r>
              <w:rPr>
                <w:color w:val="000000" w:themeColor="text1"/>
                <w:szCs w:val="22"/>
                <w:highlight w:val="none"/>
              </w:rPr>
              <w:t>项目周边区域分布有资质的单位，</w:t>
            </w:r>
            <w:r>
              <w:rPr>
                <w:color w:val="000000" w:themeColor="text1"/>
                <w:szCs w:val="32"/>
                <w:highlight w:val="none"/>
              </w:rPr>
              <w:t>如</w:t>
            </w:r>
            <w:r>
              <w:rPr>
                <w:rFonts w:hint="eastAsia"/>
                <w:bCs/>
                <w:color w:val="000000" w:themeColor="text1"/>
                <w:szCs w:val="32"/>
                <w:highlight w:val="none"/>
              </w:rPr>
              <w:t>承德双然环保科技有限公司</w:t>
            </w:r>
            <w:r>
              <w:rPr>
                <w:rFonts w:hint="eastAsia"/>
                <w:color w:val="000000" w:themeColor="text1"/>
                <w:szCs w:val="32"/>
                <w:highlight w:val="none"/>
              </w:rPr>
              <w:t>。</w:t>
            </w:r>
            <w:r>
              <w:rPr>
                <w:rFonts w:hint="eastAsia"/>
                <w:bCs/>
                <w:color w:val="000000" w:themeColor="text1"/>
                <w:szCs w:val="32"/>
                <w:highlight w:val="none"/>
              </w:rPr>
              <w:t>承德双然环保科技有限公司</w:t>
            </w:r>
            <w:r>
              <w:rPr>
                <w:rFonts w:hint="eastAsia"/>
                <w:color w:val="000000" w:themeColor="text1"/>
                <w:highlight w:val="none"/>
              </w:rPr>
              <w:t>服务范围为承德地区，经营范围为贮存</w:t>
            </w:r>
            <w:r>
              <w:rPr>
                <w:rFonts w:hint="eastAsia"/>
                <w:color w:val="000000" w:themeColor="text1"/>
                <w:highlight w:val="none"/>
                <w:lang w:bidi="ar"/>
              </w:rPr>
              <w:t>HW02、</w:t>
            </w:r>
            <w:r>
              <w:rPr>
                <w:color w:val="000000" w:themeColor="text1"/>
                <w:highlight w:val="none"/>
                <w:lang w:bidi="ar"/>
              </w:rPr>
              <w:t>HW03、</w:t>
            </w:r>
            <w:r>
              <w:rPr>
                <w:rFonts w:hint="eastAsia"/>
                <w:color w:val="000000" w:themeColor="text1"/>
                <w:highlight w:val="none"/>
                <w:lang w:bidi="ar"/>
              </w:rPr>
              <w:t>HW04、HW05、HW06、</w:t>
            </w:r>
            <w:r>
              <w:rPr>
                <w:color w:val="000000" w:themeColor="text1"/>
                <w:highlight w:val="none"/>
                <w:lang w:bidi="ar"/>
              </w:rPr>
              <w:t>HW08、</w:t>
            </w:r>
            <w:r>
              <w:rPr>
                <w:rFonts w:hint="eastAsia"/>
                <w:color w:val="000000" w:themeColor="text1"/>
                <w:highlight w:val="none"/>
                <w:lang w:bidi="ar"/>
              </w:rPr>
              <w:t>HW09、HW11、</w:t>
            </w:r>
            <w:r>
              <w:rPr>
                <w:color w:val="000000" w:themeColor="text1"/>
                <w:highlight w:val="none"/>
                <w:lang w:bidi="ar"/>
              </w:rPr>
              <w:t>HW12、</w:t>
            </w:r>
            <w:r>
              <w:rPr>
                <w:rFonts w:hint="eastAsia"/>
                <w:color w:val="000000" w:themeColor="text1"/>
                <w:highlight w:val="none"/>
                <w:lang w:bidi="ar"/>
              </w:rPr>
              <w:t>HW13、</w:t>
            </w:r>
            <w:r>
              <w:rPr>
                <w:color w:val="000000" w:themeColor="text1"/>
                <w:highlight w:val="none"/>
                <w:lang w:bidi="ar"/>
              </w:rPr>
              <w:t>HW16、</w:t>
            </w:r>
            <w:r>
              <w:rPr>
                <w:rFonts w:hint="eastAsia"/>
                <w:color w:val="000000" w:themeColor="text1"/>
                <w:highlight w:val="none"/>
                <w:lang w:bidi="ar"/>
              </w:rPr>
              <w:t>HW17、HW21、HW22、HW23、</w:t>
            </w:r>
            <w:r>
              <w:rPr>
                <w:color w:val="000000" w:themeColor="text1"/>
                <w:highlight w:val="none"/>
                <w:lang w:bidi="ar"/>
              </w:rPr>
              <w:t>HW29、</w:t>
            </w:r>
            <w:r>
              <w:rPr>
                <w:rFonts w:hint="eastAsia"/>
                <w:color w:val="000000" w:themeColor="text1"/>
                <w:highlight w:val="none"/>
                <w:lang w:bidi="ar"/>
              </w:rPr>
              <w:t>HW31、HW32、HW34、HW35、HW36、HW37、HW46、HW48、</w:t>
            </w:r>
            <w:r>
              <w:rPr>
                <w:color w:val="000000" w:themeColor="text1"/>
                <w:highlight w:val="none"/>
                <w:lang w:bidi="ar"/>
              </w:rPr>
              <w:t>HW49</w:t>
            </w:r>
            <w:r>
              <w:rPr>
                <w:rFonts w:hint="eastAsia"/>
                <w:color w:val="000000" w:themeColor="text1"/>
                <w:highlight w:val="none"/>
                <w:lang w:bidi="ar"/>
              </w:rPr>
              <w:t>、HW50</w:t>
            </w:r>
            <w:r>
              <w:rPr>
                <w:color w:val="000000" w:themeColor="text1"/>
                <w:highlight w:val="none"/>
                <w:lang w:bidi="ar"/>
              </w:rPr>
              <w:t>共</w:t>
            </w:r>
            <w:r>
              <w:rPr>
                <w:rFonts w:hint="eastAsia"/>
                <w:color w:val="000000" w:themeColor="text1"/>
                <w:highlight w:val="none"/>
                <w:lang w:bidi="ar"/>
              </w:rPr>
              <w:t>26</w:t>
            </w:r>
            <w:r>
              <w:rPr>
                <w:color w:val="000000" w:themeColor="text1"/>
                <w:highlight w:val="none"/>
                <w:lang w:bidi="ar"/>
              </w:rPr>
              <w:t>类危险废物</w:t>
            </w:r>
            <w:r>
              <w:rPr>
                <w:rFonts w:hint="eastAsia"/>
                <w:color w:val="000000" w:themeColor="text1"/>
                <w:highlight w:val="none"/>
                <w:lang w:bidi="ar"/>
              </w:rPr>
              <w:t>，其中HW08废润滑油与含矿物油废物最大贮存量180t、年转运量10000t</w:t>
            </w:r>
            <w:r>
              <w:rPr>
                <w:rFonts w:hint="eastAsia"/>
                <w:color w:val="000000" w:themeColor="text1"/>
                <w:highlight w:val="none"/>
              </w:rPr>
              <w:t>，</w:t>
            </w:r>
            <w:r>
              <w:rPr>
                <w:rFonts w:hint="eastAsia"/>
                <w:bCs/>
                <w:color w:val="000000" w:themeColor="text1"/>
                <w:szCs w:val="32"/>
                <w:highlight w:val="none"/>
              </w:rPr>
              <w:t>该公司</w:t>
            </w:r>
            <w:r>
              <w:rPr>
                <w:color w:val="000000" w:themeColor="text1"/>
                <w:szCs w:val="32"/>
                <w:highlight w:val="none"/>
              </w:rPr>
              <w:t>年度核准经营规模包含</w:t>
            </w:r>
            <w:r>
              <w:rPr>
                <w:rFonts w:hint="eastAsia"/>
                <w:color w:val="000000" w:themeColor="text1"/>
                <w:szCs w:val="32"/>
                <w:highlight w:val="none"/>
              </w:rPr>
              <w:t>本项目</w:t>
            </w:r>
            <w:r>
              <w:rPr>
                <w:color w:val="000000" w:themeColor="text1"/>
                <w:szCs w:val="32"/>
                <w:highlight w:val="none"/>
              </w:rPr>
              <w:t>产生的危险废物</w:t>
            </w:r>
            <w:r>
              <w:rPr>
                <w:rFonts w:hint="eastAsia"/>
                <w:color w:val="000000" w:themeColor="text1"/>
                <w:szCs w:val="32"/>
                <w:highlight w:val="none"/>
              </w:rPr>
              <w:t>，</w:t>
            </w:r>
            <w:r>
              <w:rPr>
                <w:color w:val="000000" w:themeColor="text1"/>
                <w:szCs w:val="32"/>
                <w:highlight w:val="none"/>
              </w:rPr>
              <w:t>且</w:t>
            </w:r>
            <w:r>
              <w:rPr>
                <w:rFonts w:hint="eastAsia"/>
                <w:color w:val="000000" w:themeColor="text1"/>
                <w:szCs w:val="32"/>
                <w:highlight w:val="none"/>
              </w:rPr>
              <w:t>本项目</w:t>
            </w:r>
            <w:r>
              <w:rPr>
                <w:color w:val="000000" w:themeColor="text1"/>
                <w:szCs w:val="32"/>
                <w:highlight w:val="none"/>
              </w:rPr>
              <w:t>产生的危险废物量远小于该资质单位的处置量</w:t>
            </w:r>
            <w:r>
              <w:rPr>
                <w:rFonts w:hint="eastAsia"/>
                <w:color w:val="000000" w:themeColor="text1"/>
                <w:szCs w:val="32"/>
                <w:highlight w:val="none"/>
              </w:rPr>
              <w:t>。</w:t>
            </w:r>
            <w:r>
              <w:rPr>
                <w:color w:val="000000" w:themeColor="text1"/>
                <w:szCs w:val="32"/>
                <w:highlight w:val="none"/>
              </w:rPr>
              <w:t>故建议本项目</w:t>
            </w:r>
            <w:r>
              <w:rPr>
                <w:rFonts w:hint="eastAsia"/>
                <w:color w:val="000000" w:themeColor="text1"/>
                <w:szCs w:val="32"/>
                <w:highlight w:val="none"/>
              </w:rPr>
              <w:t>危险废物可以委托</w:t>
            </w:r>
            <w:r>
              <w:rPr>
                <w:rFonts w:hint="eastAsia"/>
                <w:bCs/>
                <w:color w:val="000000" w:themeColor="text1"/>
                <w:szCs w:val="32"/>
                <w:highlight w:val="none"/>
              </w:rPr>
              <w:t>承德双然环保科技有限公司</w:t>
            </w:r>
            <w:r>
              <w:rPr>
                <w:rFonts w:hint="eastAsia"/>
                <w:color w:val="000000" w:themeColor="text1"/>
                <w:szCs w:val="32"/>
                <w:highlight w:val="none"/>
              </w:rPr>
              <w:t>处置。综上，本项目</w:t>
            </w:r>
            <w:r>
              <w:rPr>
                <w:color w:val="000000" w:themeColor="text1"/>
                <w:szCs w:val="32"/>
                <w:highlight w:val="none"/>
              </w:rPr>
              <w:t>危险废物定期交由</w:t>
            </w:r>
            <w:r>
              <w:rPr>
                <w:rFonts w:hint="eastAsia"/>
                <w:color w:val="000000" w:themeColor="text1"/>
                <w:szCs w:val="32"/>
                <w:highlight w:val="none"/>
              </w:rPr>
              <w:t>有资质</w:t>
            </w:r>
            <w:r>
              <w:rPr>
                <w:color w:val="000000" w:themeColor="text1"/>
                <w:szCs w:val="32"/>
                <w:highlight w:val="none"/>
              </w:rPr>
              <w:t>的单位处理措施</w:t>
            </w:r>
            <w:r>
              <w:rPr>
                <w:rFonts w:hint="eastAsia"/>
                <w:color w:val="000000" w:themeColor="text1"/>
                <w:szCs w:val="32"/>
                <w:highlight w:val="none"/>
              </w:rPr>
              <w:t>可行</w:t>
            </w:r>
            <w:r>
              <w:rPr>
                <w:color w:val="000000" w:themeColor="text1"/>
                <w:szCs w:val="22"/>
                <w:highlight w:val="none"/>
              </w:rPr>
              <w:t>。</w:t>
            </w:r>
          </w:p>
          <w:p>
            <w:pPr>
              <w:ind w:firstLine="482"/>
              <w:rPr>
                <w:b/>
                <w:bCs/>
                <w:color w:val="000000" w:themeColor="text1"/>
                <w:highlight w:val="none"/>
              </w:rPr>
            </w:pPr>
            <w:r>
              <w:rPr>
                <w:rFonts w:hAnsi="宋体"/>
                <w:b/>
                <w:bCs/>
                <w:color w:val="000000" w:themeColor="text1"/>
                <w:highlight w:val="none"/>
              </w:rPr>
              <w:t>（</w:t>
            </w:r>
            <w:r>
              <w:rPr>
                <w:rFonts w:hint="eastAsia"/>
                <w:b/>
                <w:bCs/>
                <w:color w:val="000000" w:themeColor="text1"/>
                <w:highlight w:val="none"/>
              </w:rPr>
              <w:t>4</w:t>
            </w:r>
            <w:r>
              <w:rPr>
                <w:rFonts w:hAnsi="宋体"/>
                <w:b/>
                <w:bCs/>
                <w:color w:val="000000" w:themeColor="text1"/>
                <w:highlight w:val="none"/>
              </w:rPr>
              <w:t>）危险废物收集、暂存、转运过程应急预案</w:t>
            </w:r>
          </w:p>
          <w:p>
            <w:pPr>
              <w:ind w:firstLine="480"/>
              <w:rPr>
                <w:color w:val="000000" w:themeColor="text1"/>
                <w:highlight w:val="none"/>
              </w:rPr>
            </w:pPr>
            <w:r>
              <w:rPr>
                <w:rFonts w:hAnsi="宋体"/>
                <w:color w:val="000000" w:themeColor="text1"/>
                <w:highlight w:val="none"/>
              </w:rPr>
              <w:t>危险废物收集、储运、中转过程一旦发生意外事故，建设单位应根据风险应急预案立即采取如下措施：</w:t>
            </w:r>
          </w:p>
          <w:p>
            <w:pPr>
              <w:ind w:firstLine="480"/>
              <w:rPr>
                <w:rFonts w:hAnsi="宋体"/>
                <w:color w:val="000000" w:themeColor="text1"/>
                <w:highlight w:val="none"/>
              </w:rPr>
            </w:pPr>
            <w:r>
              <w:rPr>
                <w:rFonts w:hAnsi="宋体"/>
                <w:color w:val="000000" w:themeColor="text1"/>
                <w:highlight w:val="none"/>
              </w:rPr>
              <w:t>①设立事故警戒线，启动应急预案，并按要求向环保主管部门进行报告。</w:t>
            </w:r>
          </w:p>
          <w:p>
            <w:pPr>
              <w:ind w:firstLine="480"/>
              <w:rPr>
                <w:rFonts w:hAnsi="宋体"/>
                <w:color w:val="000000" w:themeColor="text1"/>
                <w:highlight w:val="none"/>
              </w:rPr>
            </w:pPr>
            <w:r>
              <w:rPr>
                <w:rFonts w:hAnsi="宋体"/>
                <w:color w:val="000000" w:themeColor="text1"/>
                <w:highlight w:val="none"/>
              </w:rPr>
              <w:t>②对事故受到污染的土壤和水体等进行相应的清理和修复。</w:t>
            </w:r>
          </w:p>
          <w:p>
            <w:pPr>
              <w:ind w:firstLine="480"/>
              <w:rPr>
                <w:rFonts w:hAnsi="宋体"/>
                <w:color w:val="000000" w:themeColor="text1"/>
                <w:highlight w:val="none"/>
              </w:rPr>
            </w:pPr>
            <w:r>
              <w:rPr>
                <w:rFonts w:hAnsi="宋体"/>
                <w:color w:val="000000" w:themeColor="text1"/>
                <w:highlight w:val="none"/>
              </w:rPr>
              <w:t>③清理过程产生的所有废物均应按危险废物进行管理和处置。</w:t>
            </w:r>
          </w:p>
          <w:p>
            <w:pPr>
              <w:ind w:firstLine="480"/>
              <w:rPr>
                <w:rFonts w:hAnsi="宋体"/>
                <w:color w:val="000000" w:themeColor="text1"/>
                <w:highlight w:val="none"/>
              </w:rPr>
            </w:pPr>
            <w:r>
              <w:rPr>
                <w:rFonts w:hAnsi="宋体"/>
                <w:color w:val="000000" w:themeColor="text1"/>
                <w:highlight w:val="none"/>
              </w:rPr>
              <w:t>④进入现场清理和包装危险废物的人员应受过专业培训，穿着防护服，佩戴防护用具。。</w:t>
            </w:r>
          </w:p>
          <w:p>
            <w:pPr>
              <w:ind w:firstLine="480"/>
              <w:rPr>
                <w:b/>
                <w:bCs/>
                <w:color w:val="000000" w:themeColor="text1"/>
                <w:highlight w:val="none"/>
              </w:rPr>
            </w:pPr>
            <w:r>
              <w:rPr>
                <w:rFonts w:hint="eastAsia"/>
                <w:color w:val="000000" w:themeColor="text1"/>
                <w:highlight w:val="none"/>
              </w:rPr>
              <w:t>危险废物暂存满足《危险废物贮存污染控制标准》（GB</w:t>
            </w:r>
            <w:r>
              <w:rPr>
                <w:color w:val="000000" w:themeColor="text1"/>
                <w:highlight w:val="none"/>
              </w:rPr>
              <w:t>18597-20</w:t>
            </w:r>
            <w:r>
              <w:rPr>
                <w:rFonts w:hint="eastAsia"/>
                <w:color w:val="000000" w:themeColor="text1"/>
                <w:highlight w:val="none"/>
              </w:rPr>
              <w:t>23）相关要求。</w:t>
            </w:r>
          </w:p>
          <w:p>
            <w:pPr>
              <w:ind w:firstLine="482"/>
              <w:rPr>
                <w:b/>
                <w:bCs/>
                <w:color w:val="000000" w:themeColor="text1"/>
                <w:highlight w:val="none"/>
              </w:rPr>
            </w:pPr>
            <w:r>
              <w:rPr>
                <w:rFonts w:hint="eastAsia"/>
                <w:b/>
                <w:bCs/>
                <w:color w:val="000000" w:themeColor="text1"/>
                <w:highlight w:val="none"/>
              </w:rPr>
              <w:t>（5）</w:t>
            </w:r>
            <w:r>
              <w:rPr>
                <w:b/>
                <w:bCs/>
                <w:color w:val="000000" w:themeColor="text1"/>
                <w:highlight w:val="none"/>
              </w:rPr>
              <w:t>固体废物环境管理要求</w:t>
            </w:r>
          </w:p>
          <w:p>
            <w:pPr>
              <w:spacing w:line="336" w:lineRule="auto"/>
              <w:ind w:firstLine="480"/>
              <w:rPr>
                <w:color w:val="000000" w:themeColor="text1"/>
                <w:highlight w:val="none"/>
              </w:rPr>
            </w:pPr>
            <w:r>
              <w:rPr>
                <w:rFonts w:hint="eastAsia"/>
                <w:color w:val="000000" w:themeColor="text1"/>
                <w:highlight w:val="none"/>
              </w:rPr>
              <w:t>①</w:t>
            </w:r>
            <w:r>
              <w:rPr>
                <w:color w:val="000000" w:themeColor="text1"/>
                <w:highlight w:val="none"/>
              </w:rPr>
              <w:t>项目运营期固体废物的产生、贮存、利用和处置全过程应严格遵守国家有关建设项目环境保护管理的规定。</w:t>
            </w:r>
          </w:p>
          <w:p>
            <w:pPr>
              <w:spacing w:line="336" w:lineRule="auto"/>
              <w:ind w:firstLine="480"/>
              <w:rPr>
                <w:color w:val="000000" w:themeColor="text1"/>
                <w:highlight w:val="none"/>
              </w:rPr>
            </w:pPr>
            <w:r>
              <w:rPr>
                <w:rFonts w:hint="eastAsia"/>
                <w:color w:val="000000" w:themeColor="text1"/>
                <w:highlight w:val="none"/>
              </w:rPr>
              <w:t>②</w:t>
            </w:r>
            <w:r>
              <w:rPr>
                <w:color w:val="000000" w:themeColor="text1"/>
                <w:highlight w:val="none"/>
              </w:rPr>
              <w:t>项目运营期产生、收集、贮存、运输、利用、处置固体废物时，应当采取防扬散、防流失、防渗漏或者其他纺织污染环境的措施，不得擅自倾倒、堆放、丢弃、遗撒固体废物；</w:t>
            </w:r>
          </w:p>
          <w:p>
            <w:pPr>
              <w:spacing w:line="336" w:lineRule="auto"/>
              <w:ind w:firstLine="480"/>
              <w:rPr>
                <w:color w:val="000000" w:themeColor="text1"/>
                <w:highlight w:val="none"/>
              </w:rPr>
            </w:pPr>
            <w:r>
              <w:rPr>
                <w:rFonts w:hint="eastAsia"/>
                <w:color w:val="000000" w:themeColor="text1"/>
                <w:highlight w:val="none"/>
              </w:rPr>
              <w:t>③</w:t>
            </w:r>
            <w:r>
              <w:rPr>
                <w:color w:val="000000" w:themeColor="text1"/>
                <w:highlight w:val="none"/>
              </w:rPr>
              <w:t>建设单位运营期应当建立健全工业固体废物</w:t>
            </w:r>
            <w:r>
              <w:rPr>
                <w:rFonts w:hint="eastAsia"/>
                <w:color w:val="000000" w:themeColor="text1"/>
                <w:highlight w:val="none"/>
              </w:rPr>
              <w:t>和危险废物</w:t>
            </w:r>
            <w:r>
              <w:rPr>
                <w:color w:val="000000" w:themeColor="text1"/>
                <w:highlight w:val="none"/>
              </w:rPr>
              <w:t>产生、收集、贮存、运输、利用、处置全过程的污染环境纺织责任制度，建立工业固体废物</w:t>
            </w:r>
            <w:r>
              <w:rPr>
                <w:rFonts w:hint="eastAsia"/>
                <w:color w:val="000000" w:themeColor="text1"/>
                <w:highlight w:val="none"/>
              </w:rPr>
              <w:t>和危险废物</w:t>
            </w:r>
            <w:r>
              <w:rPr>
                <w:color w:val="000000" w:themeColor="text1"/>
                <w:highlight w:val="none"/>
              </w:rPr>
              <w:t>管理台账，如实记录产生工业固体废物的种类、数量、流向、贮存、利用、处置等信息，实现工业固体废物</w:t>
            </w:r>
            <w:r>
              <w:rPr>
                <w:rFonts w:hint="eastAsia"/>
                <w:color w:val="000000" w:themeColor="text1"/>
                <w:highlight w:val="none"/>
              </w:rPr>
              <w:t>和危险废物</w:t>
            </w:r>
            <w:r>
              <w:rPr>
                <w:color w:val="000000" w:themeColor="text1"/>
                <w:highlight w:val="none"/>
              </w:rPr>
              <w:t>可追溯，可查询，并采取防治工业固体废物</w:t>
            </w:r>
            <w:r>
              <w:rPr>
                <w:rFonts w:hint="eastAsia"/>
                <w:color w:val="000000" w:themeColor="text1"/>
                <w:highlight w:val="none"/>
              </w:rPr>
              <w:t>和危险废物</w:t>
            </w:r>
            <w:r>
              <w:rPr>
                <w:color w:val="000000" w:themeColor="text1"/>
                <w:highlight w:val="none"/>
              </w:rPr>
              <w:t>污染环境的措施；</w:t>
            </w:r>
          </w:p>
          <w:p>
            <w:pPr>
              <w:spacing w:line="336" w:lineRule="auto"/>
              <w:ind w:firstLine="480"/>
              <w:rPr>
                <w:color w:val="000000" w:themeColor="text1"/>
                <w:highlight w:val="none"/>
              </w:rPr>
            </w:pPr>
            <w:r>
              <w:rPr>
                <w:rFonts w:hint="eastAsia"/>
                <w:color w:val="000000" w:themeColor="text1"/>
                <w:highlight w:val="none"/>
              </w:rPr>
              <w:t>④</w:t>
            </w:r>
            <w:r>
              <w:rPr>
                <w:color w:val="000000" w:themeColor="text1"/>
                <w:highlight w:val="none"/>
              </w:rPr>
              <w:t>企业对收集、贮存、运输、处置一般工业固体废物</w:t>
            </w:r>
            <w:r>
              <w:rPr>
                <w:rFonts w:hint="eastAsia"/>
                <w:color w:val="000000" w:themeColor="text1"/>
                <w:highlight w:val="none"/>
              </w:rPr>
              <w:t>和危险废物</w:t>
            </w:r>
            <w:r>
              <w:rPr>
                <w:color w:val="000000" w:themeColor="text1"/>
                <w:highlight w:val="none"/>
              </w:rPr>
              <w:t>的设施、设备和场所，应当加强管理和维护，保证其正常运行和使用。</w:t>
            </w:r>
          </w:p>
          <w:p>
            <w:pPr>
              <w:spacing w:line="336" w:lineRule="auto"/>
              <w:ind w:firstLine="480"/>
              <w:rPr>
                <w:color w:val="000000" w:themeColor="text1"/>
                <w:highlight w:val="none"/>
              </w:rPr>
            </w:pPr>
            <w:r>
              <w:rPr>
                <w:rFonts w:hint="eastAsia"/>
                <w:color w:val="000000" w:themeColor="text1"/>
                <w:highlight w:val="none"/>
              </w:rPr>
              <w:t>⑤</w:t>
            </w:r>
            <w:r>
              <w:rPr>
                <w:color w:val="000000" w:themeColor="text1"/>
                <w:highlight w:val="none"/>
                <w:shd w:val="clear" w:color="auto" w:fill="FFFFFF"/>
              </w:rPr>
              <w:t>严禁将生活垃圾与一般工业固体废物</w:t>
            </w:r>
            <w:r>
              <w:rPr>
                <w:rFonts w:hint="eastAsia"/>
                <w:color w:val="000000" w:themeColor="text1"/>
                <w:highlight w:val="none"/>
                <w:shd w:val="clear" w:color="auto" w:fill="FFFFFF"/>
              </w:rPr>
              <w:t>、危险废物</w:t>
            </w:r>
            <w:r>
              <w:rPr>
                <w:color w:val="000000" w:themeColor="text1"/>
                <w:highlight w:val="none"/>
                <w:shd w:val="clear" w:color="auto" w:fill="FFFFFF"/>
              </w:rPr>
              <w:t>混合处置。</w:t>
            </w:r>
          </w:p>
          <w:p>
            <w:pPr>
              <w:spacing w:line="336" w:lineRule="auto"/>
              <w:ind w:firstLine="480"/>
              <w:rPr>
                <w:color w:val="000000" w:themeColor="text1"/>
                <w:highlight w:val="none"/>
                <w:shd w:val="clear" w:color="auto" w:fill="FFFFFF"/>
              </w:rPr>
            </w:pPr>
            <w:r>
              <w:rPr>
                <w:rFonts w:hint="eastAsia"/>
                <w:color w:val="000000" w:themeColor="text1"/>
                <w:highlight w:val="none"/>
              </w:rPr>
              <w:t>⑥</w:t>
            </w:r>
            <w:r>
              <w:rPr>
                <w:color w:val="000000" w:themeColor="text1"/>
                <w:highlight w:val="none"/>
              </w:rPr>
              <w:t>项目运营期间</w:t>
            </w:r>
            <w:r>
              <w:rPr>
                <w:color w:val="000000" w:themeColor="text1"/>
                <w:highlight w:val="none"/>
                <w:shd w:val="clear" w:color="auto" w:fill="FFFFFF"/>
              </w:rPr>
              <w:t>需要终止生产的，应当事先对工业固体废物</w:t>
            </w:r>
            <w:r>
              <w:rPr>
                <w:rFonts w:hint="eastAsia"/>
                <w:color w:val="000000" w:themeColor="text1"/>
                <w:highlight w:val="none"/>
              </w:rPr>
              <w:t>和危险废物</w:t>
            </w:r>
            <w:r>
              <w:rPr>
                <w:color w:val="000000" w:themeColor="text1"/>
                <w:highlight w:val="none"/>
                <w:shd w:val="clear" w:color="auto" w:fill="FFFFFF"/>
              </w:rPr>
              <w:t>的贮存、处置设施、场所采取污染防治措施，并对未处置的工业固体废物</w:t>
            </w:r>
            <w:r>
              <w:rPr>
                <w:rFonts w:hint="eastAsia"/>
                <w:color w:val="000000" w:themeColor="text1"/>
                <w:highlight w:val="none"/>
              </w:rPr>
              <w:t>和危险废物</w:t>
            </w:r>
            <w:r>
              <w:rPr>
                <w:color w:val="000000" w:themeColor="text1"/>
                <w:highlight w:val="none"/>
                <w:shd w:val="clear" w:color="auto" w:fill="FFFFFF"/>
              </w:rPr>
              <w:t>作出妥善处置，防止污染环境。</w:t>
            </w:r>
          </w:p>
          <w:p>
            <w:pPr>
              <w:spacing w:line="336" w:lineRule="auto"/>
              <w:ind w:firstLine="480"/>
              <w:rPr>
                <w:color w:val="000000" w:themeColor="text1"/>
                <w:highlight w:val="none"/>
              </w:rPr>
            </w:pPr>
            <w:r>
              <w:rPr>
                <w:color w:val="000000" w:themeColor="text1"/>
                <w:highlight w:val="none"/>
              </w:rPr>
              <w:t>采取上述保护措施后，固体废物均得到妥善处置。</w:t>
            </w:r>
          </w:p>
          <w:p>
            <w:pPr>
              <w:ind w:firstLine="482"/>
              <w:rPr>
                <w:color w:val="000000" w:themeColor="text1"/>
                <w:highlight w:val="none"/>
              </w:rPr>
            </w:pPr>
            <w:r>
              <w:rPr>
                <w:rFonts w:hint="eastAsia"/>
                <w:b/>
                <w:bCs/>
                <w:color w:val="000000" w:themeColor="text1"/>
                <w:highlight w:val="none"/>
              </w:rPr>
              <w:t>5、地下水</w:t>
            </w:r>
          </w:p>
          <w:p>
            <w:pPr>
              <w:ind w:firstLine="480"/>
              <w:rPr>
                <w:color w:val="000000" w:themeColor="text1"/>
                <w:highlight w:val="none"/>
              </w:rPr>
            </w:pPr>
            <w:r>
              <w:rPr>
                <w:rFonts w:hint="eastAsia"/>
                <w:color w:val="000000" w:themeColor="text1"/>
                <w:highlight w:val="none"/>
              </w:rPr>
              <w:t>项目无废水产生，不存在地下水污染途径，企业按要求做好分区防渗措施后，项目建设对地下水环境影响可接受。</w:t>
            </w:r>
          </w:p>
          <w:p>
            <w:pPr>
              <w:ind w:firstLine="482"/>
              <w:rPr>
                <w:color w:val="000000" w:themeColor="text1"/>
                <w:highlight w:val="none"/>
              </w:rPr>
            </w:pPr>
            <w:r>
              <w:rPr>
                <w:rFonts w:hint="eastAsia"/>
                <w:b/>
                <w:bCs/>
                <w:color w:val="000000" w:themeColor="text1"/>
                <w:highlight w:val="none"/>
              </w:rPr>
              <w:t>6、土壤</w:t>
            </w:r>
          </w:p>
          <w:p>
            <w:pPr>
              <w:ind w:firstLine="480"/>
              <w:rPr>
                <w:color w:val="000000" w:themeColor="text1"/>
                <w:highlight w:val="none"/>
              </w:rPr>
            </w:pPr>
            <w:r>
              <w:rPr>
                <w:color w:val="000000" w:themeColor="text1"/>
                <w:highlight w:val="none"/>
              </w:rPr>
              <w:t>根据项目使用原辅料、燃料及产品、污染物的性质分析，本项目使用的原辅料主要为</w:t>
            </w:r>
            <w:r>
              <w:rPr>
                <w:rFonts w:hint="eastAsia"/>
                <w:color w:val="000000" w:themeColor="text1"/>
                <w:highlight w:val="none"/>
              </w:rPr>
              <w:t>砂石骨料</w:t>
            </w:r>
            <w:r>
              <w:rPr>
                <w:color w:val="000000" w:themeColor="text1"/>
                <w:highlight w:val="none"/>
              </w:rPr>
              <w:t>、</w:t>
            </w:r>
            <w:r>
              <w:rPr>
                <w:rFonts w:hint="eastAsia"/>
                <w:color w:val="000000" w:themeColor="text1"/>
                <w:highlight w:val="none"/>
              </w:rPr>
              <w:t>矿</w:t>
            </w:r>
            <w:r>
              <w:rPr>
                <w:color w:val="000000" w:themeColor="text1"/>
                <w:highlight w:val="none"/>
              </w:rPr>
              <w:t>粉、沥青、导热油，大气污染物主要为颗粒物、苯并[a]芘、</w:t>
            </w:r>
            <w:r>
              <w:rPr>
                <w:rFonts w:hint="eastAsia"/>
                <w:color w:val="000000" w:themeColor="text1"/>
                <w:highlight w:val="none"/>
              </w:rPr>
              <w:t>非甲烷总烃、</w:t>
            </w:r>
            <w:r>
              <w:rPr>
                <w:color w:val="000000" w:themeColor="text1"/>
                <w:highlight w:val="none"/>
              </w:rPr>
              <w:t>沥青烟及SO</w:t>
            </w:r>
            <w:r>
              <w:rPr>
                <w:rFonts w:hint="eastAsia"/>
                <w:color w:val="000000" w:themeColor="text1"/>
                <w:highlight w:val="none"/>
                <w:vertAlign w:val="subscript"/>
              </w:rPr>
              <w:t>2</w:t>
            </w:r>
            <w:r>
              <w:rPr>
                <w:color w:val="000000" w:themeColor="text1"/>
                <w:highlight w:val="none"/>
              </w:rPr>
              <w:t>、NOx等，固体废物有一般工业固废及危险废物</w:t>
            </w:r>
            <w:r>
              <w:rPr>
                <w:rFonts w:hint="eastAsia"/>
                <w:color w:val="000000" w:themeColor="text1"/>
                <w:highlight w:val="none"/>
              </w:rPr>
              <w:t>。项目运行对土壤的影响主要为</w:t>
            </w:r>
            <w:r>
              <w:rPr>
                <w:color w:val="000000" w:themeColor="text1"/>
                <w:highlight w:val="none"/>
              </w:rPr>
              <w:t>苯并[a]芘</w:t>
            </w:r>
            <w:r>
              <w:rPr>
                <w:rFonts w:hint="eastAsia"/>
                <w:color w:val="000000" w:themeColor="text1"/>
                <w:highlight w:val="none"/>
              </w:rPr>
              <w:t>等大气污染物因大气沉降对土壤造成的污染</w:t>
            </w:r>
            <w:r>
              <w:rPr>
                <w:color w:val="000000" w:themeColor="text1"/>
                <w:highlight w:val="none"/>
              </w:rPr>
              <w:t>。</w:t>
            </w:r>
            <w:r>
              <w:rPr>
                <w:rFonts w:hint="eastAsia"/>
                <w:color w:val="000000" w:themeColor="text1"/>
                <w:highlight w:val="none"/>
              </w:rPr>
              <w:t>项目对沥青搅拌</w:t>
            </w:r>
            <w:r>
              <w:rPr>
                <w:rFonts w:hint="eastAsia"/>
                <w:color w:val="000000" w:themeColor="text1"/>
                <w:highlight w:val="none"/>
                <w:lang w:val="en-US" w:eastAsia="zh-CN"/>
              </w:rPr>
              <w:t>机</w:t>
            </w:r>
            <w:r>
              <w:rPr>
                <w:rFonts w:hint="eastAsia"/>
                <w:color w:val="000000" w:themeColor="text1"/>
                <w:highlight w:val="none"/>
              </w:rPr>
              <w:t>卸料口设置侧吸式集气罩，</w:t>
            </w:r>
            <w:r>
              <w:rPr>
                <w:rFonts w:hint="eastAsia"/>
                <w:color w:val="000000" w:themeColor="text1"/>
                <w:highlight w:val="none"/>
                <w:lang w:val="en-US" w:eastAsia="zh-CN"/>
              </w:rPr>
              <w:t>沥青</w:t>
            </w:r>
            <w:r>
              <w:rPr>
                <w:rFonts w:hint="eastAsia"/>
                <w:color w:val="000000" w:themeColor="text1"/>
                <w:highlight w:val="none"/>
              </w:rPr>
              <w:t>储罐</w:t>
            </w:r>
            <w:r>
              <w:rPr>
                <w:rFonts w:hint="eastAsia"/>
                <w:color w:val="000000" w:themeColor="text1"/>
                <w:highlight w:val="none"/>
                <w:lang w:val="en-US" w:eastAsia="zh-CN"/>
              </w:rPr>
              <w:t>及卸料池</w:t>
            </w:r>
            <w:r>
              <w:rPr>
                <w:rFonts w:hint="eastAsia"/>
                <w:color w:val="000000" w:themeColor="text1"/>
                <w:highlight w:val="none"/>
              </w:rPr>
              <w:t>呼吸口接入吸风管道，利用管道将沥青废气引入一套“两级活性炭吸附”装置，净化后由一根17m高排气筒（DA002）排放，经两级活性炭吸附处理后，沥青烟等废气达标排放，项目进行土壤跟踪监测，监测计划见表4-14。经过采取相应的措施后，大气沉降对周边土壤环境的影响可接受。</w:t>
            </w:r>
          </w:p>
          <w:p>
            <w:pPr>
              <w:ind w:firstLine="480"/>
              <w:rPr>
                <w:color w:val="000000" w:themeColor="text1"/>
                <w:highlight w:val="none"/>
              </w:rPr>
            </w:pPr>
            <w:r>
              <w:rPr>
                <w:rFonts w:hint="eastAsia"/>
                <w:color w:val="000000" w:themeColor="text1"/>
                <w:highlight w:val="none"/>
              </w:rPr>
              <w:t>项目对厂区进行分区防渗，</w:t>
            </w:r>
            <w:r>
              <w:rPr>
                <w:color w:val="000000" w:themeColor="text1"/>
                <w:highlight w:val="none"/>
              </w:rPr>
              <w:t>危废贮存间</w:t>
            </w:r>
            <w:r>
              <w:rPr>
                <w:rFonts w:hint="eastAsia"/>
                <w:color w:val="000000" w:themeColor="text1"/>
                <w:highlight w:val="none"/>
              </w:rPr>
              <w:t>、导热油储罐</w:t>
            </w:r>
            <w:r>
              <w:rPr>
                <w:color w:val="000000" w:themeColor="text1"/>
                <w:highlight w:val="none"/>
              </w:rPr>
              <w:t>为重点防渗区</w:t>
            </w:r>
            <w:r>
              <w:rPr>
                <w:rFonts w:hint="eastAsia"/>
                <w:color w:val="000000" w:themeColor="text1"/>
                <w:highlight w:val="none"/>
              </w:rPr>
              <w:t>，</w:t>
            </w:r>
            <w:r>
              <w:rPr>
                <w:rFonts w:hint="eastAsia"/>
                <w:color w:val="000000" w:themeColor="text1"/>
                <w:highlight w:val="none"/>
                <w:lang w:val="en-US" w:eastAsia="zh-CN"/>
              </w:rPr>
              <w:t>沥青卸料池、</w:t>
            </w:r>
            <w:r>
              <w:rPr>
                <w:color w:val="000000" w:themeColor="text1"/>
                <w:highlight w:val="none"/>
              </w:rPr>
              <w:t>沥青罐区及产品卸料区为一般防渗区</w:t>
            </w:r>
            <w:r>
              <w:rPr>
                <w:rFonts w:hint="eastAsia"/>
                <w:color w:val="000000" w:themeColor="text1"/>
                <w:highlight w:val="none"/>
              </w:rPr>
              <w:t>，</w:t>
            </w:r>
            <w:r>
              <w:rPr>
                <w:color w:val="000000" w:themeColor="text1"/>
                <w:highlight w:val="none"/>
              </w:rPr>
              <w:t>其他区域为简单防渗区。</w:t>
            </w:r>
            <w:r>
              <w:rPr>
                <w:rFonts w:hint="eastAsia"/>
                <w:color w:val="000000" w:themeColor="text1"/>
                <w:highlight w:val="none"/>
              </w:rPr>
              <w:t>本次评价给出分区防渗的要求：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eastAsia="宋体"/>
                <w:color w:val="000000" w:themeColor="text1"/>
                <w:highlight w:val="none"/>
                <w:lang w:val="en-US" w:eastAsia="zh-CN"/>
              </w:rPr>
            </w:pPr>
            <w:r>
              <w:rPr>
                <w:rFonts w:hint="eastAsia"/>
                <w:color w:val="000000" w:themeColor="text1"/>
                <w:highlight w:val="none"/>
              </w:rPr>
              <w:t>对厂区内原料库房地面进行</w:t>
            </w:r>
            <w:r>
              <w:rPr>
                <w:color w:val="000000" w:themeColor="text1"/>
                <w:highlight w:val="none"/>
              </w:rPr>
              <w:t>一般水泥地面硬化</w:t>
            </w:r>
            <w:r>
              <w:rPr>
                <w:rFonts w:hint="eastAsia"/>
                <w:color w:val="000000" w:themeColor="text1"/>
                <w:highlight w:val="none"/>
              </w:rPr>
              <w:t>，对各厂区道路等</w:t>
            </w:r>
            <w:r>
              <w:rPr>
                <w:color w:val="000000" w:themeColor="text1"/>
                <w:highlight w:val="none"/>
              </w:rPr>
              <w:t>区域进行一般水泥地面硬化；</w:t>
            </w:r>
            <w:r>
              <w:rPr>
                <w:rFonts w:hint="eastAsia"/>
                <w:color w:val="000000" w:themeColor="text1"/>
                <w:highlight w:val="none"/>
              </w:rPr>
              <w:t>对</w:t>
            </w:r>
            <w:r>
              <w:rPr>
                <w:rFonts w:hint="eastAsia"/>
                <w:color w:val="000000" w:themeColor="text1"/>
                <w:highlight w:val="none"/>
                <w:lang w:val="en-US" w:eastAsia="zh-CN"/>
              </w:rPr>
              <w:t>沥青卸料池、</w:t>
            </w:r>
            <w:r>
              <w:rPr>
                <w:rFonts w:hint="eastAsia"/>
                <w:color w:val="000000" w:themeColor="text1"/>
                <w:highlight w:val="none"/>
              </w:rPr>
              <w:t>沥青储罐区、产品卸料区域</w:t>
            </w:r>
            <w:r>
              <w:rPr>
                <w:color w:val="000000" w:themeColor="text1"/>
                <w:highlight w:val="none"/>
              </w:rPr>
              <w:t>采取防渗措施，渗透系数≤10</w:t>
            </w:r>
            <w:r>
              <w:rPr>
                <w:color w:val="000000" w:themeColor="text1"/>
                <w:highlight w:val="none"/>
                <w:vertAlign w:val="superscript"/>
              </w:rPr>
              <w:t>-7</w:t>
            </w:r>
            <w:r>
              <w:rPr>
                <w:color w:val="000000" w:themeColor="text1"/>
                <w:highlight w:val="none"/>
              </w:rPr>
              <w:t>cm/s；对危险废物贮存间</w:t>
            </w:r>
            <w:r>
              <w:rPr>
                <w:rFonts w:hint="eastAsia"/>
                <w:color w:val="000000" w:themeColor="text1"/>
                <w:highlight w:val="none"/>
              </w:rPr>
              <w:t>、导热油储罐区</w:t>
            </w:r>
            <w:r>
              <w:rPr>
                <w:color w:val="000000" w:themeColor="text1"/>
                <w:highlight w:val="none"/>
              </w:rPr>
              <w:t>进行防腐、防渗措施，渗透系数K≤10</w:t>
            </w:r>
            <w:r>
              <w:rPr>
                <w:color w:val="000000" w:themeColor="text1"/>
                <w:highlight w:val="none"/>
                <w:vertAlign w:val="superscript"/>
              </w:rPr>
              <w:t>-10</w:t>
            </w:r>
            <w:r>
              <w:rPr>
                <w:color w:val="000000" w:themeColor="text1"/>
                <w:highlight w:val="none"/>
              </w:rPr>
              <w:t>cm/s</w:t>
            </w:r>
            <w:r>
              <w:rPr>
                <w:rFonts w:hint="eastAsia"/>
                <w:color w:val="000000" w:themeColor="text1"/>
                <w:highlight w:val="none"/>
              </w:rPr>
              <w:t>，导热油储罐区设置防渗围堰。</w:t>
            </w:r>
            <w:r>
              <w:rPr>
                <w:rFonts w:hint="eastAsia"/>
                <w:color w:val="000000" w:themeColor="text1"/>
                <w:highlight w:val="none"/>
                <w:lang w:val="en-US" w:eastAsia="zh-CN"/>
              </w:rPr>
              <w:t xml:space="preserve">  </w:t>
            </w:r>
          </w:p>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本项目污染防渗分区一览表</w:t>
            </w:r>
          </w:p>
          <w:tbl>
            <w:tblPr>
              <w:tblStyle w:val="22"/>
              <w:tblW w:w="8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892"/>
              <w:gridCol w:w="4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防渗分区</w:t>
                  </w:r>
                </w:p>
              </w:tc>
              <w:tc>
                <w:tcPr>
                  <w:tcW w:w="1892"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主要构筑物</w:t>
                  </w:r>
                  <w:r>
                    <w:rPr>
                      <w:rFonts w:hint="eastAsia"/>
                      <w:color w:val="000000" w:themeColor="text1"/>
                      <w:sz w:val="21"/>
                      <w:szCs w:val="21"/>
                      <w:highlight w:val="none"/>
                    </w:rPr>
                    <w:t>名称</w:t>
                  </w:r>
                </w:p>
              </w:tc>
              <w:tc>
                <w:tcPr>
                  <w:tcW w:w="490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重点防渗区</w:t>
                  </w:r>
                </w:p>
              </w:tc>
              <w:tc>
                <w:tcPr>
                  <w:tcW w:w="1892"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危废贮存间</w:t>
                  </w:r>
                  <w:r>
                    <w:rPr>
                      <w:rFonts w:hint="eastAsia"/>
                      <w:color w:val="000000" w:themeColor="text1"/>
                      <w:sz w:val="21"/>
                      <w:szCs w:val="21"/>
                      <w:highlight w:val="none"/>
                    </w:rPr>
                    <w:t>、导热油储罐</w:t>
                  </w:r>
                </w:p>
              </w:tc>
              <w:tc>
                <w:tcPr>
                  <w:tcW w:w="490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按《危险废物贮存污染控制标准》(GB18597-20</w:t>
                  </w:r>
                  <w:r>
                    <w:rPr>
                      <w:rFonts w:hint="eastAsia"/>
                      <w:color w:val="000000" w:themeColor="text1"/>
                      <w:sz w:val="21"/>
                      <w:szCs w:val="21"/>
                      <w:highlight w:val="none"/>
                    </w:rPr>
                    <w:t>23</w:t>
                  </w:r>
                  <w:r>
                    <w:rPr>
                      <w:color w:val="000000" w:themeColor="text1"/>
                      <w:sz w:val="21"/>
                      <w:szCs w:val="21"/>
                      <w:highlight w:val="none"/>
                    </w:rPr>
                    <w:t>)执行（防渗层为至少lm厚粘土层(渗透系数≤10</w:t>
                  </w:r>
                  <w:r>
                    <w:rPr>
                      <w:color w:val="000000" w:themeColor="text1"/>
                      <w:sz w:val="21"/>
                      <w:szCs w:val="21"/>
                      <w:highlight w:val="none"/>
                      <w:vertAlign w:val="superscript"/>
                    </w:rPr>
                    <w:t>-7</w:t>
                  </w:r>
                  <w:r>
                    <w:rPr>
                      <w:color w:val="000000" w:themeColor="text1"/>
                      <w:sz w:val="21"/>
                      <w:szCs w:val="21"/>
                      <w:highlight w:val="none"/>
                    </w:rPr>
                    <w:t>cm/s)，或2mm厚高密度聚乙烯，或至少2mm厚的其它人工材料，渗透系数≤10</w:t>
                  </w:r>
                  <w:r>
                    <w:rPr>
                      <w:color w:val="000000" w:themeColor="text1"/>
                      <w:sz w:val="21"/>
                      <w:szCs w:val="21"/>
                      <w:highlight w:val="none"/>
                      <w:vertAlign w:val="superscript"/>
                    </w:rPr>
                    <w:t>-10</w:t>
                  </w:r>
                  <w:r>
                    <w:rPr>
                      <w:color w:val="000000" w:themeColor="text1"/>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一般防渗区</w:t>
                  </w:r>
                </w:p>
              </w:tc>
              <w:tc>
                <w:tcPr>
                  <w:tcW w:w="1892" w:type="dxa"/>
                  <w:shd w:val="clear" w:color="auto" w:fill="auto"/>
                  <w:vAlign w:val="center"/>
                </w:tcPr>
                <w:p>
                  <w:pPr>
                    <w:spacing w:line="240" w:lineRule="auto"/>
                    <w:ind w:firstLine="0" w:firstLineChars="0"/>
                    <w:jc w:val="center"/>
                    <w:rPr>
                      <w:color w:val="000000" w:themeColor="text1"/>
                      <w:sz w:val="21"/>
                      <w:szCs w:val="21"/>
                      <w:highlight w:val="none"/>
                    </w:rPr>
                  </w:pPr>
                  <w:r>
                    <w:rPr>
                      <w:rFonts w:hint="eastAsia" w:ascii="宋体" w:hAnsi="宋体" w:cs="宋体"/>
                      <w:color w:val="000000" w:themeColor="text1"/>
                      <w:kern w:val="0"/>
                      <w:sz w:val="21"/>
                      <w:szCs w:val="21"/>
                      <w:highlight w:val="none"/>
                      <w:lang w:val="en-US" w:eastAsia="zh-CN" w:bidi="ar"/>
                    </w:rPr>
                    <w:t>沥青卸料池、</w:t>
                  </w:r>
                  <w:r>
                    <w:rPr>
                      <w:color w:val="000000" w:themeColor="text1"/>
                      <w:sz w:val="21"/>
                      <w:szCs w:val="21"/>
                      <w:highlight w:val="none"/>
                    </w:rPr>
                    <w:t>沥青罐区</w:t>
                  </w:r>
                  <w:r>
                    <w:rPr>
                      <w:rFonts w:hint="eastAsia"/>
                      <w:color w:val="000000" w:themeColor="text1"/>
                      <w:sz w:val="21"/>
                      <w:szCs w:val="21"/>
                      <w:highlight w:val="none"/>
                    </w:rPr>
                    <w:t>、</w:t>
                  </w:r>
                  <w:r>
                    <w:rPr>
                      <w:color w:val="000000" w:themeColor="text1"/>
                      <w:sz w:val="21"/>
                      <w:szCs w:val="21"/>
                      <w:highlight w:val="none"/>
                    </w:rPr>
                    <w:t>产品卸料区</w:t>
                  </w:r>
                </w:p>
              </w:tc>
              <w:tc>
                <w:tcPr>
                  <w:tcW w:w="490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等效黏土防渗层Mb≥1.5m，K≤10</w:t>
                  </w:r>
                  <w:r>
                    <w:rPr>
                      <w:color w:val="000000" w:themeColor="text1"/>
                      <w:sz w:val="21"/>
                      <w:szCs w:val="21"/>
                      <w:highlight w:val="none"/>
                      <w:vertAlign w:val="superscript"/>
                    </w:rPr>
                    <w:t>-7</w:t>
                  </w:r>
                  <w:r>
                    <w:rPr>
                      <w:color w:val="000000" w:themeColor="text1"/>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简单防渗区</w:t>
                  </w:r>
                </w:p>
              </w:tc>
              <w:tc>
                <w:tcPr>
                  <w:tcW w:w="1892"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厂区其他区域</w:t>
                  </w:r>
                </w:p>
              </w:tc>
              <w:tc>
                <w:tcPr>
                  <w:tcW w:w="4907" w:type="dxa"/>
                  <w:shd w:val="clear" w:color="auto" w:fill="auto"/>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一般地面硬化</w:t>
                  </w:r>
                </w:p>
              </w:tc>
            </w:tr>
          </w:tbl>
          <w:p>
            <w:pPr>
              <w:pStyle w:val="20"/>
              <w:ind w:firstLine="0" w:firstLineChars="0"/>
              <w:rPr>
                <w:b/>
                <w:bCs/>
                <w:color w:val="000000" w:themeColor="text1"/>
                <w:sz w:val="21"/>
                <w:highlight w:val="none"/>
              </w:rPr>
            </w:pPr>
            <w:r>
              <w:rPr>
                <w:color w:val="000000" w:themeColor="text1"/>
                <w:highlight w:val="none"/>
              </w:rPr>
              <w:pict>
                <v:shape id="_x0000_i1033" o:spt="75" type="#_x0000_t75" style="height:207.25pt;width:418.25pt;" filled="f" o:preferrelative="t" stroked="f" coordsize="21600,21600">
                  <v:path/>
                  <v:fill on="f" focussize="0,0"/>
                  <v:stroke on="f" joinstyle="miter"/>
                  <v:imagedata r:id="rId24" o:title=""/>
                  <o:lock v:ext="edit" aspectratio="t"/>
                  <w10:wrap type="none"/>
                  <w10:anchorlock/>
                </v:shape>
              </w:pict>
            </w:r>
          </w:p>
          <w:p>
            <w:pPr>
              <w:ind w:firstLine="0" w:firstLineChars="0"/>
              <w:jc w:val="center"/>
              <w:rPr>
                <w:color w:val="000000" w:themeColor="text1"/>
                <w:highlight w:val="none"/>
              </w:rPr>
            </w:pPr>
            <w:r>
              <w:rPr>
                <w:b/>
                <w:bCs/>
                <w:color w:val="000000" w:themeColor="text1"/>
                <w:sz w:val="21"/>
                <w:highlight w:val="none"/>
              </w:rPr>
              <w:t>图</w:t>
            </w:r>
            <w:r>
              <w:rPr>
                <w:rFonts w:hint="eastAsia"/>
                <w:b/>
                <w:bCs/>
                <w:color w:val="000000" w:themeColor="text1"/>
                <w:sz w:val="21"/>
                <w:highlight w:val="none"/>
              </w:rPr>
              <w:t>4-1</w:t>
            </w:r>
            <w:r>
              <w:rPr>
                <w:b/>
                <w:bCs/>
                <w:color w:val="000000" w:themeColor="text1"/>
                <w:sz w:val="21"/>
                <w:highlight w:val="none"/>
              </w:rPr>
              <w:t xml:space="preserve">  </w:t>
            </w:r>
            <w:r>
              <w:rPr>
                <w:rFonts w:hint="eastAsia"/>
                <w:b/>
                <w:bCs/>
                <w:color w:val="000000" w:themeColor="text1"/>
                <w:sz w:val="21"/>
                <w:highlight w:val="none"/>
              </w:rPr>
              <w:t>分区防渗图</w:t>
            </w:r>
          </w:p>
          <w:p>
            <w:pPr>
              <w:numPr>
                <w:ilvl w:val="0"/>
                <w:numId w:val="6"/>
              </w:numPr>
              <w:autoSpaceDE w:val="0"/>
              <w:autoSpaceDN w:val="0"/>
              <w:ind w:firstLineChars="0"/>
              <w:jc w:val="center"/>
              <w:rPr>
                <w:b/>
                <w:bCs/>
                <w:color w:val="000000" w:themeColor="text1"/>
                <w:sz w:val="21"/>
                <w:szCs w:val="21"/>
                <w:highlight w:val="none"/>
              </w:rPr>
            </w:pPr>
            <w:r>
              <w:rPr>
                <w:rFonts w:hint="eastAsia"/>
                <w:b/>
                <w:bCs/>
                <w:color w:val="000000" w:themeColor="text1"/>
                <w:sz w:val="21"/>
                <w:szCs w:val="21"/>
                <w:highlight w:val="none"/>
              </w:rPr>
              <w:t>土壤监测计划表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116"/>
              <w:gridCol w:w="1965"/>
              <w:gridCol w:w="878"/>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环境要素</w:t>
                  </w:r>
                </w:p>
              </w:tc>
              <w:tc>
                <w:tcPr>
                  <w:tcW w:w="667"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监测位置</w:t>
                  </w:r>
                </w:p>
              </w:tc>
              <w:tc>
                <w:tcPr>
                  <w:tcW w:w="1175"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监测项目</w:t>
                  </w:r>
                </w:p>
              </w:tc>
              <w:tc>
                <w:tcPr>
                  <w:tcW w:w="525"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频次</w:t>
                  </w:r>
                </w:p>
              </w:tc>
              <w:tc>
                <w:tcPr>
                  <w:tcW w:w="1946" w:type="pct"/>
                  <w:vAlign w:val="center"/>
                </w:tcPr>
                <w:p>
                  <w:pPr>
                    <w:spacing w:line="240" w:lineRule="auto"/>
                    <w:ind w:firstLine="0" w:firstLineChars="0"/>
                    <w:jc w:val="center"/>
                    <w:rPr>
                      <w:b/>
                      <w:color w:val="000000" w:themeColor="text1"/>
                      <w:sz w:val="21"/>
                      <w:szCs w:val="21"/>
                      <w:highlight w:val="none"/>
                    </w:rPr>
                  </w:pPr>
                  <w:r>
                    <w:rPr>
                      <w:b/>
                      <w:color w:val="000000" w:themeColor="text1"/>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restar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土壤</w:t>
                  </w:r>
                </w:p>
              </w:tc>
              <w:tc>
                <w:tcPr>
                  <w:tcW w:w="667"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大苇塘村</w:t>
                  </w:r>
                </w:p>
              </w:tc>
              <w:tc>
                <w:tcPr>
                  <w:tcW w:w="1175"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苯并[a]芘、石油烃</w:t>
                  </w:r>
                </w:p>
              </w:tc>
              <w:tc>
                <w:tcPr>
                  <w:tcW w:w="525" w:type="pct"/>
                  <w:vAlign w:val="center"/>
                </w:tcPr>
                <w:p>
                  <w:pPr>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次</w:t>
                  </w:r>
                  <w:r>
                    <w:rPr>
                      <w:rFonts w:hint="eastAsia"/>
                      <w:color w:val="000000" w:themeColor="text1"/>
                      <w:kern w:val="0"/>
                      <w:sz w:val="21"/>
                      <w:szCs w:val="21"/>
                      <w:highlight w:val="none"/>
                      <w:lang w:bidi="ar"/>
                    </w:rPr>
                    <w:t>/2年</w:t>
                  </w:r>
                </w:p>
              </w:tc>
              <w:tc>
                <w:tcPr>
                  <w:tcW w:w="1946"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《土壤环境质量 建设用地土壤污染风险管控标准（试行）》（GB 36600-2018）表1中第一类用地土壤污染风险筛选值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pct"/>
                  <w:vMerge w:val="continue"/>
                  <w:vAlign w:val="center"/>
                </w:tcPr>
                <w:p>
                  <w:pPr>
                    <w:spacing w:line="240" w:lineRule="auto"/>
                    <w:ind w:firstLine="0" w:firstLineChars="0"/>
                    <w:jc w:val="center"/>
                    <w:rPr>
                      <w:color w:val="000000" w:themeColor="text1"/>
                      <w:sz w:val="21"/>
                      <w:szCs w:val="21"/>
                      <w:highlight w:val="none"/>
                    </w:rPr>
                  </w:pPr>
                </w:p>
              </w:tc>
              <w:tc>
                <w:tcPr>
                  <w:tcW w:w="667"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大苇塘村西侧</w:t>
                  </w:r>
                </w:p>
              </w:tc>
              <w:tc>
                <w:tcPr>
                  <w:tcW w:w="1175"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苯并[a]芘</w:t>
                  </w:r>
                </w:p>
              </w:tc>
              <w:tc>
                <w:tcPr>
                  <w:tcW w:w="525" w:type="pct"/>
                  <w:vAlign w:val="center"/>
                </w:tcPr>
                <w:p>
                  <w:pPr>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次</w:t>
                  </w:r>
                  <w:r>
                    <w:rPr>
                      <w:rFonts w:hint="eastAsia"/>
                      <w:color w:val="000000" w:themeColor="text1"/>
                      <w:kern w:val="0"/>
                      <w:sz w:val="21"/>
                      <w:szCs w:val="21"/>
                      <w:highlight w:val="none"/>
                      <w:lang w:bidi="ar"/>
                    </w:rPr>
                    <w:t>/2年</w:t>
                  </w:r>
                </w:p>
              </w:tc>
              <w:tc>
                <w:tcPr>
                  <w:tcW w:w="1946" w:type="pct"/>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《土壤环境质量 农用地土壤污染风险管控标准（试行）》（GB15618—2018）</w:t>
                  </w:r>
                </w:p>
              </w:tc>
            </w:tr>
          </w:tbl>
          <w:p>
            <w:pPr>
              <w:ind w:firstLine="482"/>
              <w:rPr>
                <w:b/>
                <w:bCs/>
                <w:color w:val="000000" w:themeColor="text1"/>
                <w:highlight w:val="none"/>
              </w:rPr>
            </w:pPr>
            <w:r>
              <w:rPr>
                <w:rFonts w:hint="eastAsia"/>
                <w:b/>
                <w:bCs/>
                <w:color w:val="000000" w:themeColor="text1"/>
                <w:highlight w:val="none"/>
              </w:rPr>
              <w:t>7、生态</w:t>
            </w:r>
          </w:p>
          <w:p>
            <w:pPr>
              <w:ind w:firstLine="480"/>
              <w:rPr>
                <w:b/>
                <w:bCs/>
                <w:color w:val="000000" w:themeColor="text1"/>
                <w:highlight w:val="none"/>
              </w:rPr>
            </w:pPr>
            <w:r>
              <w:rPr>
                <w:rFonts w:hint="eastAsia"/>
                <w:color w:val="000000" w:themeColor="text1"/>
                <w:highlight w:val="none"/>
                <w:shd w:val="clear" w:color="auto" w:fill="FFFFFF"/>
              </w:rPr>
              <w:t>项目占地范围内无生态环境保护目标</w:t>
            </w:r>
            <w:r>
              <w:rPr>
                <w:color w:val="000000" w:themeColor="text1"/>
                <w:highlight w:val="none"/>
                <w:shd w:val="clear" w:color="auto" w:fill="FFFFFF"/>
              </w:rPr>
              <w:t>，可不开展生态环境影响评价</w:t>
            </w:r>
            <w:r>
              <w:rPr>
                <w:rStyle w:val="28"/>
                <w:rFonts w:hint="eastAsia"/>
                <w:color w:val="000000" w:themeColor="text1"/>
                <w:kern w:val="0"/>
                <w:szCs w:val="20"/>
                <w:highlight w:val="none"/>
              </w:rPr>
              <w:t>。</w:t>
            </w:r>
          </w:p>
          <w:p>
            <w:pPr>
              <w:ind w:firstLine="482"/>
              <w:rPr>
                <w:b/>
                <w:bCs/>
                <w:color w:val="000000" w:themeColor="text1"/>
                <w:highlight w:val="none"/>
              </w:rPr>
            </w:pPr>
            <w:r>
              <w:rPr>
                <w:rFonts w:hint="eastAsia"/>
                <w:b/>
                <w:bCs/>
                <w:color w:val="000000" w:themeColor="text1"/>
                <w:highlight w:val="none"/>
              </w:rPr>
              <w:t>8、环境风险</w:t>
            </w:r>
          </w:p>
          <w:p>
            <w:pPr>
              <w:ind w:firstLine="480"/>
              <w:rPr>
                <w:bCs/>
                <w:snapToGrid w:val="0"/>
                <w:color w:val="000000" w:themeColor="text1"/>
                <w:kern w:val="0"/>
                <w:szCs w:val="22"/>
                <w:highlight w:val="none"/>
              </w:rPr>
            </w:pPr>
            <w:r>
              <w:rPr>
                <w:rFonts w:hint="eastAsia"/>
                <w:bCs/>
                <w:snapToGrid w:val="0"/>
                <w:color w:val="000000" w:themeColor="text1"/>
                <w:kern w:val="0"/>
                <w:szCs w:val="22"/>
                <w:highlight w:val="none"/>
              </w:rPr>
              <w:t>本项目有毒有害和易燃易爆危险物质存储量超过临界量，因此，设置环境风险专项评价。</w:t>
            </w:r>
            <w:r>
              <w:rPr>
                <w:color w:val="000000" w:themeColor="text1"/>
                <w:kern w:val="0"/>
                <w:highlight w:val="none"/>
              </w:rPr>
              <w:t>具体详见项目</w:t>
            </w:r>
            <w:r>
              <w:rPr>
                <w:rFonts w:hint="eastAsia"/>
                <w:color w:val="000000" w:themeColor="text1"/>
                <w:kern w:val="0"/>
                <w:highlight w:val="none"/>
                <w:lang w:val="en-US" w:eastAsia="zh-CN"/>
              </w:rPr>
              <w:t>环境</w:t>
            </w:r>
            <w:r>
              <w:rPr>
                <w:rFonts w:hint="eastAsia"/>
                <w:color w:val="000000" w:themeColor="text1"/>
                <w:kern w:val="0"/>
                <w:highlight w:val="none"/>
              </w:rPr>
              <w:t>风险</w:t>
            </w:r>
            <w:r>
              <w:rPr>
                <w:color w:val="000000" w:themeColor="text1"/>
                <w:kern w:val="0"/>
                <w:highlight w:val="none"/>
              </w:rPr>
              <w:t>专项评价</w:t>
            </w:r>
            <w:r>
              <w:rPr>
                <w:rFonts w:hint="eastAsia"/>
                <w:color w:val="000000" w:themeColor="text1"/>
                <w:kern w:val="0"/>
                <w:highlight w:val="none"/>
                <w:lang w:val="en-US" w:eastAsia="zh-CN"/>
              </w:rPr>
              <w:t>报告</w:t>
            </w:r>
            <w:r>
              <w:rPr>
                <w:color w:val="000000" w:themeColor="text1"/>
                <w:kern w:val="0"/>
                <w:highlight w:val="none"/>
              </w:rPr>
              <w:t>。</w:t>
            </w:r>
          </w:p>
          <w:p>
            <w:pPr>
              <w:ind w:firstLine="480"/>
              <w:rPr>
                <w:b/>
                <w:bCs/>
                <w:color w:val="000000" w:themeColor="text1"/>
                <w:highlight w:val="none"/>
              </w:rPr>
            </w:pPr>
            <w:r>
              <w:rPr>
                <w:color w:val="000000" w:themeColor="text1"/>
                <w:kern w:val="0"/>
                <w:highlight w:val="none"/>
              </w:rPr>
              <w:t>根据</w:t>
            </w:r>
            <w:r>
              <w:rPr>
                <w:rFonts w:hint="eastAsia"/>
                <w:color w:val="000000" w:themeColor="text1"/>
                <w:kern w:val="0"/>
                <w:highlight w:val="none"/>
                <w:lang w:val="en-US" w:eastAsia="zh-CN"/>
              </w:rPr>
              <w:t>环境</w:t>
            </w:r>
            <w:r>
              <w:rPr>
                <w:rFonts w:hint="eastAsia"/>
                <w:color w:val="000000" w:themeColor="text1"/>
                <w:kern w:val="0"/>
                <w:highlight w:val="none"/>
              </w:rPr>
              <w:t>风险</w:t>
            </w:r>
            <w:r>
              <w:rPr>
                <w:color w:val="000000" w:themeColor="text1"/>
                <w:kern w:val="0"/>
                <w:highlight w:val="none"/>
              </w:rPr>
              <w:t>专项评价</w:t>
            </w:r>
            <w:r>
              <w:rPr>
                <w:rFonts w:hint="eastAsia"/>
                <w:color w:val="000000" w:themeColor="text1"/>
                <w:kern w:val="0"/>
                <w:highlight w:val="none"/>
                <w:lang w:val="en-US" w:eastAsia="zh-CN"/>
              </w:rPr>
              <w:t>报告</w:t>
            </w:r>
            <w:r>
              <w:rPr>
                <w:color w:val="000000" w:themeColor="text1"/>
                <w:kern w:val="0"/>
                <w:highlight w:val="none"/>
              </w:rPr>
              <w:t>结论，</w:t>
            </w:r>
            <w:r>
              <w:rPr>
                <w:snapToGrid w:val="0"/>
                <w:color w:val="000000" w:themeColor="text1"/>
                <w:kern w:val="0"/>
                <w:highlight w:val="none"/>
              </w:rPr>
              <w:t>该项目存在一定潜在风险，但通过采用风险防范措施，可有效避免和减少项目环境风险对周边大气环境、水环境、土壤环境的影响。在落实各项风险管理和环境风险防范措施之后，项目环境风险是可防控的，项目可行。</w:t>
            </w:r>
          </w:p>
          <w:p>
            <w:pPr>
              <w:ind w:firstLine="482"/>
              <w:rPr>
                <w:b/>
                <w:bCs/>
                <w:color w:val="000000" w:themeColor="text1"/>
                <w:highlight w:val="none"/>
              </w:rPr>
            </w:pPr>
            <w:r>
              <w:rPr>
                <w:rFonts w:hint="eastAsia"/>
                <w:b/>
                <w:bCs/>
                <w:color w:val="000000" w:themeColor="text1"/>
                <w:highlight w:val="none"/>
              </w:rPr>
              <w:t>9、电磁辐射</w:t>
            </w:r>
          </w:p>
          <w:p>
            <w:pPr>
              <w:ind w:firstLine="480"/>
              <w:rPr>
                <w:rFonts w:hint="eastAsia"/>
                <w:color w:val="000000" w:themeColor="text1"/>
                <w:highlight w:val="none"/>
              </w:rPr>
            </w:pPr>
            <w:r>
              <w:rPr>
                <w:rFonts w:hint="eastAsia"/>
                <w:color w:val="000000" w:themeColor="text1"/>
                <w:highlight w:val="none"/>
              </w:rPr>
              <w:t>本项目不涉及电磁辐射。</w:t>
            </w: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480"/>
              <w:rPr>
                <w:rFonts w:hint="eastAsia"/>
                <w:color w:val="000000" w:themeColor="text1"/>
                <w:highlight w:val="none"/>
              </w:rPr>
            </w:pPr>
          </w:p>
          <w:p>
            <w:pPr>
              <w:ind w:firstLine="720" w:firstLineChars="300"/>
              <w:rPr>
                <w:rFonts w:hint="eastAsia" w:ascii="宋体" w:hAnsi="宋体" w:eastAsia="宋体" w:cs="宋体"/>
                <w:bCs/>
                <w:color w:val="000000" w:themeColor="text1"/>
                <w:kern w:val="21"/>
                <w:szCs w:val="21"/>
                <w:highlight w:val="none"/>
                <w:lang w:eastAsia="zh-CN"/>
              </w:rPr>
            </w:pPr>
          </w:p>
        </w:tc>
      </w:tr>
    </w:tbl>
    <w:p>
      <w:pPr>
        <w:ind w:firstLine="562"/>
        <w:rPr>
          <w:rFonts w:ascii="宋体" w:cs="宋体"/>
          <w:b/>
          <w:color w:val="000000" w:themeColor="text1"/>
          <w:kern w:val="21"/>
          <w:sz w:val="28"/>
          <w:szCs w:val="28"/>
        </w:rPr>
        <w:sectPr>
          <w:pgSz w:w="11907" w:h="16840"/>
          <w:pgMar w:top="1417" w:right="1531" w:bottom="1417" w:left="1531" w:header="851" w:footer="851" w:gutter="0"/>
          <w:cols w:space="720" w:num="1"/>
          <w:docGrid w:linePitch="312" w:charSpace="0"/>
        </w:sectPr>
      </w:pPr>
    </w:p>
    <w:p>
      <w:pPr>
        <w:pStyle w:val="18"/>
        <w:spacing w:before="120" w:beforeLines="50" w:beforeAutospacing="0" w:after="120" w:afterLines="50" w:afterAutospacing="0"/>
        <w:ind w:firstLine="0" w:firstLineChars="0"/>
        <w:jc w:val="center"/>
        <w:outlineLvl w:val="0"/>
        <w:rPr>
          <w:rFonts w:ascii="黑体" w:hAnsi="黑体" w:eastAsia="黑体"/>
          <w:snapToGrid w:val="0"/>
          <w:color w:val="000000" w:themeColor="text1"/>
          <w:kern w:val="21"/>
          <w:sz w:val="30"/>
          <w:szCs w:val="30"/>
        </w:rPr>
      </w:pPr>
      <w:r>
        <w:rPr>
          <w:rFonts w:hint="eastAsia" w:ascii="黑体" w:hAnsi="黑体" w:eastAsia="黑体"/>
          <w:snapToGrid w:val="0"/>
          <w:color w:val="000000" w:themeColor="text1"/>
          <w:kern w:val="21"/>
          <w:sz w:val="30"/>
          <w:szCs w:val="30"/>
        </w:rPr>
        <w:t>五、</w:t>
      </w:r>
      <w:bookmarkStart w:id="3" w:name="_Hlk54167917"/>
      <w:r>
        <w:rPr>
          <w:rFonts w:hint="eastAsia" w:ascii="黑体" w:hAnsi="黑体" w:eastAsia="黑体"/>
          <w:snapToGrid w:val="0"/>
          <w:color w:val="000000" w:themeColor="text1"/>
          <w:kern w:val="21"/>
          <w:sz w:val="30"/>
          <w:szCs w:val="30"/>
        </w:rPr>
        <w:t>环境保护措施监督检查清单</w:t>
      </w:r>
      <w:bookmarkEnd w:id="3"/>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319"/>
        <w:gridCol w:w="1278"/>
        <w:gridCol w:w="2779"/>
        <w:gridCol w:w="27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tcBorders>
              <w:tl2br w:val="single" w:color="auto" w:sz="4" w:space="0"/>
            </w:tcBorders>
            <w:noWrap/>
          </w:tcPr>
          <w:p>
            <w:pPr>
              <w:spacing w:line="240" w:lineRule="auto"/>
              <w:ind w:firstLine="0" w:firstLineChars="0"/>
              <w:jc w:val="right"/>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内容</w:t>
            </w:r>
          </w:p>
          <w:p>
            <w:pPr>
              <w:spacing w:line="240" w:lineRule="auto"/>
              <w:ind w:firstLine="0" w:firstLineChars="0"/>
              <w:jc w:val="center"/>
              <w:rPr>
                <w:rFonts w:ascii="宋体" w:hAnsi="宋体" w:cs="宋体"/>
                <w:color w:val="000000" w:themeColor="text1"/>
                <w:kern w:val="21"/>
                <w:sz w:val="21"/>
                <w:szCs w:val="21"/>
                <w:highlight w:val="none"/>
              </w:rPr>
            </w:pPr>
          </w:p>
          <w:p>
            <w:pPr>
              <w:spacing w:line="240" w:lineRule="auto"/>
              <w:ind w:firstLine="0" w:firstLineChars="0"/>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要素</w:t>
            </w:r>
          </w:p>
        </w:tc>
        <w:tc>
          <w:tcPr>
            <w:tcW w:w="737" w:type="pc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排放口(编号、名称)/污染源</w:t>
            </w:r>
          </w:p>
        </w:tc>
        <w:tc>
          <w:tcPr>
            <w:tcW w:w="714" w:type="pc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污染物项目</w:t>
            </w:r>
          </w:p>
        </w:tc>
        <w:tc>
          <w:tcPr>
            <w:tcW w:w="1553" w:type="pc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环境保护措施</w:t>
            </w:r>
          </w:p>
        </w:tc>
        <w:tc>
          <w:tcPr>
            <w:tcW w:w="1546" w:type="pc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restar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大气环境</w:t>
            </w:r>
          </w:p>
        </w:tc>
        <w:tc>
          <w:tcPr>
            <w:tcW w:w="737"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DA001/</w:t>
            </w:r>
            <w:r>
              <w:rPr>
                <w:rFonts w:hint="eastAsia"/>
                <w:color w:val="000000" w:themeColor="text1"/>
                <w:kern w:val="0"/>
                <w:sz w:val="21"/>
                <w:szCs w:val="21"/>
                <w:highlight w:val="none"/>
                <w:lang w:bidi="ar"/>
              </w:rPr>
              <w:t>筛分、烘干滚筒</w:t>
            </w:r>
            <w:r>
              <w:rPr>
                <w:snapToGrid w:val="0"/>
                <w:color w:val="000000" w:themeColor="text1"/>
                <w:kern w:val="0"/>
                <w:sz w:val="21"/>
                <w:szCs w:val="21"/>
                <w:highlight w:val="none"/>
              </w:rPr>
              <w:t>排气筒</w:t>
            </w:r>
          </w:p>
        </w:tc>
        <w:tc>
          <w:tcPr>
            <w:tcW w:w="714"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sz w:val="21"/>
                <w:szCs w:val="21"/>
                <w:highlight w:val="none"/>
              </w:rPr>
              <w:t>颗粒物、二氧化硫、氮氧化物</w:t>
            </w:r>
            <w:r>
              <w:rPr>
                <w:rFonts w:hint="eastAsia"/>
                <w:color w:val="000000" w:themeColor="text1"/>
                <w:sz w:val="21"/>
                <w:szCs w:val="21"/>
                <w:highlight w:val="none"/>
              </w:rPr>
              <w:t>、烟气黑度</w:t>
            </w:r>
          </w:p>
        </w:tc>
        <w:tc>
          <w:tcPr>
            <w:tcW w:w="1553" w:type="pct"/>
            <w:noWrap/>
            <w:vAlign w:val="center"/>
          </w:tcPr>
          <w:p>
            <w:pPr>
              <w:spacing w:line="240" w:lineRule="auto"/>
              <w:ind w:firstLine="0" w:firstLineChars="0"/>
              <w:jc w:val="center"/>
              <w:rPr>
                <w:color w:val="000000" w:themeColor="text1"/>
                <w:kern w:val="21"/>
                <w:sz w:val="21"/>
                <w:szCs w:val="21"/>
                <w:highlight w:val="none"/>
              </w:rPr>
            </w:pPr>
            <w:r>
              <w:rPr>
                <w:rFonts w:hint="eastAsia"/>
                <w:color w:val="000000" w:themeColor="text1"/>
                <w:sz w:val="21"/>
                <w:szCs w:val="21"/>
                <w:highlight w:val="none"/>
              </w:rPr>
              <w:t>烘干滚筒设置低氮燃烧器，筛分粉尘和</w:t>
            </w:r>
            <w:r>
              <w:rPr>
                <w:rFonts w:hint="eastAsia"/>
                <w:color w:val="000000" w:themeColor="text1"/>
                <w:sz w:val="21"/>
                <w:szCs w:val="21"/>
                <w:highlight w:val="none"/>
                <w:lang w:val="en-US" w:eastAsia="zh-CN"/>
              </w:rPr>
              <w:t>预热</w:t>
            </w:r>
            <w:r>
              <w:rPr>
                <w:rFonts w:hint="eastAsia"/>
                <w:color w:val="000000" w:themeColor="text1"/>
                <w:sz w:val="21"/>
                <w:szCs w:val="21"/>
                <w:highlight w:val="none"/>
              </w:rPr>
              <w:t>废气一起引入</w:t>
            </w:r>
            <w:r>
              <w:rPr>
                <w:color w:val="000000" w:themeColor="text1"/>
                <w:sz w:val="21"/>
                <w:szCs w:val="21"/>
                <w:highlight w:val="none"/>
              </w:rPr>
              <w:t>布袋除尘器</w:t>
            </w:r>
            <w:r>
              <w:rPr>
                <w:rFonts w:hint="eastAsia"/>
                <w:color w:val="000000" w:themeColor="text1"/>
                <w:sz w:val="21"/>
                <w:szCs w:val="21"/>
                <w:highlight w:val="none"/>
              </w:rPr>
              <w:t>处理，净化后经</w:t>
            </w:r>
            <w:r>
              <w:rPr>
                <w:bCs/>
                <w:color w:val="000000" w:themeColor="text1"/>
                <w:sz w:val="21"/>
                <w:szCs w:val="21"/>
                <w:highlight w:val="none"/>
              </w:rPr>
              <w:t>1</w:t>
            </w:r>
            <w:r>
              <w:rPr>
                <w:rFonts w:hint="eastAsia"/>
                <w:bCs/>
                <w:color w:val="000000" w:themeColor="text1"/>
                <w:sz w:val="21"/>
                <w:szCs w:val="21"/>
                <w:highlight w:val="none"/>
              </w:rPr>
              <w:t>根15m高排气筒（</w:t>
            </w:r>
            <w:r>
              <w:rPr>
                <w:color w:val="000000" w:themeColor="text1"/>
                <w:kern w:val="21"/>
                <w:sz w:val="21"/>
                <w:szCs w:val="21"/>
                <w:highlight w:val="none"/>
              </w:rPr>
              <w:t>DA001</w:t>
            </w:r>
            <w:r>
              <w:rPr>
                <w:rFonts w:hint="eastAsia"/>
                <w:bCs/>
                <w:color w:val="000000" w:themeColor="text1"/>
                <w:sz w:val="21"/>
                <w:szCs w:val="21"/>
                <w:highlight w:val="none"/>
              </w:rPr>
              <w:t>）排放</w:t>
            </w:r>
          </w:p>
        </w:tc>
        <w:tc>
          <w:tcPr>
            <w:tcW w:w="1546"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sz w:val="21"/>
                <w:szCs w:val="21"/>
                <w:highlight w:val="none"/>
              </w:rPr>
              <w:t>《工业炉窑大气污染物排放标准》（DB13/1640-2012）</w:t>
            </w:r>
            <w:r>
              <w:rPr>
                <w:rFonts w:hint="eastAsia"/>
                <w:color w:val="000000" w:themeColor="text1"/>
                <w:sz w:val="21"/>
                <w:szCs w:val="21"/>
                <w:highlight w:val="none"/>
              </w:rPr>
              <w:t>及《承德市工业炉窑综合治理实施方案》承环办【2020】72号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ign w:val="center"/>
          </w:tcPr>
          <w:p>
            <w:pPr>
              <w:spacing w:line="240" w:lineRule="auto"/>
              <w:ind w:firstLine="0" w:firstLineChars="0"/>
              <w:jc w:val="center"/>
              <w:rPr>
                <w:rFonts w:ascii="宋体" w:hAnsi="宋体" w:cs="宋体"/>
                <w:color w:val="000000" w:themeColor="text1"/>
                <w:kern w:val="21"/>
                <w:sz w:val="21"/>
                <w:szCs w:val="21"/>
                <w:highlight w:val="none"/>
              </w:rPr>
            </w:pPr>
          </w:p>
        </w:tc>
        <w:tc>
          <w:tcPr>
            <w:tcW w:w="737" w:type="pct"/>
            <w:vMerge w:val="restart"/>
            <w:noWrap/>
            <w:vAlign w:val="center"/>
          </w:tcPr>
          <w:p>
            <w:pPr>
              <w:spacing w:line="240" w:lineRule="auto"/>
              <w:ind w:firstLine="0" w:firstLineChars="0"/>
              <w:jc w:val="center"/>
              <w:rPr>
                <w:color w:val="000000" w:themeColor="text1"/>
                <w:kern w:val="21"/>
                <w:sz w:val="21"/>
                <w:szCs w:val="21"/>
                <w:highlight w:val="none"/>
              </w:rPr>
            </w:pPr>
            <w:r>
              <w:rPr>
                <w:bCs/>
                <w:color w:val="000000" w:themeColor="text1"/>
                <w:sz w:val="21"/>
                <w:szCs w:val="21"/>
                <w:highlight w:val="none"/>
              </w:rPr>
              <w:t>DA00</w:t>
            </w:r>
            <w:r>
              <w:rPr>
                <w:rFonts w:hint="eastAsia"/>
                <w:bCs/>
                <w:color w:val="000000" w:themeColor="text1"/>
                <w:sz w:val="21"/>
                <w:szCs w:val="21"/>
                <w:highlight w:val="none"/>
              </w:rPr>
              <w:t>2/</w:t>
            </w:r>
            <w:r>
              <w:rPr>
                <w:rFonts w:hint="eastAsia" w:ascii="宋体" w:hAnsi="宋体" w:cs="宋体"/>
                <w:color w:val="000000" w:themeColor="text1"/>
                <w:kern w:val="0"/>
                <w:sz w:val="21"/>
                <w:szCs w:val="21"/>
                <w:highlight w:val="none"/>
                <w:lang w:bidi="ar"/>
              </w:rPr>
              <w:t>沥青储罐</w:t>
            </w:r>
            <w:r>
              <w:rPr>
                <w:rFonts w:hint="eastAsia" w:ascii="宋体" w:hAnsi="宋体" w:cs="宋体"/>
                <w:color w:val="000000" w:themeColor="text1"/>
                <w:kern w:val="0"/>
                <w:sz w:val="21"/>
                <w:szCs w:val="21"/>
                <w:highlight w:val="none"/>
                <w:lang w:val="en-US" w:eastAsia="zh-CN" w:bidi="ar"/>
              </w:rPr>
              <w:t>及卸料池</w:t>
            </w:r>
            <w:r>
              <w:rPr>
                <w:rFonts w:hint="eastAsia" w:ascii="宋体" w:hAnsi="宋体" w:cs="宋体"/>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val="en-US" w:eastAsia="zh-CN" w:bidi="ar"/>
              </w:rPr>
              <w:t>搅拌机</w:t>
            </w:r>
            <w:r>
              <w:rPr>
                <w:rFonts w:hint="eastAsia" w:ascii="宋体" w:hAnsi="宋体" w:cs="宋体"/>
                <w:color w:val="000000" w:themeColor="text1"/>
                <w:kern w:val="0"/>
                <w:sz w:val="21"/>
                <w:szCs w:val="21"/>
                <w:highlight w:val="none"/>
                <w:lang w:bidi="ar"/>
              </w:rPr>
              <w:t>呼吸口及卸料口</w:t>
            </w:r>
            <w:r>
              <w:rPr>
                <w:snapToGrid w:val="0"/>
                <w:color w:val="000000" w:themeColor="text1"/>
                <w:kern w:val="0"/>
                <w:sz w:val="21"/>
                <w:szCs w:val="21"/>
                <w:highlight w:val="none"/>
              </w:rPr>
              <w:t>排气筒</w:t>
            </w:r>
          </w:p>
        </w:tc>
        <w:tc>
          <w:tcPr>
            <w:tcW w:w="714" w:type="pct"/>
            <w:noWrap/>
            <w:vAlign w:val="center"/>
          </w:tcPr>
          <w:p>
            <w:pPr>
              <w:spacing w:line="240" w:lineRule="auto"/>
              <w:ind w:firstLine="0" w:firstLineChars="0"/>
              <w:jc w:val="center"/>
              <w:rPr>
                <w:color w:val="000000" w:themeColor="text1"/>
                <w:sz w:val="21"/>
                <w:szCs w:val="21"/>
                <w:highlight w:val="none"/>
              </w:rPr>
            </w:pPr>
            <w:r>
              <w:rPr>
                <w:rFonts w:hint="eastAsia" w:hAnsi="宋体"/>
                <w:color w:val="000000" w:themeColor="text1"/>
                <w:sz w:val="21"/>
                <w:szCs w:val="21"/>
                <w:highlight w:val="none"/>
              </w:rPr>
              <w:t>颗粒物、沥青烟</w:t>
            </w:r>
            <w:r>
              <w:rPr>
                <w:rFonts w:hint="eastAsia"/>
                <w:color w:val="000000" w:themeColor="text1"/>
                <w:sz w:val="21"/>
                <w:szCs w:val="21"/>
                <w:highlight w:val="none"/>
              </w:rPr>
              <w:t>、</w:t>
            </w:r>
            <w:r>
              <w:rPr>
                <w:rFonts w:hint="eastAsia" w:hAnsi="宋体"/>
                <w:color w:val="000000" w:themeColor="text1"/>
                <w:sz w:val="21"/>
                <w:szCs w:val="21"/>
                <w:highlight w:val="none"/>
              </w:rPr>
              <w:t>苯并[a]芘</w:t>
            </w:r>
          </w:p>
        </w:tc>
        <w:tc>
          <w:tcPr>
            <w:tcW w:w="1553" w:type="pct"/>
            <w:vMerge w:val="restar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lang w:val="en-US" w:eastAsia="zh-CN"/>
              </w:rPr>
              <w:t>沥青</w:t>
            </w:r>
            <w:r>
              <w:rPr>
                <w:rFonts w:hint="eastAsia"/>
                <w:color w:val="000000" w:themeColor="text1"/>
                <w:sz w:val="21"/>
                <w:szCs w:val="21"/>
                <w:highlight w:val="none"/>
              </w:rPr>
              <w:t>储罐</w:t>
            </w:r>
            <w:r>
              <w:rPr>
                <w:rFonts w:hint="eastAsia"/>
                <w:color w:val="000000" w:themeColor="text1"/>
                <w:sz w:val="21"/>
                <w:szCs w:val="21"/>
                <w:highlight w:val="none"/>
                <w:lang w:val="en-US" w:eastAsia="zh-CN"/>
              </w:rPr>
              <w:t>及卸料池</w:t>
            </w:r>
            <w:r>
              <w:rPr>
                <w:rFonts w:hint="eastAsia"/>
                <w:color w:val="000000" w:themeColor="text1"/>
                <w:sz w:val="21"/>
                <w:szCs w:val="21"/>
                <w:highlight w:val="none"/>
              </w:rPr>
              <w:t>呼吸口利用管道将废气引入“两级活性炭吸附”装置；搅拌</w:t>
            </w:r>
            <w:r>
              <w:rPr>
                <w:rFonts w:hint="eastAsia"/>
                <w:color w:val="000000" w:themeColor="text1"/>
                <w:sz w:val="21"/>
                <w:szCs w:val="21"/>
                <w:highlight w:val="none"/>
                <w:lang w:val="en-US" w:eastAsia="zh-CN"/>
              </w:rPr>
              <w:t>机</w:t>
            </w:r>
            <w:r>
              <w:rPr>
                <w:rFonts w:hint="eastAsia"/>
                <w:color w:val="000000" w:themeColor="text1"/>
                <w:sz w:val="21"/>
                <w:szCs w:val="21"/>
                <w:highlight w:val="none"/>
              </w:rPr>
              <w:t>入料搅拌过程会有部分粉尘产生，因此搅拌</w:t>
            </w:r>
            <w:r>
              <w:rPr>
                <w:rFonts w:hint="eastAsia"/>
                <w:color w:val="000000" w:themeColor="text1"/>
                <w:sz w:val="21"/>
                <w:szCs w:val="21"/>
                <w:highlight w:val="none"/>
                <w:lang w:val="en-US" w:eastAsia="zh-CN"/>
              </w:rPr>
              <w:t>机</w:t>
            </w:r>
            <w:r>
              <w:rPr>
                <w:rFonts w:hint="eastAsia"/>
                <w:color w:val="000000" w:themeColor="text1"/>
                <w:sz w:val="21"/>
                <w:szCs w:val="21"/>
                <w:highlight w:val="none"/>
              </w:rPr>
              <w:t>卸料口设置侧吸式集气罩与搅拌</w:t>
            </w:r>
            <w:r>
              <w:rPr>
                <w:rFonts w:hint="eastAsia"/>
                <w:color w:val="000000" w:themeColor="text1"/>
                <w:sz w:val="21"/>
                <w:szCs w:val="21"/>
                <w:highlight w:val="none"/>
                <w:lang w:val="en-US" w:eastAsia="zh-CN"/>
              </w:rPr>
              <w:t>机</w:t>
            </w:r>
            <w:r>
              <w:rPr>
                <w:rFonts w:hint="eastAsia"/>
                <w:color w:val="000000" w:themeColor="text1"/>
                <w:sz w:val="21"/>
                <w:szCs w:val="21"/>
                <w:highlight w:val="none"/>
              </w:rPr>
              <w:t>呼吸口废气一同接入一台布袋除尘器，搅拌</w:t>
            </w:r>
            <w:r>
              <w:rPr>
                <w:rFonts w:hint="eastAsia"/>
                <w:color w:val="000000" w:themeColor="text1"/>
                <w:sz w:val="21"/>
                <w:szCs w:val="21"/>
                <w:highlight w:val="none"/>
                <w:lang w:val="en-US" w:eastAsia="zh-CN"/>
              </w:rPr>
              <w:t>机</w:t>
            </w:r>
            <w:r>
              <w:rPr>
                <w:rFonts w:hint="eastAsia"/>
                <w:color w:val="000000" w:themeColor="text1"/>
                <w:sz w:val="21"/>
                <w:szCs w:val="21"/>
                <w:highlight w:val="none"/>
              </w:rPr>
              <w:t>卸料口及呼吸口废气经布袋除尘器处理后接入“两级活性炭吸附”装置；以上废气经净化后由一根17m高排气筒</w:t>
            </w:r>
            <w:r>
              <w:rPr>
                <w:rFonts w:hint="eastAsia"/>
                <w:bCs/>
                <w:color w:val="000000" w:themeColor="text1"/>
                <w:sz w:val="21"/>
                <w:szCs w:val="21"/>
                <w:highlight w:val="none"/>
              </w:rPr>
              <w:t>（</w:t>
            </w:r>
            <w:r>
              <w:rPr>
                <w:color w:val="000000" w:themeColor="text1"/>
                <w:kern w:val="21"/>
                <w:sz w:val="21"/>
                <w:szCs w:val="21"/>
                <w:highlight w:val="none"/>
              </w:rPr>
              <w:t>DA00</w:t>
            </w:r>
            <w:r>
              <w:rPr>
                <w:rFonts w:hint="eastAsia"/>
                <w:color w:val="000000" w:themeColor="text1"/>
                <w:kern w:val="21"/>
                <w:sz w:val="21"/>
                <w:szCs w:val="21"/>
                <w:highlight w:val="none"/>
              </w:rPr>
              <w:t>2</w:t>
            </w:r>
            <w:r>
              <w:rPr>
                <w:rFonts w:hint="eastAsia"/>
                <w:bCs/>
                <w:color w:val="000000" w:themeColor="text1"/>
                <w:sz w:val="21"/>
                <w:szCs w:val="21"/>
                <w:highlight w:val="none"/>
              </w:rPr>
              <w:t>）</w:t>
            </w:r>
            <w:r>
              <w:rPr>
                <w:rFonts w:hint="eastAsia"/>
                <w:color w:val="000000" w:themeColor="text1"/>
                <w:sz w:val="21"/>
                <w:szCs w:val="21"/>
                <w:highlight w:val="none"/>
              </w:rPr>
              <w:t>排放</w:t>
            </w:r>
          </w:p>
        </w:tc>
        <w:tc>
          <w:tcPr>
            <w:tcW w:w="1546" w:type="pct"/>
            <w:noWrap/>
            <w:vAlign w:val="center"/>
          </w:tcPr>
          <w:p>
            <w:pPr>
              <w:spacing w:line="240" w:lineRule="auto"/>
              <w:ind w:firstLine="0" w:firstLineChars="0"/>
              <w:jc w:val="center"/>
              <w:rPr>
                <w:color w:val="000000" w:themeColor="text1"/>
                <w:sz w:val="21"/>
                <w:szCs w:val="21"/>
                <w:highlight w:val="none"/>
              </w:rPr>
            </w:pPr>
            <w:r>
              <w:rPr>
                <w:rFonts w:hAnsi="宋体"/>
                <w:color w:val="000000" w:themeColor="text1"/>
                <w:sz w:val="21"/>
                <w:szCs w:val="21"/>
                <w:highlight w:val="none"/>
              </w:rPr>
              <w:t>《大气污染物综合排放标准》（GB16297-1996）</w:t>
            </w:r>
            <w:r>
              <w:rPr>
                <w:rFonts w:hint="eastAsia" w:hAnsi="宋体"/>
                <w:color w:val="000000" w:themeColor="text1"/>
                <w:sz w:val="21"/>
                <w:szCs w:val="21"/>
                <w:highlight w:val="none"/>
              </w:rPr>
              <w:t>表2中沥颗粒物、青烟、苯并[a]芘的最高允许排放浓度及最高允许排放速率二级标准要求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ign w:val="center"/>
          </w:tcPr>
          <w:p>
            <w:pPr>
              <w:spacing w:line="240" w:lineRule="auto"/>
              <w:ind w:firstLine="0" w:firstLineChars="0"/>
              <w:jc w:val="center"/>
              <w:rPr>
                <w:rFonts w:ascii="宋体" w:hAnsi="宋体" w:cs="宋体"/>
                <w:color w:val="000000" w:themeColor="text1"/>
                <w:kern w:val="21"/>
                <w:sz w:val="21"/>
                <w:szCs w:val="21"/>
                <w:highlight w:val="none"/>
              </w:rPr>
            </w:pPr>
          </w:p>
        </w:tc>
        <w:tc>
          <w:tcPr>
            <w:tcW w:w="737" w:type="pct"/>
            <w:vMerge w:val="continue"/>
            <w:noWrap/>
            <w:vAlign w:val="center"/>
          </w:tcPr>
          <w:p>
            <w:pPr>
              <w:spacing w:line="240" w:lineRule="auto"/>
              <w:ind w:firstLine="0" w:firstLineChars="0"/>
              <w:jc w:val="center"/>
              <w:rPr>
                <w:bCs/>
                <w:color w:val="000000" w:themeColor="text1"/>
                <w:sz w:val="21"/>
                <w:szCs w:val="21"/>
                <w:highlight w:val="none"/>
              </w:rPr>
            </w:pPr>
          </w:p>
        </w:tc>
        <w:tc>
          <w:tcPr>
            <w:tcW w:w="714" w:type="pct"/>
            <w:noWrap/>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非甲烷总烃</w:t>
            </w:r>
          </w:p>
        </w:tc>
        <w:tc>
          <w:tcPr>
            <w:tcW w:w="1553" w:type="pct"/>
            <w:vMerge w:val="continue"/>
            <w:noWrap/>
            <w:vAlign w:val="center"/>
          </w:tcPr>
          <w:p>
            <w:pPr>
              <w:spacing w:line="240" w:lineRule="auto"/>
              <w:ind w:firstLine="0" w:firstLineChars="0"/>
              <w:jc w:val="center"/>
              <w:rPr>
                <w:color w:val="000000" w:themeColor="text1"/>
                <w:sz w:val="21"/>
                <w:szCs w:val="21"/>
                <w:highlight w:val="none"/>
              </w:rPr>
            </w:pPr>
          </w:p>
        </w:tc>
        <w:tc>
          <w:tcPr>
            <w:tcW w:w="1546" w:type="pct"/>
            <w:noWrap/>
            <w:vAlign w:val="center"/>
          </w:tcPr>
          <w:p>
            <w:pPr>
              <w:spacing w:line="240" w:lineRule="auto"/>
              <w:ind w:firstLine="0" w:firstLineChars="0"/>
              <w:jc w:val="center"/>
              <w:rPr>
                <w:rFonts w:hAnsi="宋体"/>
                <w:color w:val="000000" w:themeColor="text1"/>
                <w:sz w:val="21"/>
                <w:szCs w:val="21"/>
                <w:highlight w:val="none"/>
              </w:rPr>
            </w:pPr>
            <w:r>
              <w:rPr>
                <w:rFonts w:hint="eastAsia" w:hAnsi="宋体"/>
                <w:color w:val="000000" w:themeColor="text1"/>
                <w:sz w:val="21"/>
                <w:szCs w:val="21"/>
                <w:highlight w:val="none"/>
              </w:rPr>
              <w:t>《工业企业挥发性有机物排放控制标准》（DB13/2322-2016）表1中其他行业最高允许排放浓度限值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ign w:val="center"/>
          </w:tcPr>
          <w:p>
            <w:pPr>
              <w:spacing w:line="240" w:lineRule="auto"/>
              <w:ind w:firstLine="0" w:firstLineChars="0"/>
              <w:jc w:val="center"/>
              <w:rPr>
                <w:rFonts w:ascii="宋体" w:hAnsi="宋体" w:cs="宋体"/>
                <w:color w:val="000000" w:themeColor="text1"/>
                <w:kern w:val="21"/>
                <w:sz w:val="21"/>
                <w:szCs w:val="21"/>
                <w:highlight w:val="none"/>
              </w:rPr>
            </w:pPr>
          </w:p>
        </w:tc>
        <w:tc>
          <w:tcPr>
            <w:tcW w:w="737"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DA00</w:t>
            </w:r>
            <w:r>
              <w:rPr>
                <w:rFonts w:hint="eastAsia"/>
                <w:color w:val="000000" w:themeColor="text1"/>
                <w:kern w:val="21"/>
                <w:sz w:val="21"/>
                <w:szCs w:val="21"/>
                <w:highlight w:val="none"/>
              </w:rPr>
              <w:t>3</w:t>
            </w:r>
            <w:r>
              <w:rPr>
                <w:color w:val="000000" w:themeColor="text1"/>
                <w:kern w:val="21"/>
                <w:sz w:val="21"/>
                <w:szCs w:val="21"/>
                <w:highlight w:val="none"/>
              </w:rPr>
              <w:t>/导热油炉</w:t>
            </w:r>
            <w:r>
              <w:rPr>
                <w:snapToGrid w:val="0"/>
                <w:color w:val="000000" w:themeColor="text1"/>
                <w:kern w:val="0"/>
                <w:sz w:val="21"/>
                <w:szCs w:val="21"/>
                <w:highlight w:val="none"/>
              </w:rPr>
              <w:t>排气筒</w:t>
            </w:r>
          </w:p>
        </w:tc>
        <w:tc>
          <w:tcPr>
            <w:tcW w:w="714" w:type="pct"/>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颗粒物、二氧化硫、氮氧化物</w:t>
            </w:r>
            <w:r>
              <w:rPr>
                <w:rFonts w:hint="eastAsia"/>
                <w:color w:val="000000" w:themeColor="text1"/>
                <w:sz w:val="21"/>
                <w:szCs w:val="21"/>
                <w:highlight w:val="none"/>
              </w:rPr>
              <w:t>、林格曼黑度</w:t>
            </w:r>
          </w:p>
        </w:tc>
        <w:tc>
          <w:tcPr>
            <w:tcW w:w="1553" w:type="pct"/>
            <w:noWrap/>
            <w:vAlign w:val="center"/>
          </w:tcPr>
          <w:p>
            <w:pPr>
              <w:spacing w:line="240" w:lineRule="auto"/>
              <w:ind w:firstLine="0" w:firstLineChars="0"/>
              <w:jc w:val="center"/>
              <w:rPr>
                <w:color w:val="000000" w:themeColor="text1"/>
                <w:sz w:val="21"/>
                <w:szCs w:val="21"/>
                <w:highlight w:val="none"/>
              </w:rPr>
            </w:pPr>
            <w:r>
              <w:rPr>
                <w:rFonts w:hint="eastAsia"/>
                <w:color w:val="000000" w:themeColor="text1"/>
                <w:sz w:val="21"/>
                <w:szCs w:val="21"/>
                <w:highlight w:val="none"/>
              </w:rPr>
              <w:t>导热油炉设置低氮燃烧器，燃烧废气经</w:t>
            </w:r>
            <w:r>
              <w:rPr>
                <w:bCs/>
                <w:color w:val="000000" w:themeColor="text1"/>
                <w:sz w:val="21"/>
                <w:szCs w:val="21"/>
                <w:highlight w:val="none"/>
              </w:rPr>
              <w:t>1</w:t>
            </w:r>
            <w:r>
              <w:rPr>
                <w:rFonts w:hint="eastAsia"/>
                <w:bCs/>
                <w:color w:val="000000" w:themeColor="text1"/>
                <w:sz w:val="21"/>
                <w:szCs w:val="21"/>
                <w:highlight w:val="none"/>
              </w:rPr>
              <w:t>根15m高排气筒（</w:t>
            </w:r>
            <w:r>
              <w:rPr>
                <w:color w:val="000000" w:themeColor="text1"/>
                <w:kern w:val="21"/>
                <w:sz w:val="21"/>
                <w:szCs w:val="21"/>
                <w:highlight w:val="none"/>
              </w:rPr>
              <w:t>DA00</w:t>
            </w:r>
            <w:r>
              <w:rPr>
                <w:rFonts w:hint="eastAsia"/>
                <w:color w:val="000000" w:themeColor="text1"/>
                <w:kern w:val="21"/>
                <w:sz w:val="21"/>
                <w:szCs w:val="21"/>
                <w:highlight w:val="none"/>
              </w:rPr>
              <w:t>3</w:t>
            </w:r>
            <w:r>
              <w:rPr>
                <w:rFonts w:hint="eastAsia"/>
                <w:bCs/>
                <w:color w:val="000000" w:themeColor="text1"/>
                <w:sz w:val="21"/>
                <w:szCs w:val="21"/>
                <w:highlight w:val="none"/>
              </w:rPr>
              <w:t>）排放</w:t>
            </w:r>
          </w:p>
        </w:tc>
        <w:tc>
          <w:tcPr>
            <w:tcW w:w="1546" w:type="pct"/>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《锅炉大气污染物排放标准》（DB13/5161-2020）表1大气污染物排放限值中燃气锅炉标准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ign w:val="center"/>
          </w:tcPr>
          <w:p>
            <w:pPr>
              <w:spacing w:line="240" w:lineRule="auto"/>
              <w:ind w:firstLine="0" w:firstLineChars="0"/>
              <w:jc w:val="center"/>
              <w:rPr>
                <w:rFonts w:ascii="宋体" w:hAnsi="宋体" w:cs="宋体"/>
                <w:color w:val="000000" w:themeColor="text1"/>
                <w:kern w:val="21"/>
                <w:sz w:val="21"/>
                <w:szCs w:val="21"/>
                <w:highlight w:val="none"/>
              </w:rPr>
            </w:pPr>
          </w:p>
        </w:tc>
        <w:tc>
          <w:tcPr>
            <w:tcW w:w="737"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DA00</w:t>
            </w:r>
            <w:r>
              <w:rPr>
                <w:rFonts w:hint="eastAsia"/>
                <w:color w:val="000000" w:themeColor="text1"/>
                <w:kern w:val="21"/>
                <w:sz w:val="21"/>
                <w:szCs w:val="21"/>
                <w:highlight w:val="none"/>
              </w:rPr>
              <w:t>4</w:t>
            </w:r>
            <w:r>
              <w:rPr>
                <w:color w:val="000000" w:themeColor="text1"/>
                <w:kern w:val="21"/>
                <w:sz w:val="21"/>
                <w:szCs w:val="21"/>
                <w:highlight w:val="none"/>
              </w:rPr>
              <w:t>/</w:t>
            </w:r>
            <w:r>
              <w:rPr>
                <w:rFonts w:hint="eastAsia"/>
                <w:color w:val="000000" w:themeColor="text1"/>
                <w:kern w:val="21"/>
                <w:sz w:val="21"/>
                <w:szCs w:val="21"/>
                <w:highlight w:val="none"/>
              </w:rPr>
              <w:t>矿粉筒仓</w:t>
            </w:r>
            <w:r>
              <w:rPr>
                <w:color w:val="000000" w:themeColor="text1"/>
                <w:kern w:val="21"/>
                <w:sz w:val="21"/>
                <w:szCs w:val="21"/>
                <w:highlight w:val="none"/>
              </w:rPr>
              <w:t>单机布袋除尘器排放口</w:t>
            </w:r>
          </w:p>
        </w:tc>
        <w:tc>
          <w:tcPr>
            <w:tcW w:w="714"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颗粒物</w:t>
            </w:r>
          </w:p>
        </w:tc>
        <w:tc>
          <w:tcPr>
            <w:tcW w:w="1553" w:type="pct"/>
            <w:noWrap/>
            <w:vAlign w:val="center"/>
          </w:tcPr>
          <w:p>
            <w:pPr>
              <w:spacing w:line="240" w:lineRule="auto"/>
              <w:ind w:firstLine="0" w:firstLineChars="0"/>
              <w:jc w:val="center"/>
              <w:rPr>
                <w:color w:val="000000" w:themeColor="text1"/>
                <w:kern w:val="21"/>
                <w:sz w:val="21"/>
                <w:szCs w:val="21"/>
                <w:highlight w:val="none"/>
              </w:rPr>
            </w:pPr>
            <w:r>
              <w:rPr>
                <w:rFonts w:hint="eastAsia"/>
                <w:color w:val="000000" w:themeColor="text1"/>
                <w:sz w:val="21"/>
                <w:szCs w:val="21"/>
                <w:highlight w:val="none"/>
              </w:rPr>
              <w:t>筒仓产生的废气经</w:t>
            </w:r>
            <w:r>
              <w:rPr>
                <w:color w:val="000000" w:themeColor="text1"/>
                <w:sz w:val="21"/>
                <w:szCs w:val="21"/>
                <w:highlight w:val="none"/>
              </w:rPr>
              <w:t>仓顶</w:t>
            </w:r>
            <w:r>
              <w:rPr>
                <w:rFonts w:hint="eastAsia"/>
                <w:color w:val="000000" w:themeColor="text1"/>
                <w:sz w:val="21"/>
                <w:szCs w:val="21"/>
                <w:highlight w:val="none"/>
              </w:rPr>
              <w:t>单机布袋</w:t>
            </w:r>
            <w:r>
              <w:rPr>
                <w:color w:val="000000" w:themeColor="text1"/>
                <w:sz w:val="21"/>
                <w:szCs w:val="21"/>
                <w:highlight w:val="none"/>
              </w:rPr>
              <w:t>除尘器</w:t>
            </w:r>
            <w:r>
              <w:rPr>
                <w:rFonts w:hint="eastAsia"/>
                <w:color w:val="000000" w:themeColor="text1"/>
                <w:sz w:val="21"/>
                <w:szCs w:val="21"/>
                <w:highlight w:val="none"/>
              </w:rPr>
              <w:t>处理后经17m高排气筒</w:t>
            </w:r>
            <w:r>
              <w:rPr>
                <w:rFonts w:hint="eastAsia"/>
                <w:bCs/>
                <w:color w:val="000000" w:themeColor="text1"/>
                <w:sz w:val="21"/>
                <w:szCs w:val="21"/>
                <w:highlight w:val="none"/>
              </w:rPr>
              <w:t>（</w:t>
            </w:r>
            <w:r>
              <w:rPr>
                <w:color w:val="000000" w:themeColor="text1"/>
                <w:kern w:val="21"/>
                <w:sz w:val="21"/>
                <w:szCs w:val="21"/>
                <w:highlight w:val="none"/>
              </w:rPr>
              <w:t>DA00</w:t>
            </w:r>
            <w:r>
              <w:rPr>
                <w:rFonts w:hint="eastAsia"/>
                <w:color w:val="000000" w:themeColor="text1"/>
                <w:kern w:val="21"/>
                <w:sz w:val="21"/>
                <w:szCs w:val="21"/>
                <w:highlight w:val="none"/>
              </w:rPr>
              <w:t>4</w:t>
            </w:r>
            <w:r>
              <w:rPr>
                <w:rFonts w:hint="eastAsia"/>
                <w:bCs/>
                <w:color w:val="000000" w:themeColor="text1"/>
                <w:sz w:val="21"/>
                <w:szCs w:val="21"/>
                <w:highlight w:val="none"/>
              </w:rPr>
              <w:t>）</w:t>
            </w:r>
            <w:r>
              <w:rPr>
                <w:rFonts w:hint="eastAsia"/>
                <w:color w:val="000000" w:themeColor="text1"/>
                <w:sz w:val="21"/>
                <w:szCs w:val="21"/>
                <w:highlight w:val="none"/>
              </w:rPr>
              <w:t>排放</w:t>
            </w:r>
          </w:p>
        </w:tc>
        <w:tc>
          <w:tcPr>
            <w:tcW w:w="1546" w:type="pc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Ansi="宋体"/>
                <w:color w:val="000000" w:themeColor="text1"/>
                <w:sz w:val="21"/>
                <w:szCs w:val="21"/>
                <w:highlight w:val="none"/>
              </w:rPr>
              <w:t>《大气污染物综合排放标准》（GB16297-1996）</w:t>
            </w:r>
            <w:r>
              <w:rPr>
                <w:rFonts w:hint="eastAsia" w:hAnsi="宋体"/>
                <w:color w:val="000000" w:themeColor="text1"/>
                <w:sz w:val="21"/>
                <w:szCs w:val="21"/>
                <w:highlight w:val="none"/>
              </w:rPr>
              <w:t>表2中颗粒物最高允许排放浓度及最高允许排放速率二级标准要求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ign w:val="center"/>
          </w:tcPr>
          <w:p>
            <w:pPr>
              <w:spacing w:line="240" w:lineRule="auto"/>
              <w:ind w:firstLine="0" w:firstLineChars="0"/>
              <w:jc w:val="center"/>
              <w:rPr>
                <w:rFonts w:ascii="宋体" w:hAnsi="宋体" w:cs="宋体"/>
                <w:color w:val="000000" w:themeColor="text1"/>
                <w:kern w:val="21"/>
                <w:sz w:val="21"/>
                <w:szCs w:val="21"/>
                <w:highlight w:val="none"/>
              </w:rPr>
            </w:pPr>
          </w:p>
        </w:tc>
        <w:tc>
          <w:tcPr>
            <w:tcW w:w="737" w:type="pct"/>
            <w:noWrap/>
            <w:vAlign w:val="center"/>
          </w:tcPr>
          <w:p>
            <w:pPr>
              <w:spacing w:line="240" w:lineRule="auto"/>
              <w:ind w:firstLine="0" w:firstLineChars="0"/>
              <w:jc w:val="center"/>
              <w:rPr>
                <w:color w:val="000000" w:themeColor="text1"/>
                <w:kern w:val="21"/>
                <w:sz w:val="21"/>
                <w:szCs w:val="21"/>
                <w:highlight w:val="none"/>
              </w:rPr>
            </w:pPr>
            <w:r>
              <w:rPr>
                <w:rFonts w:hint="eastAsia"/>
                <w:color w:val="000000" w:themeColor="text1"/>
                <w:sz w:val="21"/>
                <w:szCs w:val="21"/>
                <w:highlight w:val="none"/>
              </w:rPr>
              <w:t>入料仓</w:t>
            </w:r>
          </w:p>
        </w:tc>
        <w:tc>
          <w:tcPr>
            <w:tcW w:w="714"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颗粒物</w:t>
            </w:r>
          </w:p>
        </w:tc>
        <w:tc>
          <w:tcPr>
            <w:tcW w:w="1553" w:type="pct"/>
            <w:noWrap/>
            <w:vAlign w:val="center"/>
          </w:tcPr>
          <w:p>
            <w:pPr>
              <w:spacing w:line="240" w:lineRule="auto"/>
              <w:ind w:right="-72" w:rightChars="-30" w:firstLine="0" w:firstLineChars="0"/>
              <w:jc w:val="center"/>
              <w:rPr>
                <w:color w:val="000000" w:themeColor="text1"/>
                <w:kern w:val="21"/>
                <w:sz w:val="21"/>
                <w:szCs w:val="21"/>
                <w:highlight w:val="none"/>
              </w:rPr>
            </w:pPr>
            <w:r>
              <w:rPr>
                <w:rFonts w:hint="eastAsia"/>
                <w:color w:val="000000" w:themeColor="text1"/>
                <w:sz w:val="21"/>
                <w:szCs w:val="21"/>
                <w:highlight w:val="none"/>
              </w:rPr>
              <w:t>入料仓</w:t>
            </w:r>
            <w:r>
              <w:rPr>
                <w:rFonts w:hint="eastAsia"/>
                <w:bCs/>
                <w:color w:val="000000" w:themeColor="text1"/>
                <w:sz w:val="21"/>
                <w:szCs w:val="21"/>
                <w:highlight w:val="none"/>
              </w:rPr>
              <w:t>上方设置水喷淋抑尘装置、软帘封闭、运输皮带封闭</w:t>
            </w:r>
          </w:p>
        </w:tc>
        <w:tc>
          <w:tcPr>
            <w:tcW w:w="1546" w:type="pct"/>
            <w:vMerge w:val="restart"/>
            <w:noWrap/>
            <w:vAlign w:val="center"/>
          </w:tcPr>
          <w:p>
            <w:pPr>
              <w:spacing w:line="240" w:lineRule="auto"/>
              <w:ind w:firstLine="0" w:firstLineChars="0"/>
              <w:jc w:val="center"/>
              <w:rPr>
                <w:color w:val="000000" w:themeColor="text1"/>
                <w:sz w:val="21"/>
                <w:szCs w:val="21"/>
                <w:highlight w:val="none"/>
              </w:rPr>
            </w:pPr>
            <w:r>
              <w:rPr>
                <w:rFonts w:hAnsi="宋体"/>
                <w:color w:val="000000" w:themeColor="text1"/>
                <w:sz w:val="21"/>
                <w:szCs w:val="21"/>
                <w:highlight w:val="none"/>
              </w:rPr>
              <w:t>《大气污染物综合排放标准》（GB16297-1996）</w:t>
            </w:r>
            <w:r>
              <w:rPr>
                <w:rFonts w:hint="eastAsia" w:hAnsi="宋体"/>
                <w:color w:val="000000" w:themeColor="text1"/>
                <w:sz w:val="21"/>
                <w:szCs w:val="21"/>
                <w:highlight w:val="none"/>
              </w:rPr>
              <w:t>表2颗粒物</w:t>
            </w:r>
            <w:r>
              <w:rPr>
                <w:color w:val="000000" w:themeColor="text1"/>
                <w:sz w:val="21"/>
                <w:szCs w:val="21"/>
                <w:highlight w:val="none"/>
              </w:rPr>
              <w:t>无组织排放限值要求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ign w:val="center"/>
          </w:tcPr>
          <w:p>
            <w:pPr>
              <w:spacing w:line="240" w:lineRule="auto"/>
              <w:ind w:firstLine="0" w:firstLineChars="0"/>
              <w:jc w:val="center"/>
              <w:rPr>
                <w:rFonts w:ascii="宋体" w:hAnsi="宋体" w:cs="宋体"/>
                <w:color w:val="000000" w:themeColor="text1"/>
                <w:kern w:val="21"/>
                <w:sz w:val="21"/>
                <w:szCs w:val="21"/>
                <w:highlight w:val="none"/>
              </w:rPr>
            </w:pPr>
          </w:p>
        </w:tc>
        <w:tc>
          <w:tcPr>
            <w:tcW w:w="737" w:type="pct"/>
            <w:noWrap/>
            <w:vAlign w:val="center"/>
          </w:tcPr>
          <w:p>
            <w:pPr>
              <w:spacing w:line="240" w:lineRule="auto"/>
              <w:ind w:firstLine="0" w:firstLineChars="0"/>
              <w:jc w:val="center"/>
              <w:rPr>
                <w:color w:val="000000" w:themeColor="text1"/>
                <w:kern w:val="21"/>
                <w:sz w:val="21"/>
                <w:szCs w:val="21"/>
                <w:highlight w:val="none"/>
              </w:rPr>
            </w:pPr>
            <w:r>
              <w:rPr>
                <w:rFonts w:hint="eastAsia"/>
                <w:color w:val="000000" w:themeColor="text1"/>
                <w:kern w:val="21"/>
                <w:sz w:val="21"/>
                <w:szCs w:val="21"/>
                <w:highlight w:val="none"/>
              </w:rPr>
              <w:t>原料</w:t>
            </w:r>
            <w:r>
              <w:rPr>
                <w:color w:val="000000" w:themeColor="text1"/>
                <w:kern w:val="21"/>
                <w:sz w:val="21"/>
                <w:szCs w:val="21"/>
                <w:highlight w:val="none"/>
              </w:rPr>
              <w:t>库</w:t>
            </w:r>
            <w:r>
              <w:rPr>
                <w:rFonts w:hint="eastAsia"/>
                <w:color w:val="000000" w:themeColor="text1"/>
                <w:kern w:val="21"/>
                <w:sz w:val="21"/>
                <w:szCs w:val="21"/>
                <w:highlight w:val="none"/>
              </w:rPr>
              <w:t>房</w:t>
            </w:r>
          </w:p>
        </w:tc>
        <w:tc>
          <w:tcPr>
            <w:tcW w:w="714"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颗粒物</w:t>
            </w:r>
          </w:p>
        </w:tc>
        <w:tc>
          <w:tcPr>
            <w:tcW w:w="1553" w:type="pct"/>
            <w:noWrap/>
            <w:vAlign w:val="center"/>
          </w:tcPr>
          <w:p>
            <w:pPr>
              <w:spacing w:line="240" w:lineRule="auto"/>
              <w:ind w:firstLine="0" w:firstLineChars="0"/>
              <w:jc w:val="center"/>
              <w:rPr>
                <w:color w:val="000000" w:themeColor="text1"/>
                <w:kern w:val="21"/>
                <w:sz w:val="21"/>
                <w:szCs w:val="21"/>
                <w:highlight w:val="none"/>
              </w:rPr>
            </w:pPr>
            <w:r>
              <w:rPr>
                <w:rFonts w:hint="eastAsia"/>
                <w:bCs/>
                <w:color w:val="000000" w:themeColor="text1"/>
                <w:kern w:val="44"/>
                <w:sz w:val="21"/>
                <w:szCs w:val="21"/>
                <w:highlight w:val="none"/>
              </w:rPr>
              <w:t>原料库房封闭，洒水降尘</w:t>
            </w:r>
          </w:p>
        </w:tc>
        <w:tc>
          <w:tcPr>
            <w:tcW w:w="1546" w:type="pct"/>
            <w:vMerge w:val="continue"/>
            <w:noWrap/>
            <w:vAlign w:val="center"/>
          </w:tcPr>
          <w:p>
            <w:pPr>
              <w:spacing w:line="240" w:lineRule="auto"/>
              <w:ind w:firstLine="0" w:firstLineChars="0"/>
              <w:jc w:val="center"/>
              <w:rPr>
                <w:color w:val="000000" w:themeColor="text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ign w:val="center"/>
          </w:tcPr>
          <w:p>
            <w:pPr>
              <w:spacing w:line="240" w:lineRule="auto"/>
              <w:ind w:firstLine="0" w:firstLineChars="0"/>
              <w:jc w:val="center"/>
              <w:rPr>
                <w:rFonts w:ascii="宋体" w:hAnsi="宋体" w:cs="宋体"/>
                <w:color w:val="000000" w:themeColor="text1"/>
                <w:kern w:val="21"/>
                <w:sz w:val="21"/>
                <w:szCs w:val="21"/>
                <w:highlight w:val="none"/>
              </w:rPr>
            </w:pPr>
          </w:p>
        </w:tc>
        <w:tc>
          <w:tcPr>
            <w:tcW w:w="737"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sz w:val="21"/>
                <w:szCs w:val="21"/>
                <w:highlight w:val="none"/>
              </w:rPr>
              <w:t>车辆运输</w:t>
            </w:r>
          </w:p>
        </w:tc>
        <w:tc>
          <w:tcPr>
            <w:tcW w:w="714"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颗粒物</w:t>
            </w:r>
          </w:p>
        </w:tc>
        <w:tc>
          <w:tcPr>
            <w:tcW w:w="1553" w:type="pct"/>
            <w:noWrap/>
            <w:vAlign w:val="center"/>
          </w:tcPr>
          <w:p>
            <w:pPr>
              <w:spacing w:line="240" w:lineRule="auto"/>
              <w:ind w:firstLine="0" w:firstLineChars="0"/>
              <w:jc w:val="center"/>
              <w:rPr>
                <w:color w:val="000000" w:themeColor="text1"/>
                <w:kern w:val="21"/>
                <w:sz w:val="21"/>
                <w:szCs w:val="21"/>
                <w:highlight w:val="none"/>
              </w:rPr>
            </w:pPr>
            <w:r>
              <w:rPr>
                <w:rFonts w:hint="eastAsia"/>
                <w:color w:val="000000" w:themeColor="text1"/>
                <w:sz w:val="21"/>
                <w:szCs w:val="21"/>
                <w:highlight w:val="none"/>
              </w:rPr>
              <w:t>道路硬化、</w:t>
            </w:r>
            <w:r>
              <w:rPr>
                <w:color w:val="000000" w:themeColor="text1"/>
                <w:sz w:val="21"/>
                <w:szCs w:val="21"/>
                <w:highlight w:val="none"/>
              </w:rPr>
              <w:t>洒水降尘、车辆减速慢行</w:t>
            </w:r>
          </w:p>
        </w:tc>
        <w:tc>
          <w:tcPr>
            <w:tcW w:w="1546" w:type="pct"/>
            <w:vMerge w:val="continue"/>
            <w:noWrap/>
            <w:vAlign w:val="center"/>
          </w:tcPr>
          <w:p>
            <w:pPr>
              <w:spacing w:line="240" w:lineRule="auto"/>
              <w:ind w:firstLine="0" w:firstLineChars="0"/>
              <w:jc w:val="center"/>
              <w:rPr>
                <w:rFonts w:ascii="宋体" w:hAnsi="宋体" w:cs="宋体"/>
                <w:color w:val="000000" w:themeColor="text1"/>
                <w:kern w:val="2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地表水环境</w:t>
            </w:r>
          </w:p>
        </w:tc>
        <w:tc>
          <w:tcPr>
            <w:tcW w:w="737" w:type="pct"/>
            <w:noWrap/>
            <w:vAlign w:val="center"/>
          </w:tcPr>
          <w:p>
            <w:pPr>
              <w:spacing w:line="240" w:lineRule="auto"/>
              <w:ind w:firstLine="0" w:firstLineChars="0"/>
              <w:jc w:val="center"/>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714" w:type="pct"/>
            <w:noWrap/>
            <w:vAlign w:val="center"/>
          </w:tcPr>
          <w:p>
            <w:pPr>
              <w:spacing w:line="240" w:lineRule="auto"/>
              <w:ind w:firstLine="0" w:firstLineChars="0"/>
              <w:jc w:val="center"/>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1553" w:type="pct"/>
            <w:noWrap/>
            <w:vAlign w:val="center"/>
          </w:tcPr>
          <w:p>
            <w:pPr>
              <w:widowControl/>
              <w:spacing w:line="240" w:lineRule="auto"/>
              <w:ind w:firstLine="0" w:firstLineChars="0"/>
              <w:jc w:val="center"/>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1546" w:type="pct"/>
            <w:noWrap/>
            <w:vAlign w:val="center"/>
          </w:tcPr>
          <w:p>
            <w:pPr>
              <w:spacing w:line="240" w:lineRule="auto"/>
              <w:ind w:firstLine="0" w:firstLineChars="0"/>
              <w:jc w:val="center"/>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8" w:type="pct"/>
            <w:vMerge w:val="restar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声环境</w:t>
            </w:r>
          </w:p>
        </w:tc>
        <w:tc>
          <w:tcPr>
            <w:tcW w:w="737"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设备噪声</w:t>
            </w:r>
          </w:p>
        </w:tc>
        <w:tc>
          <w:tcPr>
            <w:tcW w:w="714" w:type="pct"/>
            <w:vMerge w:val="restar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等效A声级</w:t>
            </w:r>
          </w:p>
        </w:tc>
        <w:tc>
          <w:tcPr>
            <w:tcW w:w="1553" w:type="pct"/>
            <w:noWrap/>
            <w:vAlign w:val="center"/>
          </w:tcPr>
          <w:p>
            <w:pPr>
              <w:spacing w:line="240" w:lineRule="auto"/>
              <w:ind w:firstLine="0" w:firstLineChars="0"/>
              <w:jc w:val="center"/>
              <w:rPr>
                <w:color w:val="000000" w:themeColor="text1"/>
                <w:kern w:val="21"/>
                <w:sz w:val="21"/>
                <w:szCs w:val="21"/>
                <w:highlight w:val="none"/>
              </w:rPr>
            </w:pPr>
            <w:r>
              <w:rPr>
                <w:rFonts w:hint="eastAsia"/>
                <w:color w:val="000000" w:themeColor="text1"/>
                <w:sz w:val="21"/>
                <w:szCs w:val="21"/>
                <w:highlight w:val="none"/>
              </w:rPr>
              <w:t>厂房封闭，</w:t>
            </w:r>
            <w:r>
              <w:rPr>
                <w:color w:val="000000" w:themeColor="text1"/>
                <w:sz w:val="21"/>
                <w:szCs w:val="21"/>
                <w:highlight w:val="none"/>
              </w:rPr>
              <w:t>选用低噪声设备、基础减震</w:t>
            </w:r>
          </w:p>
        </w:tc>
        <w:tc>
          <w:tcPr>
            <w:tcW w:w="1546" w:type="pct"/>
            <w:vMerge w:val="restart"/>
            <w:noWrap/>
            <w:vAlign w:val="center"/>
          </w:tcPr>
          <w:p>
            <w:pPr>
              <w:spacing w:line="240" w:lineRule="auto"/>
              <w:ind w:firstLine="0" w:firstLineChars="0"/>
              <w:jc w:val="center"/>
              <w:rPr>
                <w:color w:val="000000" w:themeColor="text1"/>
                <w:kern w:val="21"/>
                <w:sz w:val="21"/>
                <w:szCs w:val="21"/>
                <w:highlight w:val="none"/>
              </w:rPr>
            </w:pPr>
            <w:r>
              <w:rPr>
                <w:color w:val="000000" w:themeColor="text1"/>
                <w:sz w:val="21"/>
                <w:szCs w:val="21"/>
                <w:highlight w:val="none"/>
              </w:rPr>
              <w:t>《工业企业厂界环境噪声排放标准》（GB12348-2008）中2类区标准要求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48" w:type="pct"/>
            <w:vMerge w:val="continue"/>
            <w:noWrap/>
            <w:vAlign w:val="center"/>
          </w:tcPr>
          <w:p>
            <w:pPr>
              <w:spacing w:line="240" w:lineRule="auto"/>
              <w:ind w:firstLine="0" w:firstLineChars="0"/>
              <w:jc w:val="center"/>
              <w:rPr>
                <w:color w:val="000000" w:themeColor="text1"/>
                <w:kern w:val="21"/>
                <w:sz w:val="21"/>
                <w:szCs w:val="21"/>
                <w:highlight w:val="none"/>
              </w:rPr>
            </w:pPr>
          </w:p>
        </w:tc>
        <w:tc>
          <w:tcPr>
            <w:tcW w:w="737" w:type="pct"/>
            <w:noWrap/>
            <w:vAlign w:val="center"/>
          </w:tcPr>
          <w:p>
            <w:pPr>
              <w:spacing w:line="240" w:lineRule="auto"/>
              <w:ind w:firstLine="0" w:firstLineChars="0"/>
              <w:jc w:val="center"/>
              <w:rPr>
                <w:color w:val="000000" w:themeColor="text1"/>
                <w:kern w:val="21"/>
                <w:sz w:val="21"/>
                <w:szCs w:val="21"/>
                <w:highlight w:val="none"/>
              </w:rPr>
            </w:pPr>
            <w:r>
              <w:rPr>
                <w:rFonts w:hint="eastAsia"/>
                <w:color w:val="000000" w:themeColor="text1"/>
                <w:kern w:val="21"/>
                <w:sz w:val="21"/>
                <w:szCs w:val="21"/>
                <w:highlight w:val="none"/>
              </w:rPr>
              <w:t>车辆噪声</w:t>
            </w:r>
          </w:p>
        </w:tc>
        <w:tc>
          <w:tcPr>
            <w:tcW w:w="714" w:type="pct"/>
            <w:vMerge w:val="continue"/>
            <w:noWrap/>
            <w:vAlign w:val="center"/>
          </w:tcPr>
          <w:p>
            <w:pPr>
              <w:spacing w:line="240" w:lineRule="auto"/>
              <w:ind w:firstLine="0" w:firstLineChars="0"/>
              <w:jc w:val="center"/>
              <w:rPr>
                <w:color w:val="000000" w:themeColor="text1"/>
                <w:kern w:val="21"/>
                <w:sz w:val="21"/>
                <w:szCs w:val="21"/>
                <w:highlight w:val="none"/>
              </w:rPr>
            </w:pPr>
          </w:p>
        </w:tc>
        <w:tc>
          <w:tcPr>
            <w:tcW w:w="1553" w:type="pct"/>
            <w:noWrap/>
            <w:vAlign w:val="center"/>
          </w:tcPr>
          <w:p>
            <w:pPr>
              <w:spacing w:line="240" w:lineRule="auto"/>
              <w:ind w:firstLine="0" w:firstLineChars="0"/>
              <w:jc w:val="center"/>
              <w:rPr>
                <w:color w:val="000000" w:themeColor="text1"/>
                <w:spacing w:val="9"/>
                <w:sz w:val="21"/>
                <w:szCs w:val="21"/>
                <w:highlight w:val="none"/>
              </w:rPr>
            </w:pPr>
            <w:r>
              <w:rPr>
                <w:snapToGrid w:val="0"/>
                <w:color w:val="000000" w:themeColor="text1"/>
                <w:sz w:val="21"/>
                <w:szCs w:val="21"/>
                <w:highlight w:val="none"/>
              </w:rPr>
              <w:t>运输车辆禁止鸣笛、减速慢行</w:t>
            </w:r>
          </w:p>
        </w:tc>
        <w:tc>
          <w:tcPr>
            <w:tcW w:w="1546" w:type="pct"/>
            <w:vMerge w:val="continue"/>
            <w:noWrap/>
            <w:vAlign w:val="center"/>
          </w:tcPr>
          <w:p>
            <w:pPr>
              <w:spacing w:line="240" w:lineRule="auto"/>
              <w:ind w:firstLine="0" w:firstLineChars="0"/>
              <w:jc w:val="center"/>
              <w:rPr>
                <w:color w:val="000000" w:themeColor="text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48" w:type="pct"/>
            <w:noWrap/>
            <w:vAlign w:val="center"/>
          </w:tcPr>
          <w:p>
            <w:pPr>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固体废物</w:t>
            </w:r>
          </w:p>
        </w:tc>
        <w:tc>
          <w:tcPr>
            <w:tcW w:w="4551" w:type="pct"/>
            <w:gridSpan w:val="4"/>
            <w:noWrap/>
            <w:vAlign w:val="center"/>
          </w:tcPr>
          <w:p>
            <w:pPr>
              <w:spacing w:line="240" w:lineRule="auto"/>
              <w:ind w:firstLine="0" w:firstLineChars="0"/>
              <w:jc w:val="center"/>
              <w:rPr>
                <w:color w:val="000000" w:themeColor="text1"/>
                <w:kern w:val="0"/>
                <w:sz w:val="21"/>
                <w:szCs w:val="21"/>
                <w:highlight w:val="none"/>
              </w:rPr>
            </w:pPr>
            <w:r>
              <w:rPr>
                <w:rFonts w:hint="eastAsia"/>
                <w:bCs/>
                <w:color w:val="000000" w:themeColor="text1"/>
                <w:kern w:val="44"/>
                <w:sz w:val="21"/>
                <w:szCs w:val="21"/>
                <w:highlight w:val="none"/>
              </w:rPr>
              <w:t>生活垃圾集中收集，定期放至区域指定垃圾收集点，环卫部门统一处理；除尘灰收集后</w:t>
            </w:r>
            <w:r>
              <w:rPr>
                <w:rFonts w:hint="eastAsia"/>
                <w:color w:val="000000" w:themeColor="text1"/>
                <w:sz w:val="21"/>
                <w:szCs w:val="21"/>
                <w:highlight w:val="none"/>
              </w:rPr>
              <w:t>作为原料回用于生产；沥青拌合站筛分</w:t>
            </w:r>
            <w:r>
              <w:rPr>
                <w:rFonts w:hint="eastAsia" w:ascii="宋体" w:hAnsi="宋体" w:cs="宋体"/>
                <w:color w:val="000000" w:themeColor="text1"/>
                <w:kern w:val="0"/>
                <w:sz w:val="21"/>
                <w:szCs w:val="21"/>
                <w:highlight w:val="none"/>
                <w:lang w:bidi="ar"/>
              </w:rPr>
              <w:t>废石料收集后暂存于原料库房，由</w:t>
            </w:r>
            <w:r>
              <w:rPr>
                <w:rFonts w:hint="eastAsia"/>
                <w:sz w:val="21"/>
                <w:szCs w:val="21"/>
                <w:highlight w:val="none"/>
                <w:lang w:val="en-US" w:eastAsia="zh-CN"/>
              </w:rPr>
              <w:t>三河市徐达路桥建设有限公司前苇塘水稳站项目作为原料用于生产</w:t>
            </w:r>
            <w:r>
              <w:rPr>
                <w:rFonts w:hint="eastAsia"/>
                <w:color w:val="000000" w:themeColor="text1"/>
                <w:sz w:val="21"/>
                <w:szCs w:val="21"/>
                <w:highlight w:val="none"/>
              </w:rPr>
              <w:t>；废导热油待项目结束后委托有资质单位处置；废润滑油、废油桶、废活性炭</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涉及沥青废气治理的废布袋</w:t>
            </w:r>
            <w:r>
              <w:rPr>
                <w:rFonts w:hint="eastAsia"/>
                <w:color w:val="000000" w:themeColor="text1"/>
                <w:sz w:val="21"/>
                <w:szCs w:val="21"/>
                <w:highlight w:val="none"/>
              </w:rPr>
              <w:t>等危险废物</w:t>
            </w:r>
            <w:r>
              <w:rPr>
                <w:color w:val="000000" w:themeColor="text1"/>
                <w:kern w:val="0"/>
                <w:sz w:val="21"/>
                <w:szCs w:val="21"/>
                <w:highlight w:val="none"/>
                <w:lang w:bidi="ar"/>
              </w:rPr>
              <w:t>暂存于危废贮存间，委托有资质单位处理</w:t>
            </w:r>
            <w:r>
              <w:rPr>
                <w:rFonts w:hint="eastAsia"/>
                <w:color w:val="000000" w:themeColor="text1"/>
                <w:kern w:val="0"/>
                <w:sz w:val="21"/>
                <w:szCs w:val="21"/>
                <w:highlight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48" w:type="pc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地下水、</w:t>
            </w:r>
            <w:r>
              <w:rPr>
                <w:rFonts w:hint="eastAsia"/>
                <w:color w:val="000000" w:themeColor="text1"/>
                <w:sz w:val="21"/>
                <w:szCs w:val="21"/>
                <w:highlight w:val="none"/>
              </w:rPr>
              <w:t>土壤</w:t>
            </w:r>
            <w:r>
              <w:rPr>
                <w:rFonts w:hint="eastAsia" w:ascii="宋体" w:hAnsi="宋体" w:cs="宋体"/>
                <w:color w:val="000000" w:themeColor="text1"/>
                <w:kern w:val="21"/>
                <w:sz w:val="21"/>
                <w:szCs w:val="21"/>
                <w:highlight w:val="none"/>
              </w:rPr>
              <w:t>污染防治措施</w:t>
            </w:r>
          </w:p>
        </w:tc>
        <w:tc>
          <w:tcPr>
            <w:tcW w:w="4551" w:type="pct"/>
            <w:gridSpan w:val="4"/>
            <w:noWrap/>
            <w:vAlign w:val="center"/>
          </w:tcPr>
          <w:p>
            <w:pPr>
              <w:widowControl/>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0"/>
                <w:sz w:val="21"/>
                <w:szCs w:val="21"/>
                <w:highlight w:val="none"/>
                <w:lang w:bidi="ar"/>
              </w:rPr>
              <w:t>危废贮存间、导热油储罐区为重点防渗区，按《危险废物贮存污染控制标准》（</w:t>
            </w:r>
            <w:r>
              <w:rPr>
                <w:color w:val="000000" w:themeColor="text1"/>
                <w:kern w:val="0"/>
                <w:sz w:val="21"/>
                <w:szCs w:val="21"/>
                <w:highlight w:val="none"/>
                <w:lang w:bidi="ar"/>
              </w:rPr>
              <w:t>GB18597-20</w:t>
            </w:r>
            <w:r>
              <w:rPr>
                <w:rFonts w:hint="eastAsia"/>
                <w:color w:val="000000" w:themeColor="text1"/>
                <w:kern w:val="0"/>
                <w:sz w:val="21"/>
                <w:szCs w:val="21"/>
                <w:highlight w:val="none"/>
                <w:lang w:bidi="ar"/>
              </w:rPr>
              <w:t>23</w:t>
            </w:r>
            <w:r>
              <w:rPr>
                <w:rFonts w:hint="eastAsia" w:ascii="宋体" w:hAnsi="宋体" w:cs="宋体"/>
                <w:color w:val="000000" w:themeColor="text1"/>
                <w:kern w:val="0"/>
                <w:sz w:val="21"/>
                <w:szCs w:val="21"/>
                <w:highlight w:val="none"/>
                <w:lang w:bidi="ar"/>
              </w:rPr>
              <w:t>）执行（防渗层为至少</w:t>
            </w:r>
            <w:r>
              <w:rPr>
                <w:color w:val="000000" w:themeColor="text1"/>
                <w:kern w:val="0"/>
                <w:sz w:val="21"/>
                <w:szCs w:val="21"/>
                <w:highlight w:val="none"/>
                <w:lang w:bidi="ar"/>
              </w:rPr>
              <w:t>lm</w:t>
            </w:r>
            <w:r>
              <w:rPr>
                <w:rFonts w:hint="eastAsia" w:ascii="宋体" w:hAnsi="宋体" w:cs="宋体"/>
                <w:color w:val="000000" w:themeColor="text1"/>
                <w:kern w:val="0"/>
                <w:sz w:val="21"/>
                <w:szCs w:val="21"/>
                <w:highlight w:val="none"/>
                <w:lang w:bidi="ar"/>
              </w:rPr>
              <w:t>厚粘土层</w:t>
            </w:r>
            <w:r>
              <w:rPr>
                <w:color w:val="000000" w:themeColor="text1"/>
                <w:kern w:val="0"/>
                <w:sz w:val="21"/>
                <w:szCs w:val="21"/>
                <w:highlight w:val="none"/>
                <w:lang w:bidi="ar"/>
              </w:rPr>
              <w:t>(</w:t>
            </w:r>
            <w:r>
              <w:rPr>
                <w:rFonts w:hint="eastAsia" w:ascii="宋体" w:hAnsi="宋体" w:cs="宋体"/>
                <w:color w:val="000000" w:themeColor="text1"/>
                <w:kern w:val="0"/>
                <w:sz w:val="21"/>
                <w:szCs w:val="21"/>
                <w:highlight w:val="none"/>
                <w:lang w:bidi="ar"/>
              </w:rPr>
              <w:t>渗透系数</w:t>
            </w:r>
            <w:r>
              <w:rPr>
                <w:color w:val="000000" w:themeColor="text1"/>
                <w:kern w:val="0"/>
                <w:sz w:val="21"/>
                <w:szCs w:val="21"/>
                <w:highlight w:val="none"/>
                <w:lang w:bidi="ar"/>
              </w:rPr>
              <w:t>≤10</w:t>
            </w:r>
            <w:r>
              <w:rPr>
                <w:color w:val="000000" w:themeColor="text1"/>
                <w:kern w:val="0"/>
                <w:sz w:val="21"/>
                <w:szCs w:val="21"/>
                <w:highlight w:val="none"/>
                <w:vertAlign w:val="superscript"/>
                <w:lang w:bidi="ar"/>
              </w:rPr>
              <w:t>-7</w:t>
            </w:r>
            <w:r>
              <w:rPr>
                <w:color w:val="000000" w:themeColor="text1"/>
                <w:kern w:val="0"/>
                <w:sz w:val="21"/>
                <w:szCs w:val="21"/>
                <w:highlight w:val="none"/>
                <w:lang w:bidi="ar"/>
              </w:rPr>
              <w:t>cm/s)</w:t>
            </w:r>
            <w:r>
              <w:rPr>
                <w:rFonts w:hint="eastAsia" w:ascii="宋体" w:hAnsi="宋体" w:cs="宋体"/>
                <w:color w:val="000000" w:themeColor="text1"/>
                <w:kern w:val="0"/>
                <w:sz w:val="21"/>
                <w:szCs w:val="21"/>
                <w:highlight w:val="none"/>
                <w:lang w:bidi="ar"/>
              </w:rPr>
              <w:t>，或</w:t>
            </w:r>
            <w:r>
              <w:rPr>
                <w:color w:val="000000" w:themeColor="text1"/>
                <w:kern w:val="0"/>
                <w:sz w:val="21"/>
                <w:szCs w:val="21"/>
                <w:highlight w:val="none"/>
                <w:lang w:bidi="ar"/>
              </w:rPr>
              <w:t>2mm</w:t>
            </w:r>
            <w:r>
              <w:rPr>
                <w:rFonts w:hint="eastAsia" w:ascii="宋体" w:hAnsi="宋体" w:cs="宋体"/>
                <w:color w:val="000000" w:themeColor="text1"/>
                <w:kern w:val="0"/>
                <w:sz w:val="21"/>
                <w:szCs w:val="21"/>
                <w:highlight w:val="none"/>
                <w:lang w:bidi="ar"/>
              </w:rPr>
              <w:t>厚高密度聚乙烯，或至少</w:t>
            </w:r>
            <w:r>
              <w:rPr>
                <w:color w:val="000000" w:themeColor="text1"/>
                <w:kern w:val="0"/>
                <w:sz w:val="21"/>
                <w:szCs w:val="21"/>
                <w:highlight w:val="none"/>
                <w:lang w:bidi="ar"/>
              </w:rPr>
              <w:t>2mm</w:t>
            </w:r>
            <w:r>
              <w:rPr>
                <w:rFonts w:hint="eastAsia" w:ascii="宋体" w:hAnsi="宋体" w:cs="宋体"/>
                <w:color w:val="000000" w:themeColor="text1"/>
                <w:kern w:val="0"/>
                <w:sz w:val="21"/>
                <w:szCs w:val="21"/>
                <w:highlight w:val="none"/>
                <w:lang w:bidi="ar"/>
              </w:rPr>
              <w:t>厚的其它人工材料，渗透系数</w:t>
            </w:r>
            <w:r>
              <w:rPr>
                <w:color w:val="000000" w:themeColor="text1"/>
                <w:kern w:val="0"/>
                <w:sz w:val="21"/>
                <w:szCs w:val="21"/>
                <w:highlight w:val="none"/>
                <w:lang w:bidi="ar"/>
              </w:rPr>
              <w:t>≤10</w:t>
            </w:r>
            <w:r>
              <w:rPr>
                <w:color w:val="000000" w:themeColor="text1"/>
                <w:kern w:val="0"/>
                <w:sz w:val="21"/>
                <w:szCs w:val="21"/>
                <w:highlight w:val="none"/>
                <w:vertAlign w:val="superscript"/>
                <w:lang w:bidi="ar"/>
              </w:rPr>
              <w:t>-10</w:t>
            </w:r>
            <w:r>
              <w:rPr>
                <w:color w:val="000000" w:themeColor="text1"/>
                <w:kern w:val="0"/>
                <w:sz w:val="21"/>
                <w:szCs w:val="21"/>
                <w:highlight w:val="none"/>
                <w:lang w:bidi="ar"/>
              </w:rPr>
              <w:t>cm/s</w:t>
            </w:r>
            <w:r>
              <w:rPr>
                <w:rFonts w:hint="eastAsia" w:ascii="宋体" w:hAnsi="宋体" w:cs="宋体"/>
                <w:color w:val="000000" w:themeColor="text1"/>
                <w:kern w:val="0"/>
                <w:sz w:val="21"/>
                <w:szCs w:val="21"/>
                <w:highlight w:val="none"/>
                <w:lang w:bidi="ar"/>
              </w:rPr>
              <w:t>）进行防渗，导热油储罐区设置防渗围堰；</w:t>
            </w:r>
            <w:r>
              <w:rPr>
                <w:rFonts w:hint="eastAsia" w:ascii="宋体" w:hAnsi="宋体" w:cs="宋体"/>
                <w:color w:val="000000" w:themeColor="text1"/>
                <w:kern w:val="0"/>
                <w:sz w:val="21"/>
                <w:szCs w:val="21"/>
                <w:highlight w:val="none"/>
                <w:lang w:val="en-US" w:eastAsia="zh-CN" w:bidi="ar"/>
              </w:rPr>
              <w:t>沥青卸料池、</w:t>
            </w:r>
            <w:r>
              <w:rPr>
                <w:rFonts w:hint="eastAsia" w:ascii="宋体" w:hAnsi="宋体" w:cs="宋体"/>
                <w:color w:val="000000" w:themeColor="text1"/>
                <w:kern w:val="0"/>
                <w:sz w:val="21"/>
                <w:szCs w:val="21"/>
                <w:highlight w:val="none"/>
                <w:lang w:bidi="ar"/>
              </w:rPr>
              <w:t>沥青储罐区及产品卸料区为一般防渗区，等效黏土防渗层</w:t>
            </w:r>
            <w:r>
              <w:rPr>
                <w:color w:val="000000" w:themeColor="text1"/>
                <w:kern w:val="0"/>
                <w:sz w:val="21"/>
                <w:szCs w:val="21"/>
                <w:highlight w:val="none"/>
                <w:lang w:bidi="ar"/>
              </w:rPr>
              <w:t>Mb≥1.5m</w:t>
            </w:r>
            <w:r>
              <w:rPr>
                <w:rFonts w:hint="eastAsia" w:ascii="宋体" w:hAnsi="宋体" w:cs="宋体"/>
                <w:color w:val="000000" w:themeColor="text1"/>
                <w:kern w:val="0"/>
                <w:sz w:val="21"/>
                <w:szCs w:val="21"/>
                <w:highlight w:val="none"/>
                <w:lang w:bidi="ar"/>
              </w:rPr>
              <w:t>，</w:t>
            </w:r>
            <w:r>
              <w:rPr>
                <w:color w:val="000000" w:themeColor="text1"/>
                <w:kern w:val="0"/>
                <w:sz w:val="21"/>
                <w:szCs w:val="21"/>
                <w:highlight w:val="none"/>
                <w:lang w:bidi="ar"/>
              </w:rPr>
              <w:t>K≤10</w:t>
            </w:r>
            <w:r>
              <w:rPr>
                <w:color w:val="000000" w:themeColor="text1"/>
                <w:kern w:val="0"/>
                <w:sz w:val="21"/>
                <w:szCs w:val="21"/>
                <w:highlight w:val="none"/>
                <w:vertAlign w:val="superscript"/>
                <w:lang w:bidi="ar"/>
              </w:rPr>
              <w:t>-7</w:t>
            </w:r>
            <w:r>
              <w:rPr>
                <w:color w:val="000000" w:themeColor="text1"/>
                <w:kern w:val="0"/>
                <w:sz w:val="21"/>
                <w:szCs w:val="21"/>
                <w:highlight w:val="none"/>
                <w:lang w:bidi="ar"/>
              </w:rPr>
              <w:t>cm/s</w:t>
            </w:r>
            <w:r>
              <w:rPr>
                <w:rFonts w:hint="eastAsia" w:ascii="宋体" w:hAnsi="宋体" w:cs="宋体"/>
                <w:color w:val="000000" w:themeColor="text1"/>
                <w:kern w:val="0"/>
                <w:sz w:val="21"/>
                <w:szCs w:val="21"/>
                <w:highlight w:val="none"/>
                <w:lang w:bidi="ar"/>
              </w:rPr>
              <w:t>要求进行防渗；其他区域为简单防渗区，进行一般地面硬化。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生态保护措施</w:t>
            </w:r>
          </w:p>
        </w:tc>
        <w:tc>
          <w:tcPr>
            <w:tcW w:w="4551" w:type="pct"/>
            <w:gridSpan w:val="4"/>
            <w:noWrap/>
            <w:vAlign w:val="center"/>
          </w:tcPr>
          <w:p>
            <w:pPr>
              <w:spacing w:line="240" w:lineRule="auto"/>
              <w:ind w:firstLine="0" w:firstLineChars="0"/>
              <w:jc w:val="center"/>
              <w:rPr>
                <w:rFonts w:ascii="宋体" w:hAnsi="宋体" w:cs="宋体"/>
                <w:color w:val="000000" w:themeColor="text1"/>
                <w:kern w:val="21"/>
                <w:sz w:val="21"/>
                <w:szCs w:val="21"/>
                <w:highlight w:val="none"/>
              </w:rPr>
            </w:pPr>
            <w:r>
              <w:rPr>
                <w:rFonts w:hint="eastAsia" w:ascii="宋体" w:hAnsi="宋体" w:cs="宋体"/>
                <w:color w:val="000000" w:themeColor="text1"/>
                <w:kern w:val="21"/>
                <w:sz w:val="21"/>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noWrap/>
            <w:vAlign w:val="center"/>
          </w:tcPr>
          <w:p>
            <w:pPr>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环境风险防范措施</w:t>
            </w:r>
          </w:p>
        </w:tc>
        <w:tc>
          <w:tcPr>
            <w:tcW w:w="4551" w:type="pct"/>
            <w:gridSpan w:val="4"/>
            <w:noWrap/>
            <w:vAlign w:val="center"/>
          </w:tcPr>
          <w:p>
            <w:pPr>
              <w:widowControl/>
              <w:spacing w:line="240" w:lineRule="auto"/>
              <w:ind w:firstLine="0" w:firstLineChars="0"/>
              <w:jc w:val="center"/>
              <w:rPr>
                <w:color w:val="000000" w:themeColor="text1"/>
                <w:kern w:val="21"/>
                <w:sz w:val="21"/>
                <w:szCs w:val="21"/>
                <w:highlight w:val="none"/>
              </w:rPr>
            </w:pPr>
            <w:r>
              <w:rPr>
                <w:color w:val="000000" w:themeColor="text1"/>
                <w:kern w:val="21"/>
                <w:sz w:val="21"/>
                <w:szCs w:val="21"/>
                <w:highlight w:val="none"/>
              </w:rPr>
              <w:t>①加强职工的安全教育，提高安全防范风险的意识</w:t>
            </w:r>
            <w:r>
              <w:rPr>
                <w:rFonts w:hint="eastAsia"/>
                <w:color w:val="000000" w:themeColor="text1"/>
                <w:kern w:val="21"/>
                <w:sz w:val="21"/>
                <w:szCs w:val="21"/>
                <w:highlight w:val="none"/>
              </w:rPr>
              <w:t>；</w:t>
            </w:r>
            <w:r>
              <w:rPr>
                <w:color w:val="000000" w:themeColor="text1"/>
                <w:kern w:val="21"/>
                <w:sz w:val="21"/>
                <w:szCs w:val="21"/>
                <w:highlight w:val="none"/>
              </w:rPr>
              <w:t>②针对运营中可能发生的异常现象和存在的安全隐患，设置合理可行的技术措施，制定严格的操作规程</w:t>
            </w:r>
            <w:r>
              <w:rPr>
                <w:rFonts w:hint="eastAsia"/>
                <w:color w:val="000000" w:themeColor="text1"/>
                <w:kern w:val="21"/>
                <w:sz w:val="21"/>
                <w:szCs w:val="21"/>
                <w:highlight w:val="none"/>
              </w:rPr>
              <w:t>；</w:t>
            </w:r>
            <w:r>
              <w:rPr>
                <w:color w:val="000000" w:themeColor="text1"/>
                <w:kern w:val="21"/>
                <w:sz w:val="21"/>
                <w:szCs w:val="21"/>
                <w:highlight w:val="none"/>
              </w:rPr>
              <w:t>③对易发生泄漏的部位实行定期的巡检制度，及时发现问题，尽快解决</w:t>
            </w:r>
            <w:r>
              <w:rPr>
                <w:rFonts w:hint="eastAsia"/>
                <w:color w:val="000000" w:themeColor="text1"/>
                <w:kern w:val="21"/>
                <w:sz w:val="21"/>
                <w:szCs w:val="21"/>
                <w:highlight w:val="none"/>
              </w:rPr>
              <w:t>；</w:t>
            </w:r>
            <w:r>
              <w:rPr>
                <w:color w:val="000000" w:themeColor="text1"/>
                <w:kern w:val="21"/>
                <w:sz w:val="21"/>
                <w:szCs w:val="21"/>
                <w:highlight w:val="none"/>
              </w:rPr>
              <w:t>④严格执行防火、防爆、防雷击、防毒害等各项要求</w:t>
            </w:r>
            <w:r>
              <w:rPr>
                <w:rFonts w:hint="eastAsia"/>
                <w:color w:val="000000" w:themeColor="text1"/>
                <w:kern w:val="21"/>
                <w:sz w:val="21"/>
                <w:szCs w:val="21"/>
                <w:highlight w:val="none"/>
              </w:rPr>
              <w:t>；</w:t>
            </w:r>
            <w:r>
              <w:rPr>
                <w:color w:val="000000" w:themeColor="text1"/>
                <w:kern w:val="21"/>
                <w:sz w:val="21"/>
                <w:szCs w:val="21"/>
                <w:highlight w:val="none"/>
              </w:rPr>
              <w:t>⑤建立健全安全、环境管理体系及高效的安全生产机构，一旦发生事故，要做到快速、高效、安全处置</w:t>
            </w:r>
            <w:r>
              <w:rPr>
                <w:rFonts w:hint="eastAsia"/>
                <w:color w:val="000000" w:themeColor="text1"/>
                <w:kern w:val="21"/>
                <w:sz w:val="21"/>
                <w:szCs w:val="21"/>
                <w:highlight w:val="none"/>
              </w:rPr>
              <w:t>；</w:t>
            </w:r>
            <w:r>
              <w:rPr>
                <w:color w:val="000000" w:themeColor="text1"/>
                <w:kern w:val="21"/>
                <w:sz w:val="21"/>
                <w:szCs w:val="21"/>
                <w:highlight w:val="none"/>
              </w:rPr>
              <w:t>⑥定期对燃气设备的接头、开关、软管等部位进行检查，看有无漏气情况，安装燃气设备的房间应注意通风</w:t>
            </w:r>
            <w:r>
              <w:rPr>
                <w:rFonts w:hint="eastAsia"/>
                <w:color w:val="000000" w:themeColor="text1"/>
                <w:kern w:val="21"/>
                <w:sz w:val="21"/>
                <w:szCs w:val="21"/>
                <w:highlight w:val="none"/>
              </w:rPr>
              <w:t>；</w:t>
            </w:r>
            <w:r>
              <w:rPr>
                <w:color w:val="000000" w:themeColor="text1"/>
                <w:kern w:val="21"/>
                <w:sz w:val="21"/>
                <w:szCs w:val="21"/>
                <w:highlight w:val="none"/>
              </w:rPr>
              <w:t>⑦按照设计图的要求，注意避雷针的安全防护措施</w:t>
            </w:r>
            <w:r>
              <w:rPr>
                <w:rFonts w:hint="eastAsia"/>
                <w:color w:val="000000" w:themeColor="text1"/>
                <w:kern w:val="21"/>
                <w:sz w:val="21"/>
                <w:szCs w:val="21"/>
                <w:highlight w:val="none"/>
              </w:rPr>
              <w:t>；</w:t>
            </w:r>
            <w:r>
              <w:rPr>
                <w:color w:val="000000" w:themeColor="text1"/>
                <w:kern w:val="21"/>
                <w:sz w:val="21"/>
                <w:szCs w:val="21"/>
                <w:highlight w:val="none"/>
              </w:rPr>
              <w:t>⑧</w:t>
            </w:r>
            <w:r>
              <w:rPr>
                <w:rFonts w:hint="eastAsia"/>
                <w:color w:val="000000" w:themeColor="text1"/>
                <w:kern w:val="0"/>
                <w:sz w:val="21"/>
                <w:szCs w:val="21"/>
                <w:highlight w:val="none"/>
              </w:rPr>
              <w:t>建设</w:t>
            </w:r>
            <w:r>
              <w:rPr>
                <w:color w:val="000000" w:themeColor="text1"/>
                <w:kern w:val="0"/>
                <w:sz w:val="21"/>
                <w:szCs w:val="21"/>
                <w:highlight w:val="none"/>
              </w:rPr>
              <w:t>单位应</w:t>
            </w:r>
            <w:r>
              <w:rPr>
                <w:rFonts w:hint="eastAsia"/>
                <w:color w:val="000000" w:themeColor="text1"/>
                <w:kern w:val="0"/>
                <w:sz w:val="21"/>
                <w:szCs w:val="21"/>
                <w:highlight w:val="none"/>
              </w:rPr>
              <w:t>建立</w:t>
            </w:r>
            <w:r>
              <w:rPr>
                <w:color w:val="000000" w:themeColor="text1"/>
                <w:kern w:val="0"/>
                <w:sz w:val="21"/>
                <w:szCs w:val="21"/>
                <w:highlight w:val="none"/>
              </w:rPr>
              <w:t>完整</w:t>
            </w:r>
            <w:r>
              <w:rPr>
                <w:rFonts w:hint="eastAsia"/>
                <w:color w:val="000000" w:themeColor="text1"/>
                <w:kern w:val="0"/>
                <w:sz w:val="21"/>
                <w:szCs w:val="21"/>
                <w:highlight w:val="none"/>
              </w:rPr>
              <w:t>的</w:t>
            </w:r>
            <w:r>
              <w:rPr>
                <w:color w:val="000000" w:themeColor="text1"/>
                <w:kern w:val="0"/>
                <w:sz w:val="21"/>
                <w:szCs w:val="21"/>
                <w:highlight w:val="none"/>
              </w:rPr>
              <w:t>环境风险应急预案</w:t>
            </w:r>
            <w:r>
              <w:rPr>
                <w:rFonts w:hint="eastAsia"/>
                <w:color w:val="000000" w:themeColor="text1"/>
                <w:kern w:val="0"/>
                <w:sz w:val="21"/>
                <w:szCs w:val="21"/>
                <w:highlight w:val="none"/>
              </w:rPr>
              <w:t>，成立</w:t>
            </w:r>
            <w:r>
              <w:rPr>
                <w:color w:val="000000" w:themeColor="text1"/>
                <w:kern w:val="0"/>
                <w:sz w:val="21"/>
                <w:szCs w:val="21"/>
                <w:highlight w:val="none"/>
              </w:rPr>
              <w:t>环境风险</w:t>
            </w:r>
            <w:r>
              <w:rPr>
                <w:rFonts w:hint="eastAsia"/>
                <w:color w:val="000000" w:themeColor="text1"/>
                <w:kern w:val="0"/>
                <w:sz w:val="21"/>
                <w:szCs w:val="21"/>
                <w:highlight w:val="none"/>
              </w:rPr>
              <w:t>应急</w:t>
            </w:r>
            <w:r>
              <w:rPr>
                <w:color w:val="000000" w:themeColor="text1"/>
                <w:kern w:val="0"/>
                <w:sz w:val="21"/>
                <w:szCs w:val="21"/>
                <w:highlight w:val="none"/>
              </w:rPr>
              <w:t>指挥小组，</w:t>
            </w:r>
            <w:r>
              <w:rPr>
                <w:rFonts w:hint="eastAsia"/>
                <w:color w:val="000000" w:themeColor="text1"/>
                <w:kern w:val="0"/>
                <w:sz w:val="21"/>
                <w:szCs w:val="21"/>
                <w:highlight w:val="none"/>
              </w:rPr>
              <w:t>设置</w:t>
            </w:r>
            <w:r>
              <w:rPr>
                <w:color w:val="000000" w:themeColor="text1"/>
                <w:kern w:val="0"/>
                <w:sz w:val="21"/>
                <w:szCs w:val="21"/>
                <w:highlight w:val="none"/>
              </w:rPr>
              <w:t>专业</w:t>
            </w:r>
            <w:r>
              <w:rPr>
                <w:rFonts w:hint="eastAsia"/>
                <w:color w:val="000000" w:themeColor="text1"/>
                <w:kern w:val="0"/>
                <w:sz w:val="21"/>
                <w:szCs w:val="21"/>
                <w:highlight w:val="none"/>
              </w:rPr>
              <w:t>应急</w:t>
            </w:r>
            <w:r>
              <w:rPr>
                <w:color w:val="000000" w:themeColor="text1"/>
                <w:kern w:val="0"/>
                <w:sz w:val="21"/>
                <w:szCs w:val="21"/>
                <w:highlight w:val="none"/>
              </w:rPr>
              <w:t>救助队伍</w:t>
            </w:r>
            <w:r>
              <w:rPr>
                <w:rFonts w:hint="eastAsia"/>
                <w:color w:val="000000" w:themeColor="text1"/>
                <w:kern w:val="0"/>
                <w:sz w:val="21"/>
                <w:szCs w:val="21"/>
                <w:highlight w:val="none"/>
              </w:rPr>
              <w:t>，</w:t>
            </w:r>
            <w:r>
              <w:rPr>
                <w:color w:val="000000" w:themeColor="text1"/>
                <w:kern w:val="0"/>
                <w:sz w:val="21"/>
                <w:szCs w:val="21"/>
                <w:highlight w:val="none"/>
              </w:rPr>
              <w:t>对人员</w:t>
            </w:r>
            <w:r>
              <w:rPr>
                <w:rFonts w:hint="eastAsia"/>
                <w:color w:val="000000" w:themeColor="text1"/>
                <w:kern w:val="0"/>
                <w:sz w:val="21"/>
                <w:szCs w:val="21"/>
                <w:highlight w:val="none"/>
              </w:rPr>
              <w:t>定期</w:t>
            </w:r>
            <w:r>
              <w:rPr>
                <w:color w:val="000000" w:themeColor="text1"/>
                <w:kern w:val="0"/>
                <w:sz w:val="21"/>
                <w:szCs w:val="21"/>
                <w:highlight w:val="none"/>
              </w:rPr>
              <w:t>进行应急</w:t>
            </w:r>
            <w:r>
              <w:rPr>
                <w:rFonts w:hint="eastAsia"/>
                <w:color w:val="000000" w:themeColor="text1"/>
                <w:kern w:val="0"/>
                <w:sz w:val="21"/>
                <w:szCs w:val="21"/>
                <w:highlight w:val="none"/>
              </w:rPr>
              <w:t>救援培训，设置应急救援</w:t>
            </w:r>
            <w:r>
              <w:rPr>
                <w:color w:val="000000" w:themeColor="text1"/>
                <w:kern w:val="0"/>
                <w:sz w:val="21"/>
                <w:szCs w:val="21"/>
                <w:highlight w:val="none"/>
              </w:rPr>
              <w:t>设施及救援通道、应急疏散及避难所</w:t>
            </w:r>
            <w:r>
              <w:rPr>
                <w:rFonts w:hint="eastAsia"/>
                <w:color w:val="000000" w:themeColor="text1"/>
                <w:kern w:val="0"/>
                <w:sz w:val="21"/>
                <w:szCs w:val="21"/>
                <w:highlight w:val="none"/>
              </w:rPr>
              <w:t>，</w:t>
            </w:r>
            <w:r>
              <w:rPr>
                <w:color w:val="000000" w:themeColor="text1"/>
                <w:kern w:val="0"/>
                <w:sz w:val="21"/>
                <w:szCs w:val="21"/>
                <w:highlight w:val="none"/>
              </w:rPr>
              <w:t>并</w:t>
            </w:r>
            <w:r>
              <w:rPr>
                <w:rFonts w:hint="eastAsia"/>
                <w:color w:val="000000" w:themeColor="text1"/>
                <w:kern w:val="0"/>
                <w:sz w:val="21"/>
                <w:szCs w:val="21"/>
                <w:highlight w:val="none"/>
              </w:rPr>
              <w:t>保证有效性。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noWrap/>
            <w:vAlign w:val="center"/>
          </w:tcPr>
          <w:p>
            <w:pPr>
              <w:spacing w:line="240" w:lineRule="auto"/>
              <w:ind w:firstLine="0" w:firstLineChars="0"/>
              <w:jc w:val="center"/>
              <w:rPr>
                <w:color w:val="000000" w:themeColor="text1"/>
                <w:kern w:val="0"/>
                <w:sz w:val="21"/>
                <w:szCs w:val="21"/>
                <w:highlight w:val="none"/>
              </w:rPr>
            </w:pPr>
            <w:r>
              <w:rPr>
                <w:rFonts w:hint="eastAsia"/>
                <w:color w:val="000000" w:themeColor="text1"/>
                <w:kern w:val="0"/>
                <w:sz w:val="21"/>
                <w:szCs w:val="21"/>
                <w:highlight w:val="none"/>
              </w:rPr>
              <w:t>其他环境管理要求</w:t>
            </w:r>
          </w:p>
        </w:tc>
        <w:tc>
          <w:tcPr>
            <w:tcW w:w="4551" w:type="pct"/>
            <w:gridSpan w:val="4"/>
            <w:noWrap/>
            <w:vAlign w:val="center"/>
          </w:tcPr>
          <w:p>
            <w:pPr>
              <w:widowControl/>
              <w:spacing w:line="240" w:lineRule="auto"/>
              <w:ind w:firstLine="0" w:firstLineChars="0"/>
              <w:rPr>
                <w:color w:val="000000" w:themeColor="text1"/>
                <w:sz w:val="21"/>
                <w:szCs w:val="21"/>
                <w:highlight w:val="none"/>
              </w:rPr>
            </w:pPr>
            <w:r>
              <w:rPr>
                <w:rFonts w:hint="eastAsia"/>
                <w:color w:val="000000" w:themeColor="text1"/>
                <w:kern w:val="0"/>
                <w:sz w:val="21"/>
                <w:szCs w:val="21"/>
                <w:highlight w:val="none"/>
                <w:lang w:bidi="ar"/>
              </w:rPr>
              <w:t>①</w:t>
            </w:r>
            <w:r>
              <w:rPr>
                <w:color w:val="000000" w:themeColor="text1"/>
                <w:kern w:val="0"/>
                <w:sz w:val="21"/>
                <w:szCs w:val="21"/>
                <w:highlight w:val="none"/>
                <w:lang w:bidi="ar"/>
              </w:rPr>
              <w:t>污染防治设施须与主体工程实</w:t>
            </w:r>
            <w:r>
              <w:rPr>
                <w:rFonts w:hint="eastAsia" w:ascii="宋体" w:hAnsi="宋体" w:cs="宋体"/>
                <w:color w:val="000000" w:themeColor="text1"/>
                <w:kern w:val="0"/>
                <w:sz w:val="21"/>
                <w:szCs w:val="21"/>
                <w:highlight w:val="none"/>
                <w:lang w:bidi="ar"/>
              </w:rPr>
              <w:t>现“三同时”</w:t>
            </w:r>
            <w:r>
              <w:rPr>
                <w:color w:val="000000" w:themeColor="text1"/>
                <w:kern w:val="0"/>
                <w:sz w:val="21"/>
                <w:szCs w:val="21"/>
                <w:highlight w:val="none"/>
                <w:lang w:bidi="ar"/>
              </w:rPr>
              <w:t>，试运行后，建设单位应对项目配套建设的环境保护设施进行自主竣工验收。</w:t>
            </w:r>
          </w:p>
          <w:p>
            <w:pPr>
              <w:widowControl/>
              <w:spacing w:line="240" w:lineRule="auto"/>
              <w:ind w:firstLine="0" w:firstLineChars="0"/>
              <w:rPr>
                <w:color w:val="000000" w:themeColor="text1"/>
                <w:sz w:val="21"/>
                <w:szCs w:val="21"/>
                <w:highlight w:val="none"/>
              </w:rPr>
            </w:pPr>
            <w:r>
              <w:rPr>
                <w:rFonts w:hint="eastAsia"/>
                <w:color w:val="000000" w:themeColor="text1"/>
                <w:kern w:val="0"/>
                <w:sz w:val="21"/>
                <w:szCs w:val="21"/>
                <w:highlight w:val="none"/>
                <w:lang w:bidi="ar"/>
              </w:rPr>
              <w:t>②</w:t>
            </w:r>
            <w:r>
              <w:rPr>
                <w:color w:val="000000" w:themeColor="text1"/>
                <w:kern w:val="0"/>
                <w:sz w:val="21"/>
                <w:szCs w:val="21"/>
                <w:highlight w:val="none"/>
                <w:lang w:bidi="ar"/>
              </w:rPr>
              <w:t>根据《固定污染源排污许可分类管理名录》（2019年版）规定，本项目属于排污许可简化管理，在竣工验收前应取得排污许可证。</w:t>
            </w:r>
          </w:p>
          <w:p>
            <w:pPr>
              <w:widowControl/>
              <w:spacing w:line="240" w:lineRule="auto"/>
              <w:ind w:firstLine="0" w:firstLineChars="0"/>
              <w:rPr>
                <w:color w:val="000000" w:themeColor="text1"/>
                <w:kern w:val="0"/>
                <w:sz w:val="21"/>
                <w:szCs w:val="21"/>
                <w:highlight w:val="none"/>
              </w:rPr>
            </w:pPr>
            <w:r>
              <w:rPr>
                <w:rFonts w:hint="eastAsia"/>
                <w:color w:val="000000" w:themeColor="text1"/>
                <w:kern w:val="0"/>
                <w:sz w:val="21"/>
                <w:szCs w:val="21"/>
                <w:highlight w:val="none"/>
                <w:lang w:bidi="ar"/>
              </w:rPr>
              <w:t>③</w:t>
            </w:r>
            <w:r>
              <w:rPr>
                <w:color w:val="000000" w:themeColor="text1"/>
                <w:kern w:val="0"/>
                <w:sz w:val="21"/>
                <w:szCs w:val="21"/>
                <w:highlight w:val="none"/>
                <w:lang w:bidi="ar"/>
              </w:rPr>
              <w:t>排污口标志牌应按照《环境保护图形标志-排放口（源）》（GB 15562.1-1995）、《环境保护图形标志-固体废物贮存（处置）场》（GB15562.2-1995）</w:t>
            </w:r>
            <w:r>
              <w:rPr>
                <w:rFonts w:hint="eastAsia"/>
                <w:color w:val="000000" w:themeColor="text1"/>
                <w:kern w:val="0"/>
                <w:sz w:val="21"/>
                <w:szCs w:val="21"/>
                <w:highlight w:val="none"/>
                <w:lang w:bidi="ar"/>
              </w:rPr>
              <w:t>及修改单</w:t>
            </w:r>
            <w:r>
              <w:rPr>
                <w:color w:val="000000" w:themeColor="text1"/>
                <w:kern w:val="0"/>
                <w:sz w:val="21"/>
                <w:szCs w:val="21"/>
                <w:highlight w:val="none"/>
                <w:lang w:bidi="ar"/>
              </w:rPr>
              <w:t>等规范化设置，根据《固定污染源废气低浓度排放监测技术规范》（DB37-T-2706-2015）规范采样平台、采样口和爬梯。</w:t>
            </w:r>
          </w:p>
        </w:tc>
      </w:tr>
    </w:tbl>
    <w:p>
      <w:pPr>
        <w:pStyle w:val="18"/>
        <w:spacing w:before="120" w:beforeLines="50" w:beforeAutospacing="0" w:after="120" w:afterLines="50" w:afterAutospacing="0"/>
        <w:ind w:firstLine="0" w:firstLineChars="0"/>
        <w:jc w:val="center"/>
        <w:outlineLvl w:val="0"/>
        <w:rPr>
          <w:rFonts w:ascii="黑体" w:hAnsi="黑体" w:eastAsia="黑体"/>
          <w:snapToGrid w:val="0"/>
          <w:color w:val="000000" w:themeColor="text1"/>
          <w:kern w:val="21"/>
          <w:sz w:val="30"/>
          <w:szCs w:val="30"/>
        </w:rPr>
      </w:pPr>
      <w:r>
        <w:rPr>
          <w:snapToGrid w:val="0"/>
          <w:color w:val="000000" w:themeColor="text1"/>
          <w:kern w:val="21"/>
        </w:rPr>
        <w:br w:type="page"/>
      </w:r>
      <w:r>
        <w:rPr>
          <w:rFonts w:hint="eastAsia" w:ascii="黑体" w:hAnsi="黑体" w:eastAsia="黑体"/>
          <w:snapToGrid w:val="0"/>
          <w:color w:val="000000" w:themeColor="text1"/>
          <w:kern w:val="21"/>
          <w:sz w:val="30"/>
          <w:szCs w:val="30"/>
        </w:rPr>
        <w:t>六、结论</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000" w:type="pct"/>
            <w:noWrap/>
            <w:vAlign w:val="center"/>
          </w:tcPr>
          <w:p>
            <w:pPr>
              <w:adjustRightInd/>
              <w:spacing w:before="120" w:beforeLines="50"/>
              <w:ind w:firstLine="482"/>
              <w:rPr>
                <w:b/>
                <w:bCs/>
                <w:color w:val="000000" w:themeColor="text1"/>
              </w:rPr>
            </w:pPr>
            <w:r>
              <w:rPr>
                <w:b/>
                <w:bCs/>
                <w:color w:val="000000" w:themeColor="text1"/>
              </w:rPr>
              <w:t>结论：</w:t>
            </w:r>
          </w:p>
          <w:p>
            <w:pPr>
              <w:widowControl/>
              <w:ind w:firstLine="480"/>
              <w:jc w:val="left"/>
              <w:rPr>
                <w:color w:val="000000" w:themeColor="text1"/>
              </w:rPr>
            </w:pPr>
            <w:r>
              <w:rPr>
                <w:color w:val="000000" w:themeColor="text1"/>
              </w:rPr>
              <w:t>从环境保护的角度分析，项目具有环境可行性。</w:t>
            </w: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widowControl/>
              <w:ind w:firstLine="480"/>
              <w:jc w:val="left"/>
              <w:rPr>
                <w:color w:val="000000" w:themeColor="text1"/>
              </w:rPr>
            </w:pPr>
          </w:p>
          <w:p>
            <w:pPr>
              <w:pStyle w:val="10"/>
              <w:spacing w:after="0"/>
              <w:ind w:left="0" w:leftChars="0" w:firstLine="480"/>
              <w:rPr>
                <w:color w:val="000000" w:themeColor="text1"/>
              </w:rPr>
            </w:pPr>
          </w:p>
          <w:p>
            <w:pPr>
              <w:pStyle w:val="10"/>
              <w:spacing w:after="0"/>
              <w:ind w:left="0" w:leftChars="0" w:firstLine="480"/>
              <w:rPr>
                <w:color w:val="000000" w:themeColor="text1"/>
              </w:rPr>
            </w:pPr>
          </w:p>
          <w:p>
            <w:pPr>
              <w:widowControl/>
              <w:ind w:firstLine="480"/>
              <w:jc w:val="left"/>
              <w:rPr>
                <w:color w:val="000000" w:themeColor="text1"/>
              </w:rPr>
            </w:pPr>
          </w:p>
          <w:p>
            <w:pPr>
              <w:pStyle w:val="33"/>
              <w:spacing w:line="360" w:lineRule="auto"/>
              <w:ind w:firstLine="480" w:firstLineChars="200"/>
              <w:rPr>
                <w:color w:val="000000" w:themeColor="text1"/>
              </w:rPr>
            </w:pPr>
          </w:p>
          <w:p>
            <w:pPr>
              <w:pStyle w:val="33"/>
              <w:spacing w:line="360" w:lineRule="auto"/>
              <w:ind w:firstLine="480" w:firstLineChars="200"/>
              <w:rPr>
                <w:color w:val="000000" w:themeColor="text1"/>
              </w:rPr>
            </w:pPr>
          </w:p>
          <w:p>
            <w:pPr>
              <w:pStyle w:val="33"/>
              <w:spacing w:line="360" w:lineRule="auto"/>
              <w:ind w:firstLine="480" w:firstLineChars="200"/>
              <w:rPr>
                <w:color w:val="000000" w:themeColor="text1"/>
              </w:rPr>
            </w:pPr>
          </w:p>
          <w:p>
            <w:pPr>
              <w:pStyle w:val="33"/>
              <w:spacing w:line="360" w:lineRule="auto"/>
              <w:ind w:firstLine="480" w:firstLineChars="200"/>
              <w:rPr>
                <w:color w:val="000000" w:themeColor="text1"/>
              </w:rPr>
            </w:pPr>
          </w:p>
          <w:p>
            <w:pPr>
              <w:widowControl/>
              <w:ind w:firstLine="480"/>
              <w:jc w:val="left"/>
              <w:rPr>
                <w:color w:val="000000" w:themeColor="text1"/>
              </w:rPr>
            </w:pPr>
          </w:p>
          <w:p>
            <w:pPr>
              <w:widowControl/>
              <w:ind w:firstLine="480"/>
              <w:jc w:val="left"/>
              <w:rPr>
                <w:rFonts w:ascii="宋体" w:cs="宋体"/>
                <w:color w:val="000000" w:themeColor="text1"/>
                <w:kern w:val="21"/>
              </w:rPr>
            </w:pPr>
          </w:p>
        </w:tc>
      </w:tr>
    </w:tbl>
    <w:p>
      <w:pPr>
        <w:ind w:firstLine="480"/>
        <w:rPr>
          <w:rFonts w:ascii="宋体"/>
          <w:color w:val="000000" w:themeColor="text1"/>
          <w:kern w:val="21"/>
        </w:rPr>
        <w:sectPr>
          <w:pgSz w:w="11906" w:h="16838"/>
          <w:pgMar w:top="1417" w:right="1587" w:bottom="1417" w:left="1587" w:header="851" w:footer="851" w:gutter="0"/>
          <w:cols w:space="720" w:num="1"/>
          <w:docGrid w:linePitch="312" w:charSpace="0"/>
        </w:sectPr>
      </w:pPr>
    </w:p>
    <w:p>
      <w:pPr>
        <w:pStyle w:val="18"/>
        <w:spacing w:before="0" w:beforeAutospacing="0" w:after="0" w:afterAutospacing="0" w:line="240" w:lineRule="auto"/>
        <w:ind w:firstLine="640"/>
        <w:outlineLvl w:val="0"/>
        <w:rPr>
          <w:rFonts w:ascii="黑体" w:hAnsi="黑体" w:eastAsia="黑体"/>
          <w:snapToGrid w:val="0"/>
          <w:color w:val="000000" w:themeColor="text1"/>
          <w:kern w:val="21"/>
          <w:sz w:val="21"/>
          <w:szCs w:val="21"/>
        </w:rPr>
      </w:pPr>
      <w:r>
        <w:rPr>
          <w:rFonts w:hint="eastAsia" w:ascii="黑体" w:hAnsi="黑体" w:eastAsia="黑体"/>
          <w:snapToGrid w:val="0"/>
          <w:color w:val="000000" w:themeColor="text1"/>
          <w:kern w:val="21"/>
          <w:sz w:val="32"/>
          <w:szCs w:val="32"/>
        </w:rPr>
        <w:t>附表</w:t>
      </w:r>
    </w:p>
    <w:p>
      <w:pPr>
        <w:pStyle w:val="18"/>
        <w:spacing w:before="0" w:beforeAutospacing="0" w:after="0" w:afterAutospacing="0" w:line="240" w:lineRule="auto"/>
        <w:ind w:firstLine="760"/>
        <w:jc w:val="center"/>
        <w:outlineLvl w:val="0"/>
        <w:rPr>
          <w:rFonts w:ascii="方正小标宋_GBK" w:hAnsi="黑体" w:eastAsia="方正小标宋_GBK"/>
          <w:snapToGrid w:val="0"/>
          <w:color w:val="000000" w:themeColor="text1"/>
          <w:kern w:val="21"/>
          <w:sz w:val="38"/>
          <w:szCs w:val="38"/>
        </w:rPr>
      </w:pPr>
      <w:r>
        <w:rPr>
          <w:rFonts w:hint="eastAsia" w:ascii="方正小标宋_GBK" w:hAnsi="黑体" w:eastAsia="方正小标宋_GBK"/>
          <w:snapToGrid w:val="0"/>
          <w:color w:val="000000" w:themeColor="text1"/>
          <w:kern w:val="21"/>
          <w:sz w:val="38"/>
          <w:szCs w:val="38"/>
        </w:rPr>
        <w:t>建设项目污染物排放量汇总表</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655"/>
        <w:gridCol w:w="1495"/>
        <w:gridCol w:w="1215"/>
        <w:gridCol w:w="1620"/>
        <w:gridCol w:w="1485"/>
        <w:gridCol w:w="1395"/>
        <w:gridCol w:w="1935"/>
        <w:gridCol w:w="1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50" w:type="dxa"/>
            <w:tcBorders>
              <w:tl2br w:val="single" w:color="auto" w:sz="4" w:space="0"/>
            </w:tcBorders>
            <w:noWrap/>
            <w:tcMar>
              <w:left w:w="28" w:type="dxa"/>
              <w:right w:w="28" w:type="dxa"/>
            </w:tcMar>
            <w:vAlign w:val="center"/>
          </w:tcPr>
          <w:p>
            <w:pPr>
              <w:pStyle w:val="36"/>
              <w:spacing w:beforeLines="0" w:afterLines="0" w:line="240" w:lineRule="auto"/>
              <w:ind w:firstLine="0" w:firstLineChars="0"/>
              <w:jc w:val="right"/>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项目</w:t>
            </w:r>
          </w:p>
          <w:p>
            <w:pPr>
              <w:pStyle w:val="36"/>
              <w:spacing w:beforeLines="0" w:afterLines="0" w:line="240" w:lineRule="auto"/>
              <w:ind w:firstLine="0" w:firstLineChars="0"/>
              <w:jc w:val="left"/>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分类</w:t>
            </w:r>
          </w:p>
        </w:tc>
        <w:tc>
          <w:tcPr>
            <w:tcW w:w="1655" w:type="dxa"/>
            <w:noWrap/>
            <w:tcMar>
              <w:left w:w="28" w:type="dxa"/>
              <w:right w:w="28" w:type="dxa"/>
            </w:tcMar>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污染物名称</w:t>
            </w:r>
          </w:p>
        </w:tc>
        <w:tc>
          <w:tcPr>
            <w:tcW w:w="1495" w:type="dxa"/>
            <w:noWrap/>
            <w:tcMar>
              <w:left w:w="28" w:type="dxa"/>
              <w:right w:w="28" w:type="dxa"/>
            </w:tcMar>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现有工程</w:t>
            </w:r>
          </w:p>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排放量（固体废物产生量）</w:t>
            </w:r>
            <w:r>
              <w:rPr>
                <w:rFonts w:ascii="Times New Roman"/>
                <w:snapToGrid w:val="0"/>
                <w:color w:val="000000" w:themeColor="text1"/>
                <w:kern w:val="21"/>
                <w:sz w:val="21"/>
                <w:szCs w:val="21"/>
                <w:highlight w:val="none"/>
              </w:rPr>
              <w:fldChar w:fldCharType="begin"/>
            </w:r>
            <w:r>
              <w:rPr>
                <w:rFonts w:ascii="Times New Roman"/>
                <w:snapToGrid w:val="0"/>
                <w:color w:val="000000" w:themeColor="text1"/>
                <w:kern w:val="21"/>
                <w:sz w:val="21"/>
                <w:szCs w:val="21"/>
                <w:highlight w:val="none"/>
              </w:rPr>
              <w:instrText xml:space="preserve"> = 1 \* GB3 \* MERGEFORMAT </w:instrText>
            </w:r>
            <w:r>
              <w:rPr>
                <w:rFonts w:ascii="Times New Roman"/>
                <w:snapToGrid w:val="0"/>
                <w:color w:val="000000" w:themeColor="text1"/>
                <w:kern w:val="21"/>
                <w:sz w:val="21"/>
                <w:szCs w:val="21"/>
                <w:highlight w:val="none"/>
              </w:rPr>
              <w:fldChar w:fldCharType="separate"/>
            </w:r>
            <w:r>
              <w:rPr>
                <w:rFonts w:ascii="Times New Roman"/>
                <w:color w:val="000000" w:themeColor="text1"/>
                <w:kern w:val="21"/>
                <w:sz w:val="21"/>
                <w:szCs w:val="21"/>
                <w:highlight w:val="none"/>
              </w:rPr>
              <w:t>①</w:t>
            </w:r>
            <w:r>
              <w:rPr>
                <w:rFonts w:ascii="Times New Roman"/>
                <w:snapToGrid w:val="0"/>
                <w:color w:val="000000" w:themeColor="text1"/>
                <w:kern w:val="21"/>
                <w:sz w:val="21"/>
                <w:szCs w:val="21"/>
                <w:highlight w:val="none"/>
              </w:rPr>
              <w:fldChar w:fldCharType="end"/>
            </w:r>
          </w:p>
        </w:tc>
        <w:tc>
          <w:tcPr>
            <w:tcW w:w="1215" w:type="dxa"/>
            <w:noWrap/>
            <w:tcMar>
              <w:left w:w="28" w:type="dxa"/>
              <w:right w:w="28" w:type="dxa"/>
            </w:tcMar>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现有工程许可排放量</w:t>
            </w:r>
            <w:r>
              <w:rPr>
                <w:rFonts w:ascii="Times New Roman"/>
                <w:snapToGrid w:val="0"/>
                <w:color w:val="000000" w:themeColor="text1"/>
                <w:kern w:val="21"/>
                <w:sz w:val="21"/>
                <w:szCs w:val="21"/>
                <w:highlight w:val="none"/>
              </w:rPr>
              <w:fldChar w:fldCharType="begin"/>
            </w:r>
            <w:r>
              <w:rPr>
                <w:rFonts w:ascii="Times New Roman"/>
                <w:snapToGrid w:val="0"/>
                <w:color w:val="000000" w:themeColor="text1"/>
                <w:kern w:val="21"/>
                <w:sz w:val="21"/>
                <w:szCs w:val="21"/>
                <w:highlight w:val="none"/>
              </w:rPr>
              <w:instrText xml:space="preserve"> = 2 \* GB3 \* MERGEFORMAT </w:instrText>
            </w:r>
            <w:r>
              <w:rPr>
                <w:rFonts w:ascii="Times New Roman"/>
                <w:snapToGrid w:val="0"/>
                <w:color w:val="000000" w:themeColor="text1"/>
                <w:kern w:val="21"/>
                <w:sz w:val="21"/>
                <w:szCs w:val="21"/>
                <w:highlight w:val="none"/>
              </w:rPr>
              <w:fldChar w:fldCharType="separate"/>
            </w:r>
            <w:r>
              <w:rPr>
                <w:rFonts w:ascii="Times New Roman"/>
                <w:snapToGrid w:val="0"/>
                <w:color w:val="000000" w:themeColor="text1"/>
                <w:kern w:val="21"/>
                <w:sz w:val="21"/>
                <w:szCs w:val="21"/>
                <w:highlight w:val="none"/>
              </w:rPr>
              <w:t>②</w:t>
            </w:r>
            <w:r>
              <w:rPr>
                <w:rFonts w:ascii="Times New Roman"/>
                <w:snapToGrid w:val="0"/>
                <w:color w:val="000000" w:themeColor="text1"/>
                <w:kern w:val="21"/>
                <w:sz w:val="21"/>
                <w:szCs w:val="21"/>
                <w:highlight w:val="none"/>
              </w:rPr>
              <w:fldChar w:fldCharType="end"/>
            </w:r>
          </w:p>
        </w:tc>
        <w:tc>
          <w:tcPr>
            <w:tcW w:w="1620" w:type="dxa"/>
            <w:noWrap/>
            <w:tcMar>
              <w:left w:w="28" w:type="dxa"/>
              <w:right w:w="28" w:type="dxa"/>
            </w:tcMar>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在建工程</w:t>
            </w:r>
          </w:p>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排放量（固体废物产生量）</w:t>
            </w:r>
            <w:r>
              <w:rPr>
                <w:rFonts w:ascii="Times New Roman"/>
                <w:snapToGrid w:val="0"/>
                <w:color w:val="000000" w:themeColor="text1"/>
                <w:kern w:val="21"/>
                <w:sz w:val="21"/>
                <w:szCs w:val="21"/>
                <w:highlight w:val="none"/>
              </w:rPr>
              <w:fldChar w:fldCharType="begin"/>
            </w:r>
            <w:r>
              <w:rPr>
                <w:rFonts w:ascii="Times New Roman"/>
                <w:snapToGrid w:val="0"/>
                <w:color w:val="000000" w:themeColor="text1"/>
                <w:kern w:val="21"/>
                <w:sz w:val="21"/>
                <w:szCs w:val="21"/>
                <w:highlight w:val="none"/>
              </w:rPr>
              <w:instrText xml:space="preserve"> = 3 \* GB3 \* MERGEFORMAT </w:instrText>
            </w:r>
            <w:r>
              <w:rPr>
                <w:rFonts w:ascii="Times New Roman"/>
                <w:snapToGrid w:val="0"/>
                <w:color w:val="000000" w:themeColor="text1"/>
                <w:kern w:val="21"/>
                <w:sz w:val="21"/>
                <w:szCs w:val="21"/>
                <w:highlight w:val="none"/>
              </w:rPr>
              <w:fldChar w:fldCharType="separate"/>
            </w:r>
            <w:r>
              <w:rPr>
                <w:rFonts w:ascii="Times New Roman"/>
                <w:color w:val="000000" w:themeColor="text1"/>
                <w:kern w:val="21"/>
                <w:sz w:val="21"/>
                <w:szCs w:val="21"/>
                <w:highlight w:val="none"/>
              </w:rPr>
              <w:t>③</w:t>
            </w:r>
            <w:r>
              <w:rPr>
                <w:rFonts w:ascii="Times New Roman"/>
                <w:snapToGrid w:val="0"/>
                <w:color w:val="000000" w:themeColor="text1"/>
                <w:kern w:val="21"/>
                <w:sz w:val="21"/>
                <w:szCs w:val="21"/>
                <w:highlight w:val="none"/>
              </w:rPr>
              <w:fldChar w:fldCharType="end"/>
            </w:r>
          </w:p>
        </w:tc>
        <w:tc>
          <w:tcPr>
            <w:tcW w:w="1485" w:type="dxa"/>
            <w:noWrap/>
            <w:tcMar>
              <w:left w:w="28" w:type="dxa"/>
              <w:right w:w="28" w:type="dxa"/>
            </w:tcMar>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本项目排放量（固体废物产生量）</w:t>
            </w:r>
            <w:r>
              <w:rPr>
                <w:rFonts w:ascii="Times New Roman"/>
                <w:snapToGrid w:val="0"/>
                <w:color w:val="000000" w:themeColor="text1"/>
                <w:kern w:val="21"/>
                <w:sz w:val="21"/>
                <w:szCs w:val="21"/>
                <w:highlight w:val="none"/>
              </w:rPr>
              <w:fldChar w:fldCharType="begin"/>
            </w:r>
            <w:r>
              <w:rPr>
                <w:rFonts w:ascii="Times New Roman"/>
                <w:snapToGrid w:val="0"/>
                <w:color w:val="000000" w:themeColor="text1"/>
                <w:kern w:val="21"/>
                <w:sz w:val="21"/>
                <w:szCs w:val="21"/>
                <w:highlight w:val="none"/>
              </w:rPr>
              <w:instrText xml:space="preserve"> = 4 \* GB3 \* MERGEFORMAT </w:instrText>
            </w:r>
            <w:r>
              <w:rPr>
                <w:rFonts w:ascii="Times New Roman"/>
                <w:snapToGrid w:val="0"/>
                <w:color w:val="000000" w:themeColor="text1"/>
                <w:kern w:val="21"/>
                <w:sz w:val="21"/>
                <w:szCs w:val="21"/>
                <w:highlight w:val="none"/>
              </w:rPr>
              <w:fldChar w:fldCharType="separate"/>
            </w:r>
            <w:r>
              <w:rPr>
                <w:rFonts w:ascii="Times New Roman"/>
                <w:color w:val="000000" w:themeColor="text1"/>
                <w:kern w:val="21"/>
                <w:sz w:val="21"/>
                <w:szCs w:val="21"/>
                <w:highlight w:val="none"/>
              </w:rPr>
              <w:t>④</w:t>
            </w:r>
            <w:r>
              <w:rPr>
                <w:rFonts w:ascii="Times New Roman"/>
                <w:snapToGrid w:val="0"/>
                <w:color w:val="000000" w:themeColor="text1"/>
                <w:kern w:val="21"/>
                <w:sz w:val="21"/>
                <w:szCs w:val="21"/>
                <w:highlight w:val="none"/>
              </w:rPr>
              <w:fldChar w:fldCharType="end"/>
            </w:r>
          </w:p>
        </w:tc>
        <w:tc>
          <w:tcPr>
            <w:tcW w:w="1395" w:type="dxa"/>
            <w:noWrap/>
            <w:tcMar>
              <w:left w:w="28" w:type="dxa"/>
              <w:right w:w="28" w:type="dxa"/>
            </w:tcMar>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以新带老削减量（新建项目不填）</w:t>
            </w:r>
            <w:r>
              <w:rPr>
                <w:rFonts w:ascii="Times New Roman"/>
                <w:snapToGrid w:val="0"/>
                <w:color w:val="000000" w:themeColor="text1"/>
                <w:kern w:val="21"/>
                <w:sz w:val="21"/>
                <w:szCs w:val="21"/>
                <w:highlight w:val="none"/>
              </w:rPr>
              <w:fldChar w:fldCharType="begin"/>
            </w:r>
            <w:r>
              <w:rPr>
                <w:rFonts w:ascii="Times New Roman"/>
                <w:snapToGrid w:val="0"/>
                <w:color w:val="000000" w:themeColor="text1"/>
                <w:kern w:val="21"/>
                <w:sz w:val="21"/>
                <w:szCs w:val="21"/>
                <w:highlight w:val="none"/>
              </w:rPr>
              <w:instrText xml:space="preserve"> = 5 \* GB3 \* MERGEFORMAT </w:instrText>
            </w:r>
            <w:r>
              <w:rPr>
                <w:rFonts w:ascii="Times New Roman"/>
                <w:snapToGrid w:val="0"/>
                <w:color w:val="000000" w:themeColor="text1"/>
                <w:kern w:val="21"/>
                <w:sz w:val="21"/>
                <w:szCs w:val="21"/>
                <w:highlight w:val="none"/>
              </w:rPr>
              <w:fldChar w:fldCharType="separate"/>
            </w:r>
            <w:r>
              <w:rPr>
                <w:rFonts w:ascii="Times New Roman"/>
                <w:color w:val="000000" w:themeColor="text1"/>
                <w:kern w:val="21"/>
                <w:sz w:val="21"/>
                <w:szCs w:val="21"/>
                <w:highlight w:val="none"/>
              </w:rPr>
              <w:t>⑤</w:t>
            </w:r>
            <w:r>
              <w:rPr>
                <w:rFonts w:ascii="Times New Roman"/>
                <w:snapToGrid w:val="0"/>
                <w:color w:val="000000" w:themeColor="text1"/>
                <w:kern w:val="21"/>
                <w:sz w:val="21"/>
                <w:szCs w:val="21"/>
                <w:highlight w:val="none"/>
              </w:rPr>
              <w:fldChar w:fldCharType="end"/>
            </w:r>
          </w:p>
        </w:tc>
        <w:tc>
          <w:tcPr>
            <w:tcW w:w="1935" w:type="dxa"/>
            <w:noWrap/>
            <w:tcMar>
              <w:left w:w="28" w:type="dxa"/>
              <w:right w:w="28" w:type="dxa"/>
            </w:tcMar>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本项目建成后</w:t>
            </w:r>
          </w:p>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全厂排放量（固体废物产生量）</w:t>
            </w:r>
            <w:r>
              <w:rPr>
                <w:rFonts w:ascii="Times New Roman"/>
                <w:snapToGrid w:val="0"/>
                <w:color w:val="000000" w:themeColor="text1"/>
                <w:kern w:val="21"/>
                <w:sz w:val="21"/>
                <w:szCs w:val="21"/>
                <w:highlight w:val="none"/>
              </w:rPr>
              <w:fldChar w:fldCharType="begin"/>
            </w:r>
            <w:r>
              <w:rPr>
                <w:rFonts w:ascii="Times New Roman"/>
                <w:snapToGrid w:val="0"/>
                <w:color w:val="000000" w:themeColor="text1"/>
                <w:kern w:val="21"/>
                <w:sz w:val="21"/>
                <w:szCs w:val="21"/>
                <w:highlight w:val="none"/>
              </w:rPr>
              <w:instrText xml:space="preserve"> = 6 \* GB3 \* MERGEFORMAT </w:instrText>
            </w:r>
            <w:r>
              <w:rPr>
                <w:rFonts w:ascii="Times New Roman"/>
                <w:snapToGrid w:val="0"/>
                <w:color w:val="000000" w:themeColor="text1"/>
                <w:kern w:val="21"/>
                <w:sz w:val="21"/>
                <w:szCs w:val="21"/>
                <w:highlight w:val="none"/>
              </w:rPr>
              <w:fldChar w:fldCharType="separate"/>
            </w:r>
            <w:r>
              <w:rPr>
                <w:rFonts w:ascii="Times New Roman"/>
                <w:color w:val="000000" w:themeColor="text1"/>
                <w:kern w:val="21"/>
                <w:sz w:val="21"/>
                <w:szCs w:val="21"/>
                <w:highlight w:val="none"/>
              </w:rPr>
              <w:t>⑥</w:t>
            </w:r>
            <w:r>
              <w:rPr>
                <w:rFonts w:ascii="Times New Roman"/>
                <w:snapToGrid w:val="0"/>
                <w:color w:val="000000" w:themeColor="text1"/>
                <w:kern w:val="21"/>
                <w:sz w:val="21"/>
                <w:szCs w:val="21"/>
                <w:highlight w:val="none"/>
              </w:rPr>
              <w:fldChar w:fldCharType="end"/>
            </w:r>
          </w:p>
        </w:tc>
        <w:tc>
          <w:tcPr>
            <w:tcW w:w="1638" w:type="dxa"/>
            <w:noWrap/>
            <w:tcMar>
              <w:left w:w="28" w:type="dxa"/>
              <w:right w:w="28" w:type="dxa"/>
            </w:tcMar>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变化量</w:t>
            </w:r>
          </w:p>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fldChar w:fldCharType="begin"/>
            </w:r>
            <w:r>
              <w:rPr>
                <w:rFonts w:ascii="Times New Roman"/>
                <w:snapToGrid w:val="0"/>
                <w:color w:val="000000" w:themeColor="text1"/>
                <w:kern w:val="21"/>
                <w:sz w:val="21"/>
                <w:szCs w:val="21"/>
                <w:highlight w:val="none"/>
              </w:rPr>
              <w:instrText xml:space="preserve"> = 7 \* GB3 \* MERGEFORMAT </w:instrText>
            </w:r>
            <w:r>
              <w:rPr>
                <w:rFonts w:ascii="Times New Roman"/>
                <w:snapToGrid w:val="0"/>
                <w:color w:val="000000" w:themeColor="text1"/>
                <w:kern w:val="21"/>
                <w:sz w:val="21"/>
                <w:szCs w:val="21"/>
                <w:highlight w:val="none"/>
              </w:rPr>
              <w:fldChar w:fldCharType="separate"/>
            </w:r>
            <w:r>
              <w:rPr>
                <w:rFonts w:ascii="Times New Roman"/>
                <w:color w:val="000000" w:themeColor="text1"/>
                <w:kern w:val="21"/>
                <w:sz w:val="21"/>
                <w:szCs w:val="21"/>
                <w:highlight w:val="none"/>
              </w:rPr>
              <w:t>⑦</w:t>
            </w:r>
            <w:r>
              <w:rPr>
                <w:rFonts w:ascii="Times New Roman"/>
                <w:snapToGrid w:val="0"/>
                <w:color w:val="000000" w:themeColor="text1"/>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restart"/>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废气</w:t>
            </w:r>
          </w:p>
        </w:tc>
        <w:tc>
          <w:tcPr>
            <w:tcW w:w="1655" w:type="dxa"/>
            <w:noWrap/>
            <w:vAlign w:val="center"/>
          </w:tcPr>
          <w:p>
            <w:pPr>
              <w:spacing w:line="240" w:lineRule="auto"/>
              <w:ind w:firstLine="0" w:firstLineChars="0"/>
              <w:jc w:val="center"/>
              <w:rPr>
                <w:color w:val="000000" w:themeColor="text1"/>
                <w:sz w:val="21"/>
                <w:szCs w:val="21"/>
                <w:highlight w:val="none"/>
              </w:rPr>
            </w:pPr>
            <w:r>
              <w:rPr>
                <w:color w:val="000000" w:themeColor="text1"/>
                <w:sz w:val="21"/>
                <w:szCs w:val="21"/>
                <w:highlight w:val="none"/>
              </w:rPr>
              <w:t>颗粒物</w:t>
            </w:r>
          </w:p>
        </w:tc>
        <w:tc>
          <w:tcPr>
            <w:tcW w:w="1495" w:type="dxa"/>
            <w:noWrap/>
            <w:vAlign w:val="center"/>
          </w:tcPr>
          <w:p>
            <w:pPr>
              <w:pStyle w:val="53"/>
              <w:spacing w:line="240" w:lineRule="auto"/>
              <w:rPr>
                <w:color w:val="000000" w:themeColor="text1"/>
                <w:sz w:val="21"/>
                <w:szCs w:val="21"/>
                <w:highlight w:val="none"/>
              </w:rPr>
            </w:pPr>
            <w:r>
              <w:rPr>
                <w:color w:val="000000" w:themeColor="text1"/>
                <w:sz w:val="21"/>
                <w:szCs w:val="21"/>
                <w:highlight w:val="none"/>
              </w:rPr>
              <w:t>0</w:t>
            </w:r>
          </w:p>
        </w:tc>
        <w:tc>
          <w:tcPr>
            <w:tcW w:w="1215" w:type="dxa"/>
            <w:noWrap/>
            <w:vAlign w:val="center"/>
          </w:tcPr>
          <w:p>
            <w:pPr>
              <w:pStyle w:val="53"/>
              <w:spacing w:line="240" w:lineRule="auto"/>
              <w:rPr>
                <w:color w:val="000000" w:themeColor="text1"/>
                <w:sz w:val="21"/>
                <w:szCs w:val="21"/>
                <w:highlight w:val="none"/>
              </w:rPr>
            </w:pPr>
            <w:r>
              <w:rPr>
                <w:color w:val="000000" w:themeColor="text1"/>
                <w:sz w:val="21"/>
                <w:szCs w:val="21"/>
                <w:highlight w:val="none"/>
              </w:rPr>
              <w:t>0</w:t>
            </w:r>
          </w:p>
        </w:tc>
        <w:tc>
          <w:tcPr>
            <w:tcW w:w="1620"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485" w:type="dxa"/>
            <w:noWrap/>
            <w:vAlign w:val="center"/>
          </w:tcPr>
          <w:p>
            <w:pPr>
              <w:pStyle w:val="36"/>
              <w:spacing w:beforeLines="0" w:afterLines="0" w:line="240" w:lineRule="auto"/>
              <w:ind w:firstLine="0" w:firstLineChars="0"/>
              <w:rPr>
                <w:rFonts w:hint="default" w:ascii="Times New Roman" w:eastAsia="宋体"/>
                <w:snapToGrid w:val="0"/>
                <w:color w:val="000000" w:themeColor="text1"/>
                <w:kern w:val="21"/>
                <w:sz w:val="21"/>
                <w:szCs w:val="21"/>
                <w:highlight w:val="none"/>
                <w:lang w:val="en-US" w:eastAsia="zh-CN"/>
              </w:rPr>
            </w:pPr>
            <w:r>
              <w:rPr>
                <w:rFonts w:hint="eastAsia" w:ascii="Times New Roman"/>
                <w:snapToGrid w:val="0"/>
                <w:color w:val="000000" w:themeColor="text1"/>
                <w:kern w:val="21"/>
                <w:sz w:val="21"/>
                <w:szCs w:val="21"/>
                <w:highlight w:val="none"/>
              </w:rPr>
              <w:t>0.6374</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93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snapToGrid w:val="0"/>
                <w:color w:val="000000" w:themeColor="text1"/>
                <w:kern w:val="21"/>
                <w:sz w:val="21"/>
                <w:szCs w:val="21"/>
                <w:highlight w:val="none"/>
              </w:rPr>
              <w:t>0.6374</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snapToGrid w:val="0"/>
                <w:color w:val="000000" w:themeColor="text1"/>
                <w:kern w:val="21"/>
                <w:sz w:val="21"/>
                <w:szCs w:val="21"/>
                <w:highlight w:val="none"/>
                <w:lang w:val="en-US" w:eastAsia="zh-CN"/>
              </w:rPr>
              <w:t>+</w:t>
            </w:r>
            <w:r>
              <w:rPr>
                <w:rFonts w:hint="eastAsia" w:ascii="Times New Roman"/>
                <w:snapToGrid w:val="0"/>
                <w:color w:val="000000" w:themeColor="text1"/>
                <w:kern w:val="21"/>
                <w:sz w:val="21"/>
                <w:szCs w:val="21"/>
                <w:highlight w:val="none"/>
              </w:rPr>
              <w:t>0.6374</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spacing w:line="240" w:lineRule="auto"/>
              <w:ind w:firstLine="0" w:firstLineChars="0"/>
              <w:jc w:val="center"/>
              <w:rPr>
                <w:snapToGrid w:val="0"/>
                <w:color w:val="000000" w:themeColor="text1"/>
                <w:kern w:val="21"/>
                <w:sz w:val="21"/>
                <w:szCs w:val="21"/>
                <w:highlight w:val="none"/>
              </w:rPr>
            </w:pPr>
            <w:r>
              <w:rPr>
                <w:color w:val="000000" w:themeColor="text1"/>
                <w:sz w:val="21"/>
                <w:szCs w:val="21"/>
                <w:highlight w:val="none"/>
              </w:rPr>
              <w:t>SO</w:t>
            </w:r>
            <w:r>
              <w:rPr>
                <w:color w:val="000000" w:themeColor="text1"/>
                <w:sz w:val="21"/>
                <w:szCs w:val="21"/>
                <w:highlight w:val="none"/>
                <w:vertAlign w:val="subscript"/>
              </w:rPr>
              <w:t>2</w:t>
            </w:r>
          </w:p>
        </w:tc>
        <w:tc>
          <w:tcPr>
            <w:tcW w:w="1495" w:type="dxa"/>
            <w:noWrap/>
            <w:vAlign w:val="center"/>
          </w:tcPr>
          <w:p>
            <w:pPr>
              <w:pStyle w:val="53"/>
              <w:spacing w:line="240" w:lineRule="auto"/>
              <w:rPr>
                <w:snapToGrid w:val="0"/>
                <w:color w:val="000000" w:themeColor="text1"/>
                <w:kern w:val="21"/>
                <w:sz w:val="21"/>
                <w:szCs w:val="21"/>
                <w:highlight w:val="none"/>
              </w:rPr>
            </w:pPr>
            <w:r>
              <w:rPr>
                <w:color w:val="000000" w:themeColor="text1"/>
                <w:sz w:val="21"/>
                <w:szCs w:val="21"/>
                <w:highlight w:val="none"/>
              </w:rPr>
              <w:t>0</w:t>
            </w:r>
          </w:p>
        </w:tc>
        <w:tc>
          <w:tcPr>
            <w:tcW w:w="1215" w:type="dxa"/>
            <w:noWrap/>
            <w:vAlign w:val="center"/>
          </w:tcPr>
          <w:p>
            <w:pPr>
              <w:pStyle w:val="53"/>
              <w:spacing w:line="240" w:lineRule="auto"/>
              <w:rPr>
                <w:snapToGrid w:val="0"/>
                <w:color w:val="000000" w:themeColor="text1"/>
                <w:kern w:val="21"/>
                <w:sz w:val="21"/>
                <w:szCs w:val="21"/>
                <w:highlight w:val="none"/>
              </w:rPr>
            </w:pPr>
            <w:r>
              <w:rPr>
                <w:color w:val="000000" w:themeColor="text1"/>
                <w:sz w:val="21"/>
                <w:szCs w:val="21"/>
                <w:highlight w:val="none"/>
              </w:rPr>
              <w:t>0</w:t>
            </w:r>
          </w:p>
        </w:tc>
        <w:tc>
          <w:tcPr>
            <w:tcW w:w="1620"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485" w:type="dxa"/>
            <w:noWrap/>
            <w:vAlign w:val="center"/>
          </w:tcPr>
          <w:p>
            <w:pPr>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0.102</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935" w:type="dxa"/>
            <w:noWrap/>
            <w:vAlign w:val="center"/>
          </w:tcPr>
          <w:p>
            <w:pPr>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0.102</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w:t>
            </w:r>
            <w:r>
              <w:rPr>
                <w:rFonts w:hint="eastAsia"/>
                <w:snapToGrid w:val="0"/>
                <w:color w:val="000000" w:themeColor="text1"/>
                <w:kern w:val="21"/>
                <w:sz w:val="21"/>
                <w:szCs w:val="21"/>
                <w:highlight w:val="none"/>
              </w:rPr>
              <w:t>0.102</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spacing w:line="240" w:lineRule="auto"/>
              <w:ind w:firstLine="0" w:firstLineChars="0"/>
              <w:jc w:val="center"/>
              <w:rPr>
                <w:snapToGrid w:val="0"/>
                <w:color w:val="000000" w:themeColor="text1"/>
                <w:kern w:val="21"/>
                <w:sz w:val="21"/>
                <w:szCs w:val="21"/>
                <w:highlight w:val="none"/>
              </w:rPr>
            </w:pPr>
            <w:r>
              <w:rPr>
                <w:color w:val="000000" w:themeColor="text1"/>
                <w:sz w:val="21"/>
                <w:szCs w:val="21"/>
                <w:highlight w:val="none"/>
              </w:rPr>
              <w:t>NO</w:t>
            </w:r>
            <w:r>
              <w:rPr>
                <w:color w:val="000000" w:themeColor="text1"/>
                <w:sz w:val="21"/>
                <w:szCs w:val="21"/>
                <w:highlight w:val="none"/>
                <w:vertAlign w:val="subscript"/>
              </w:rPr>
              <w:t>X</w:t>
            </w:r>
          </w:p>
        </w:tc>
        <w:tc>
          <w:tcPr>
            <w:tcW w:w="1495" w:type="dxa"/>
            <w:noWrap/>
            <w:vAlign w:val="center"/>
          </w:tcPr>
          <w:p>
            <w:pPr>
              <w:pStyle w:val="53"/>
              <w:spacing w:line="240" w:lineRule="auto"/>
              <w:rPr>
                <w:snapToGrid w:val="0"/>
                <w:color w:val="000000" w:themeColor="text1"/>
                <w:kern w:val="21"/>
                <w:sz w:val="21"/>
                <w:szCs w:val="21"/>
                <w:highlight w:val="none"/>
              </w:rPr>
            </w:pPr>
            <w:r>
              <w:rPr>
                <w:color w:val="000000" w:themeColor="text1"/>
                <w:sz w:val="21"/>
                <w:szCs w:val="21"/>
                <w:highlight w:val="none"/>
              </w:rPr>
              <w:t>0</w:t>
            </w:r>
          </w:p>
        </w:tc>
        <w:tc>
          <w:tcPr>
            <w:tcW w:w="1215" w:type="dxa"/>
            <w:noWrap/>
            <w:vAlign w:val="center"/>
          </w:tcPr>
          <w:p>
            <w:pPr>
              <w:pStyle w:val="53"/>
              <w:spacing w:line="240" w:lineRule="auto"/>
              <w:rPr>
                <w:snapToGrid w:val="0"/>
                <w:color w:val="000000" w:themeColor="text1"/>
                <w:kern w:val="21"/>
                <w:sz w:val="21"/>
                <w:szCs w:val="21"/>
                <w:highlight w:val="none"/>
              </w:rPr>
            </w:pPr>
            <w:r>
              <w:rPr>
                <w:color w:val="000000" w:themeColor="text1"/>
                <w:sz w:val="21"/>
                <w:szCs w:val="21"/>
                <w:highlight w:val="none"/>
              </w:rPr>
              <w:t>0</w:t>
            </w:r>
          </w:p>
        </w:tc>
        <w:tc>
          <w:tcPr>
            <w:tcW w:w="1620"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485" w:type="dxa"/>
            <w:noWrap/>
            <w:vAlign w:val="center"/>
          </w:tcPr>
          <w:p>
            <w:pPr>
              <w:pStyle w:val="59"/>
              <w:spacing w:line="240" w:lineRule="auto"/>
              <w:ind w:firstLine="0" w:firstLineChars="0"/>
              <w:jc w:val="center"/>
              <w:rPr>
                <w:rFonts w:ascii="Times New Roman" w:hAnsi="Times New Roman" w:cs="Times New Roman"/>
                <w:snapToGrid w:val="0"/>
                <w:color w:val="000000" w:themeColor="text1"/>
                <w:kern w:val="21"/>
                <w:sz w:val="21"/>
                <w:szCs w:val="21"/>
                <w:highlight w:val="none"/>
              </w:rPr>
            </w:pPr>
            <w:r>
              <w:rPr>
                <w:rFonts w:hint="eastAsia" w:ascii="Times New Roman" w:hAnsi="Times New Roman" w:cs="Times New Roman"/>
                <w:snapToGrid w:val="0"/>
                <w:color w:val="000000" w:themeColor="text1"/>
                <w:kern w:val="21"/>
                <w:sz w:val="21"/>
                <w:szCs w:val="21"/>
                <w:highlight w:val="none"/>
              </w:rPr>
              <w:t>1.464</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935" w:type="dxa"/>
            <w:noWrap/>
            <w:vAlign w:val="center"/>
          </w:tcPr>
          <w:p>
            <w:pPr>
              <w:pStyle w:val="59"/>
              <w:spacing w:line="240" w:lineRule="auto"/>
              <w:ind w:firstLine="0" w:firstLineChars="0"/>
              <w:jc w:val="center"/>
              <w:rPr>
                <w:rFonts w:ascii="Times New Roman" w:hAnsi="Times New Roman" w:cs="Times New Roman"/>
                <w:snapToGrid w:val="0"/>
                <w:color w:val="000000" w:themeColor="text1"/>
                <w:kern w:val="21"/>
                <w:sz w:val="21"/>
                <w:szCs w:val="21"/>
                <w:highlight w:val="none"/>
              </w:rPr>
            </w:pPr>
            <w:r>
              <w:rPr>
                <w:rFonts w:hint="eastAsia" w:ascii="Times New Roman" w:hAnsi="Times New Roman" w:cs="Times New Roman"/>
                <w:snapToGrid w:val="0"/>
                <w:color w:val="000000" w:themeColor="text1"/>
                <w:kern w:val="21"/>
                <w:sz w:val="21"/>
                <w:szCs w:val="21"/>
                <w:highlight w:val="none"/>
              </w:rPr>
              <w:t>1.464</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pStyle w:val="59"/>
              <w:spacing w:line="240" w:lineRule="auto"/>
              <w:ind w:firstLine="0" w:firstLineChars="0"/>
              <w:jc w:val="center"/>
              <w:rPr>
                <w:snapToGrid w:val="0"/>
                <w:color w:val="000000" w:themeColor="text1"/>
                <w:kern w:val="21"/>
                <w:sz w:val="21"/>
                <w:szCs w:val="21"/>
                <w:highlight w:val="none"/>
              </w:rPr>
            </w:pPr>
            <w:r>
              <w:rPr>
                <w:rFonts w:hint="eastAsia" w:ascii="Times New Roman" w:hAnsi="Times New Roman" w:cs="Times New Roman"/>
                <w:snapToGrid w:val="0"/>
                <w:color w:val="000000" w:themeColor="text1"/>
                <w:kern w:val="21"/>
                <w:sz w:val="21"/>
                <w:szCs w:val="21"/>
                <w:highlight w:val="none"/>
                <w:lang w:val="en-US" w:eastAsia="zh-CN"/>
              </w:rPr>
              <w:t>+</w:t>
            </w:r>
            <w:r>
              <w:rPr>
                <w:rFonts w:hint="eastAsia" w:ascii="Times New Roman" w:hAnsi="Times New Roman" w:cs="Times New Roman"/>
                <w:snapToGrid w:val="0"/>
                <w:color w:val="000000" w:themeColor="text1"/>
                <w:kern w:val="21"/>
                <w:sz w:val="21"/>
                <w:szCs w:val="21"/>
                <w:highlight w:val="none"/>
              </w:rPr>
              <w:t>1.464</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pStyle w:val="36"/>
              <w:spacing w:beforeLines="0" w:afterLines="0" w:line="240" w:lineRule="auto"/>
              <w:ind w:firstLine="0" w:firstLineChars="0"/>
              <w:rPr>
                <w:rFonts w:ascii="Times New Roman"/>
                <w:color w:val="000000" w:themeColor="text1"/>
                <w:sz w:val="21"/>
                <w:szCs w:val="21"/>
                <w:highlight w:val="none"/>
              </w:rPr>
            </w:pPr>
            <w:r>
              <w:rPr>
                <w:rFonts w:ascii="Times New Roman"/>
                <w:snapToGrid w:val="0"/>
                <w:color w:val="000000" w:themeColor="text1"/>
                <w:kern w:val="21"/>
                <w:sz w:val="21"/>
                <w:szCs w:val="21"/>
                <w:highlight w:val="none"/>
              </w:rPr>
              <w:t>沥青烟</w:t>
            </w:r>
          </w:p>
        </w:tc>
        <w:tc>
          <w:tcPr>
            <w:tcW w:w="1495" w:type="dxa"/>
            <w:noWrap/>
            <w:vAlign w:val="center"/>
          </w:tcPr>
          <w:p>
            <w:pPr>
              <w:pStyle w:val="53"/>
              <w:spacing w:line="240" w:lineRule="auto"/>
              <w:rPr>
                <w:color w:val="000000" w:themeColor="text1"/>
                <w:sz w:val="21"/>
                <w:szCs w:val="21"/>
                <w:highlight w:val="none"/>
              </w:rPr>
            </w:pPr>
            <w:r>
              <w:rPr>
                <w:color w:val="000000" w:themeColor="text1"/>
                <w:sz w:val="21"/>
                <w:szCs w:val="21"/>
                <w:highlight w:val="none"/>
              </w:rPr>
              <w:t>0</w:t>
            </w:r>
          </w:p>
        </w:tc>
        <w:tc>
          <w:tcPr>
            <w:tcW w:w="1215" w:type="dxa"/>
            <w:noWrap/>
            <w:vAlign w:val="center"/>
          </w:tcPr>
          <w:p>
            <w:pPr>
              <w:pStyle w:val="53"/>
              <w:spacing w:line="240" w:lineRule="auto"/>
              <w:rPr>
                <w:color w:val="000000" w:themeColor="text1"/>
                <w:sz w:val="21"/>
                <w:szCs w:val="21"/>
                <w:highlight w:val="none"/>
              </w:rPr>
            </w:pPr>
            <w:r>
              <w:rPr>
                <w:color w:val="000000" w:themeColor="text1"/>
                <w:sz w:val="21"/>
                <w:szCs w:val="21"/>
                <w:highlight w:val="none"/>
              </w:rPr>
              <w:t>0</w:t>
            </w:r>
          </w:p>
        </w:tc>
        <w:tc>
          <w:tcPr>
            <w:tcW w:w="1620"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48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snapToGrid w:val="0"/>
                <w:color w:val="000000" w:themeColor="text1"/>
                <w:kern w:val="21"/>
                <w:sz w:val="21"/>
                <w:szCs w:val="21"/>
                <w:highlight w:val="none"/>
              </w:rPr>
              <w:t>0.038</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93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snapToGrid w:val="0"/>
                <w:color w:val="000000" w:themeColor="text1"/>
                <w:kern w:val="21"/>
                <w:sz w:val="21"/>
                <w:szCs w:val="21"/>
                <w:highlight w:val="none"/>
              </w:rPr>
              <w:t>0.038</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pStyle w:val="36"/>
              <w:spacing w:beforeLines="0" w:afterLines="0" w:line="240" w:lineRule="auto"/>
              <w:ind w:firstLine="0" w:firstLineChars="0"/>
              <w:rPr>
                <w:snapToGrid w:val="0"/>
                <w:color w:val="000000" w:themeColor="text1"/>
                <w:kern w:val="21"/>
                <w:sz w:val="21"/>
                <w:szCs w:val="21"/>
                <w:highlight w:val="none"/>
              </w:rPr>
            </w:pPr>
            <w:r>
              <w:rPr>
                <w:rFonts w:hint="eastAsia" w:ascii="Times New Roman"/>
                <w:snapToGrid w:val="0"/>
                <w:color w:val="000000" w:themeColor="text1"/>
                <w:kern w:val="21"/>
                <w:sz w:val="21"/>
                <w:szCs w:val="21"/>
                <w:highlight w:val="none"/>
                <w:lang w:val="en-US" w:eastAsia="zh-CN"/>
              </w:rPr>
              <w:t>+</w:t>
            </w:r>
            <w:r>
              <w:rPr>
                <w:rFonts w:hint="eastAsia" w:ascii="Times New Roman"/>
                <w:snapToGrid w:val="0"/>
                <w:color w:val="000000" w:themeColor="text1"/>
                <w:kern w:val="21"/>
                <w:sz w:val="21"/>
                <w:szCs w:val="21"/>
                <w:highlight w:val="none"/>
              </w:rPr>
              <w:t>0.038</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pStyle w:val="36"/>
              <w:spacing w:beforeLines="0" w:afterLines="0" w:line="240" w:lineRule="auto"/>
              <w:ind w:firstLine="0" w:firstLineChars="0"/>
              <w:rPr>
                <w:rFonts w:ascii="Times New Roman"/>
                <w:color w:val="000000" w:themeColor="text1"/>
                <w:sz w:val="21"/>
                <w:szCs w:val="21"/>
                <w:highlight w:val="none"/>
              </w:rPr>
            </w:pPr>
            <w:r>
              <w:rPr>
                <w:rFonts w:ascii="Times New Roman"/>
                <w:snapToGrid w:val="0"/>
                <w:color w:val="000000" w:themeColor="text1"/>
                <w:kern w:val="21"/>
                <w:sz w:val="21"/>
                <w:szCs w:val="21"/>
                <w:highlight w:val="none"/>
              </w:rPr>
              <w:t>苯并芘</w:t>
            </w:r>
          </w:p>
        </w:tc>
        <w:tc>
          <w:tcPr>
            <w:tcW w:w="1495" w:type="dxa"/>
            <w:noWrap/>
            <w:vAlign w:val="center"/>
          </w:tcPr>
          <w:p>
            <w:pPr>
              <w:pStyle w:val="53"/>
              <w:spacing w:line="240" w:lineRule="auto"/>
              <w:rPr>
                <w:color w:val="000000" w:themeColor="text1"/>
                <w:sz w:val="21"/>
                <w:szCs w:val="21"/>
                <w:highlight w:val="none"/>
              </w:rPr>
            </w:pPr>
            <w:r>
              <w:rPr>
                <w:color w:val="000000" w:themeColor="text1"/>
                <w:sz w:val="21"/>
                <w:szCs w:val="21"/>
                <w:highlight w:val="none"/>
              </w:rPr>
              <w:t>0</w:t>
            </w:r>
          </w:p>
        </w:tc>
        <w:tc>
          <w:tcPr>
            <w:tcW w:w="1215" w:type="dxa"/>
            <w:noWrap/>
            <w:vAlign w:val="center"/>
          </w:tcPr>
          <w:p>
            <w:pPr>
              <w:pStyle w:val="53"/>
              <w:spacing w:line="240" w:lineRule="auto"/>
              <w:rPr>
                <w:color w:val="000000" w:themeColor="text1"/>
                <w:sz w:val="21"/>
                <w:szCs w:val="21"/>
                <w:highlight w:val="none"/>
              </w:rPr>
            </w:pPr>
            <w:r>
              <w:rPr>
                <w:color w:val="000000" w:themeColor="text1"/>
                <w:sz w:val="21"/>
                <w:szCs w:val="21"/>
                <w:highlight w:val="none"/>
              </w:rPr>
              <w:t>0</w:t>
            </w:r>
          </w:p>
        </w:tc>
        <w:tc>
          <w:tcPr>
            <w:tcW w:w="1620"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48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color w:val="000000" w:themeColor="text1"/>
                <w:kern w:val="2"/>
                <w:sz w:val="21"/>
                <w:szCs w:val="21"/>
                <w:highlight w:val="none"/>
              </w:rPr>
              <w:t>5.74</w:t>
            </w:r>
            <w:r>
              <w:rPr>
                <w:rFonts w:ascii="Times New Roman"/>
                <w:color w:val="000000" w:themeColor="text1"/>
                <w:sz w:val="21"/>
                <w:szCs w:val="21"/>
                <w:highlight w:val="none"/>
              </w:rPr>
              <w:t>×10</w:t>
            </w:r>
            <w:r>
              <w:rPr>
                <w:rFonts w:ascii="Times New Roman"/>
                <w:color w:val="000000" w:themeColor="text1"/>
                <w:sz w:val="21"/>
                <w:szCs w:val="21"/>
                <w:highlight w:val="none"/>
                <w:vertAlign w:val="superscript"/>
              </w:rPr>
              <w:t>-</w:t>
            </w:r>
            <w:r>
              <w:rPr>
                <w:rFonts w:hint="eastAsia" w:ascii="Times New Roman"/>
                <w:color w:val="000000" w:themeColor="text1"/>
                <w:sz w:val="21"/>
                <w:szCs w:val="21"/>
                <w:highlight w:val="none"/>
                <w:vertAlign w:val="superscript"/>
              </w:rPr>
              <w:t>7</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93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color w:val="000000" w:themeColor="text1"/>
                <w:kern w:val="2"/>
                <w:sz w:val="21"/>
                <w:szCs w:val="21"/>
                <w:highlight w:val="none"/>
              </w:rPr>
              <w:t>5.74</w:t>
            </w:r>
            <w:r>
              <w:rPr>
                <w:rFonts w:ascii="Times New Roman"/>
                <w:color w:val="000000" w:themeColor="text1"/>
                <w:sz w:val="21"/>
                <w:szCs w:val="21"/>
                <w:highlight w:val="none"/>
              </w:rPr>
              <w:t>×10</w:t>
            </w:r>
            <w:r>
              <w:rPr>
                <w:rFonts w:ascii="Times New Roman"/>
                <w:color w:val="000000" w:themeColor="text1"/>
                <w:sz w:val="21"/>
                <w:szCs w:val="21"/>
                <w:highlight w:val="none"/>
                <w:vertAlign w:val="superscript"/>
              </w:rPr>
              <w:t>-</w:t>
            </w:r>
            <w:r>
              <w:rPr>
                <w:rFonts w:hint="eastAsia" w:ascii="Times New Roman"/>
                <w:color w:val="000000" w:themeColor="text1"/>
                <w:sz w:val="21"/>
                <w:szCs w:val="21"/>
                <w:highlight w:val="none"/>
                <w:vertAlign w:val="superscript"/>
              </w:rPr>
              <w:t>7</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pStyle w:val="36"/>
              <w:spacing w:beforeLines="0" w:afterLines="0" w:line="240" w:lineRule="auto"/>
              <w:ind w:firstLine="0" w:firstLineChars="0"/>
              <w:rPr>
                <w:snapToGrid w:val="0"/>
                <w:color w:val="000000" w:themeColor="text1"/>
                <w:kern w:val="21"/>
                <w:sz w:val="21"/>
                <w:szCs w:val="21"/>
                <w:highlight w:val="none"/>
              </w:rPr>
            </w:pPr>
            <w:r>
              <w:rPr>
                <w:rFonts w:hint="eastAsia" w:ascii="Times New Roman"/>
                <w:color w:val="000000" w:themeColor="text1"/>
                <w:kern w:val="2"/>
                <w:sz w:val="21"/>
                <w:szCs w:val="21"/>
                <w:highlight w:val="none"/>
                <w:lang w:val="en-US" w:eastAsia="zh-CN"/>
              </w:rPr>
              <w:t>+</w:t>
            </w:r>
            <w:r>
              <w:rPr>
                <w:rFonts w:hint="eastAsia" w:ascii="Times New Roman"/>
                <w:color w:val="000000" w:themeColor="text1"/>
                <w:kern w:val="2"/>
                <w:sz w:val="21"/>
                <w:szCs w:val="21"/>
                <w:highlight w:val="none"/>
              </w:rPr>
              <w:t>5.74</w:t>
            </w:r>
            <w:r>
              <w:rPr>
                <w:rFonts w:ascii="Times New Roman"/>
                <w:color w:val="000000" w:themeColor="text1"/>
                <w:sz w:val="21"/>
                <w:szCs w:val="21"/>
                <w:highlight w:val="none"/>
              </w:rPr>
              <w:t>×10</w:t>
            </w:r>
            <w:r>
              <w:rPr>
                <w:rFonts w:ascii="Times New Roman"/>
                <w:color w:val="000000" w:themeColor="text1"/>
                <w:sz w:val="21"/>
                <w:szCs w:val="21"/>
                <w:highlight w:val="none"/>
                <w:vertAlign w:val="superscript"/>
              </w:rPr>
              <w:t>-</w:t>
            </w:r>
            <w:r>
              <w:rPr>
                <w:rFonts w:hint="eastAsia" w:ascii="Times New Roman"/>
                <w:color w:val="000000" w:themeColor="text1"/>
                <w:sz w:val="21"/>
                <w:szCs w:val="21"/>
                <w:highlight w:val="none"/>
                <w:vertAlign w:val="superscript"/>
              </w:rPr>
              <w:t>7</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pStyle w:val="36"/>
              <w:spacing w:beforeLines="0" w:afterLines="0" w:line="240" w:lineRule="auto"/>
              <w:ind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非甲烷总烃</w:t>
            </w:r>
          </w:p>
        </w:tc>
        <w:tc>
          <w:tcPr>
            <w:tcW w:w="1495" w:type="dxa"/>
            <w:noWrap/>
            <w:vAlign w:val="center"/>
          </w:tcPr>
          <w:p>
            <w:pPr>
              <w:pStyle w:val="53"/>
              <w:spacing w:line="240" w:lineRule="auto"/>
              <w:rPr>
                <w:color w:val="000000" w:themeColor="text1"/>
                <w:sz w:val="21"/>
                <w:szCs w:val="21"/>
                <w:highlight w:val="none"/>
              </w:rPr>
            </w:pPr>
            <w:r>
              <w:rPr>
                <w:rFonts w:hint="eastAsia"/>
                <w:color w:val="000000" w:themeColor="text1"/>
                <w:sz w:val="21"/>
                <w:szCs w:val="21"/>
                <w:highlight w:val="none"/>
              </w:rPr>
              <w:t>0</w:t>
            </w:r>
          </w:p>
        </w:tc>
        <w:tc>
          <w:tcPr>
            <w:tcW w:w="1215" w:type="dxa"/>
            <w:noWrap/>
            <w:vAlign w:val="center"/>
          </w:tcPr>
          <w:p>
            <w:pPr>
              <w:pStyle w:val="53"/>
              <w:spacing w:line="240" w:lineRule="auto"/>
              <w:rPr>
                <w:color w:val="000000" w:themeColor="text1"/>
                <w:sz w:val="21"/>
                <w:szCs w:val="21"/>
                <w:highlight w:val="none"/>
              </w:rPr>
            </w:pPr>
            <w:r>
              <w:rPr>
                <w:rFonts w:hint="eastAsia"/>
                <w:color w:val="000000" w:themeColor="text1"/>
                <w:sz w:val="21"/>
                <w:szCs w:val="21"/>
                <w:highlight w:val="none"/>
              </w:rPr>
              <w:t>0</w:t>
            </w:r>
          </w:p>
        </w:tc>
        <w:tc>
          <w:tcPr>
            <w:tcW w:w="1620"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snapToGrid w:val="0"/>
                <w:color w:val="000000" w:themeColor="text1"/>
                <w:kern w:val="21"/>
                <w:sz w:val="21"/>
                <w:szCs w:val="21"/>
                <w:highlight w:val="none"/>
              </w:rPr>
              <w:t>0</w:t>
            </w:r>
          </w:p>
        </w:tc>
        <w:tc>
          <w:tcPr>
            <w:tcW w:w="148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color w:val="000000" w:themeColor="text1"/>
                <w:sz w:val="21"/>
                <w:szCs w:val="21"/>
                <w:highlight w:val="none"/>
                <w:lang w:bidi="ar"/>
              </w:rPr>
              <w:t>0.00177</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snapToGrid w:val="0"/>
                <w:color w:val="000000" w:themeColor="text1"/>
                <w:kern w:val="21"/>
                <w:sz w:val="21"/>
                <w:szCs w:val="21"/>
                <w:highlight w:val="none"/>
              </w:rPr>
              <w:t>0</w:t>
            </w:r>
          </w:p>
        </w:tc>
        <w:tc>
          <w:tcPr>
            <w:tcW w:w="193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hint="eastAsia" w:ascii="Times New Roman"/>
                <w:color w:val="000000" w:themeColor="text1"/>
                <w:sz w:val="21"/>
                <w:szCs w:val="21"/>
                <w:highlight w:val="none"/>
                <w:lang w:bidi="ar"/>
              </w:rPr>
              <w:t>0.00177</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pStyle w:val="36"/>
              <w:spacing w:beforeLines="0" w:afterLines="0" w:line="240" w:lineRule="auto"/>
              <w:ind w:firstLine="0" w:firstLineChars="0"/>
              <w:rPr>
                <w:snapToGrid w:val="0"/>
                <w:color w:val="000000" w:themeColor="text1"/>
                <w:kern w:val="21"/>
                <w:sz w:val="21"/>
                <w:szCs w:val="21"/>
                <w:highlight w:val="none"/>
              </w:rPr>
            </w:pPr>
            <w:r>
              <w:rPr>
                <w:rFonts w:hint="eastAsia" w:ascii="Times New Roman"/>
                <w:color w:val="000000" w:themeColor="text1"/>
                <w:sz w:val="21"/>
                <w:szCs w:val="21"/>
                <w:highlight w:val="none"/>
                <w:lang w:val="en-US" w:eastAsia="zh-CN" w:bidi="ar"/>
              </w:rPr>
              <w:t>+</w:t>
            </w:r>
            <w:r>
              <w:rPr>
                <w:rFonts w:hint="eastAsia" w:ascii="Times New Roman"/>
                <w:color w:val="000000" w:themeColor="text1"/>
                <w:sz w:val="21"/>
                <w:szCs w:val="21"/>
                <w:highlight w:val="none"/>
                <w:lang w:bidi="ar"/>
              </w:rPr>
              <w:t>0.00177</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restart"/>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废水</w:t>
            </w:r>
          </w:p>
        </w:tc>
        <w:tc>
          <w:tcPr>
            <w:tcW w:w="1655" w:type="dxa"/>
            <w:noWrap/>
            <w:vAlign w:val="center"/>
          </w:tcPr>
          <w:p>
            <w:pPr>
              <w:spacing w:line="240" w:lineRule="auto"/>
              <w:ind w:firstLine="0" w:firstLineChars="0"/>
              <w:jc w:val="center"/>
              <w:rPr>
                <w:snapToGrid w:val="0"/>
                <w:color w:val="000000" w:themeColor="text1"/>
                <w:kern w:val="21"/>
                <w:sz w:val="21"/>
                <w:szCs w:val="21"/>
                <w:highlight w:val="none"/>
              </w:rPr>
            </w:pPr>
            <w:r>
              <w:rPr>
                <w:color w:val="000000" w:themeColor="text1"/>
                <w:sz w:val="21"/>
                <w:szCs w:val="21"/>
                <w:highlight w:val="none"/>
              </w:rPr>
              <w:t>COD</w:t>
            </w:r>
          </w:p>
        </w:tc>
        <w:tc>
          <w:tcPr>
            <w:tcW w:w="1495" w:type="dxa"/>
            <w:noWrap/>
            <w:vAlign w:val="center"/>
          </w:tcPr>
          <w:p>
            <w:pPr>
              <w:pStyle w:val="53"/>
              <w:spacing w:line="240" w:lineRule="auto"/>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pStyle w:val="53"/>
              <w:spacing w:line="240" w:lineRule="auto"/>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48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39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93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638" w:type="dxa"/>
            <w:noWrap/>
            <w:vAlign w:val="center"/>
          </w:tcPr>
          <w:p>
            <w:pPr>
              <w:pStyle w:val="36"/>
              <w:spacing w:beforeLines="0" w:afterLines="0" w:line="240" w:lineRule="auto"/>
              <w:ind w:firstLine="0" w:firstLineChars="0"/>
              <w:rPr>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spacing w:line="240" w:lineRule="auto"/>
              <w:ind w:firstLine="0" w:firstLineChars="0"/>
              <w:jc w:val="center"/>
              <w:rPr>
                <w:snapToGrid w:val="0"/>
                <w:color w:val="000000" w:themeColor="text1"/>
                <w:kern w:val="21"/>
                <w:sz w:val="21"/>
                <w:szCs w:val="21"/>
                <w:highlight w:val="none"/>
              </w:rPr>
            </w:pPr>
            <w:r>
              <w:rPr>
                <w:color w:val="000000" w:themeColor="text1"/>
                <w:sz w:val="21"/>
                <w:szCs w:val="21"/>
                <w:highlight w:val="none"/>
              </w:rPr>
              <w:t>NH</w:t>
            </w:r>
            <w:r>
              <w:rPr>
                <w:color w:val="000000" w:themeColor="text1"/>
                <w:sz w:val="21"/>
                <w:szCs w:val="21"/>
                <w:highlight w:val="none"/>
                <w:vertAlign w:val="subscript"/>
              </w:rPr>
              <w:t>3</w:t>
            </w:r>
            <w:r>
              <w:rPr>
                <w:color w:val="000000" w:themeColor="text1"/>
                <w:sz w:val="21"/>
                <w:szCs w:val="21"/>
                <w:highlight w:val="none"/>
              </w:rPr>
              <w:t>-N</w:t>
            </w:r>
          </w:p>
        </w:tc>
        <w:tc>
          <w:tcPr>
            <w:tcW w:w="1495" w:type="dxa"/>
            <w:noWrap/>
            <w:vAlign w:val="center"/>
          </w:tcPr>
          <w:p>
            <w:pPr>
              <w:pStyle w:val="53"/>
              <w:spacing w:line="240" w:lineRule="auto"/>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pStyle w:val="53"/>
              <w:spacing w:line="240" w:lineRule="auto"/>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48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39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935" w:type="dxa"/>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c>
          <w:tcPr>
            <w:tcW w:w="1638" w:type="dxa"/>
            <w:noWrap/>
            <w:vAlign w:val="center"/>
          </w:tcPr>
          <w:p>
            <w:pPr>
              <w:pStyle w:val="36"/>
              <w:spacing w:beforeLines="0" w:afterLines="0" w:line="240" w:lineRule="auto"/>
              <w:ind w:firstLine="0" w:firstLineChars="0"/>
              <w:rPr>
                <w:snapToGrid w:val="0"/>
                <w:color w:val="000000" w:themeColor="text1"/>
                <w:kern w:val="21"/>
                <w:sz w:val="21"/>
                <w:szCs w:val="21"/>
                <w:highlight w:val="none"/>
              </w:rPr>
            </w:pPr>
            <w:r>
              <w:rPr>
                <w:rFonts w:ascii="Times New Roman"/>
                <w:snapToGrid w:val="0"/>
                <w:color w:val="000000" w:themeColor="text1"/>
                <w:kern w:val="21"/>
                <w:sz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restart"/>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一般工业</w:t>
            </w:r>
          </w:p>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固体废物</w:t>
            </w:r>
          </w:p>
        </w:tc>
        <w:tc>
          <w:tcPr>
            <w:tcW w:w="165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除尘灰</w:t>
            </w:r>
          </w:p>
        </w:tc>
        <w:tc>
          <w:tcPr>
            <w:tcW w:w="14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48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43.38</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93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43.38</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w:t>
            </w:r>
            <w:r>
              <w:rPr>
                <w:rFonts w:hint="eastAsia"/>
                <w:snapToGrid w:val="0"/>
                <w:color w:val="000000" w:themeColor="text1"/>
                <w:kern w:val="21"/>
                <w:sz w:val="21"/>
                <w:szCs w:val="21"/>
                <w:highlight w:val="none"/>
              </w:rPr>
              <w:t>43.38</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color w:val="000000" w:themeColor="text1"/>
                <w:sz w:val="21"/>
                <w:szCs w:val="21"/>
                <w:highlight w:val="none"/>
              </w:rPr>
              <w:t>沥青拌合站筛分废料</w:t>
            </w:r>
          </w:p>
        </w:tc>
        <w:tc>
          <w:tcPr>
            <w:tcW w:w="14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48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5.8</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93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5.8</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w:t>
            </w:r>
            <w:r>
              <w:rPr>
                <w:rFonts w:hint="eastAsia"/>
                <w:snapToGrid w:val="0"/>
                <w:color w:val="000000" w:themeColor="text1"/>
                <w:kern w:val="21"/>
                <w:sz w:val="21"/>
                <w:szCs w:val="21"/>
                <w:highlight w:val="none"/>
              </w:rPr>
              <w:t>5.8</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restart"/>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r>
              <w:rPr>
                <w:rFonts w:ascii="Times New Roman"/>
                <w:snapToGrid w:val="0"/>
                <w:color w:val="000000" w:themeColor="text1"/>
                <w:kern w:val="21"/>
                <w:sz w:val="21"/>
                <w:szCs w:val="21"/>
                <w:highlight w:val="none"/>
              </w:rPr>
              <w:t>危险废物</w:t>
            </w:r>
          </w:p>
        </w:tc>
        <w:tc>
          <w:tcPr>
            <w:tcW w:w="1655" w:type="dxa"/>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废导热油</w:t>
            </w:r>
          </w:p>
        </w:tc>
        <w:tc>
          <w:tcPr>
            <w:tcW w:w="14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48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1</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0</w:t>
            </w:r>
          </w:p>
        </w:tc>
        <w:tc>
          <w:tcPr>
            <w:tcW w:w="193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1</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w:t>
            </w:r>
            <w:r>
              <w:rPr>
                <w:rFonts w:hint="eastAsia"/>
                <w:snapToGrid w:val="0"/>
                <w:color w:val="000000" w:themeColor="text1"/>
                <w:kern w:val="21"/>
                <w:sz w:val="21"/>
                <w:szCs w:val="21"/>
                <w:highlight w:val="none"/>
              </w:rPr>
              <w:t>1</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widowControl/>
              <w:spacing w:line="240" w:lineRule="auto"/>
              <w:ind w:firstLine="0" w:firstLineChars="0"/>
              <w:jc w:val="center"/>
              <w:rPr>
                <w:color w:val="000000" w:themeColor="text1"/>
                <w:sz w:val="21"/>
                <w:szCs w:val="21"/>
                <w:highlight w:val="none"/>
              </w:rPr>
            </w:pPr>
            <w:r>
              <w:rPr>
                <w:color w:val="000000" w:themeColor="text1"/>
                <w:kern w:val="0"/>
                <w:sz w:val="21"/>
                <w:szCs w:val="21"/>
                <w:highlight w:val="none"/>
                <w:lang w:bidi="ar"/>
              </w:rPr>
              <w:t>废活性炭</w:t>
            </w:r>
          </w:p>
        </w:tc>
        <w:tc>
          <w:tcPr>
            <w:tcW w:w="14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48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1.08</w:t>
            </w:r>
          </w:p>
        </w:tc>
        <w:tc>
          <w:tcPr>
            <w:tcW w:w="13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0</w:t>
            </w:r>
          </w:p>
        </w:tc>
        <w:tc>
          <w:tcPr>
            <w:tcW w:w="193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1.08</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w:t>
            </w:r>
            <w:r>
              <w:rPr>
                <w:rFonts w:hint="eastAsia"/>
                <w:snapToGrid w:val="0"/>
                <w:color w:val="000000" w:themeColor="text1"/>
                <w:kern w:val="21"/>
                <w:sz w:val="21"/>
                <w:szCs w:val="21"/>
                <w:highlight w:val="none"/>
              </w:rPr>
              <w:t>1.08</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widowControl/>
              <w:spacing w:line="240" w:lineRule="auto"/>
              <w:ind w:firstLine="0" w:firstLineChars="0"/>
              <w:jc w:val="center"/>
              <w:rPr>
                <w:color w:val="000000" w:themeColor="text1"/>
                <w:kern w:val="0"/>
                <w:sz w:val="21"/>
                <w:szCs w:val="21"/>
                <w:highlight w:val="none"/>
                <w:lang w:bidi="ar"/>
              </w:rPr>
            </w:pPr>
            <w:r>
              <w:rPr>
                <w:rFonts w:hint="eastAsia"/>
                <w:color w:val="000000" w:themeColor="text1"/>
                <w:sz w:val="21"/>
                <w:szCs w:val="21"/>
                <w:highlight w:val="none"/>
                <w:lang w:val="en-US" w:eastAsia="zh-CN"/>
              </w:rPr>
              <w:t>涉及沥青废气治理的废布袋</w:t>
            </w:r>
          </w:p>
        </w:tc>
        <w:tc>
          <w:tcPr>
            <w:tcW w:w="14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48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0.05</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widowControl/>
              <w:spacing w:line="240" w:lineRule="auto"/>
              <w:ind w:firstLine="0" w:firstLineChars="0"/>
              <w:jc w:val="center"/>
              <w:rPr>
                <w:rFonts w:hint="eastAsia"/>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0</w:t>
            </w:r>
          </w:p>
        </w:tc>
        <w:tc>
          <w:tcPr>
            <w:tcW w:w="193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0.05</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widowControl/>
              <w:spacing w:line="240" w:lineRule="auto"/>
              <w:ind w:firstLine="0" w:firstLineChars="0"/>
              <w:jc w:val="center"/>
              <w:rPr>
                <w:rFonts w:hint="eastAsia" w:eastAsia="宋体"/>
                <w:snapToGrid w:val="0"/>
                <w:color w:val="000000" w:themeColor="text1"/>
                <w:kern w:val="21"/>
                <w:sz w:val="21"/>
                <w:szCs w:val="21"/>
                <w:highlight w:val="none"/>
                <w:lang w:val="en-US" w:eastAsia="zh-CN"/>
              </w:rPr>
            </w:pPr>
            <w:r>
              <w:rPr>
                <w:rFonts w:hint="eastAsia"/>
                <w:snapToGrid w:val="0"/>
                <w:color w:val="000000" w:themeColor="text1"/>
                <w:kern w:val="21"/>
                <w:sz w:val="21"/>
                <w:szCs w:val="21"/>
                <w:highlight w:val="none"/>
                <w:lang w:val="en-US" w:eastAsia="zh-CN"/>
              </w:rPr>
              <w:t>+0.05</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widowControl/>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废润滑油</w:t>
            </w:r>
          </w:p>
        </w:tc>
        <w:tc>
          <w:tcPr>
            <w:tcW w:w="14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48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0.5</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0</w:t>
            </w:r>
          </w:p>
        </w:tc>
        <w:tc>
          <w:tcPr>
            <w:tcW w:w="193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0.5</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w:t>
            </w:r>
            <w:r>
              <w:rPr>
                <w:snapToGrid w:val="0"/>
                <w:color w:val="000000" w:themeColor="text1"/>
                <w:kern w:val="21"/>
                <w:sz w:val="21"/>
                <w:szCs w:val="21"/>
                <w:highlight w:val="none"/>
              </w:rPr>
              <w:t>0.5</w:t>
            </w:r>
            <w:r>
              <w:rPr>
                <w:rFonts w:hint="eastAsia" w:ascii="Times New Roman"/>
                <w:snapToGrid w:val="0"/>
                <w:color w:val="000000" w:themeColor="text1"/>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0" w:type="dxa"/>
            <w:vMerge w:val="continue"/>
            <w:noWrap/>
            <w:vAlign w:val="center"/>
          </w:tcPr>
          <w:p>
            <w:pPr>
              <w:pStyle w:val="36"/>
              <w:spacing w:beforeLines="0" w:afterLines="0" w:line="240" w:lineRule="auto"/>
              <w:ind w:firstLine="0" w:firstLineChars="0"/>
              <w:rPr>
                <w:rFonts w:ascii="Times New Roman"/>
                <w:snapToGrid w:val="0"/>
                <w:color w:val="000000" w:themeColor="text1"/>
                <w:kern w:val="21"/>
                <w:sz w:val="21"/>
                <w:szCs w:val="21"/>
                <w:highlight w:val="none"/>
              </w:rPr>
            </w:pPr>
          </w:p>
        </w:tc>
        <w:tc>
          <w:tcPr>
            <w:tcW w:w="1655" w:type="dxa"/>
            <w:noWrap/>
            <w:vAlign w:val="center"/>
          </w:tcPr>
          <w:p>
            <w:pPr>
              <w:widowControl/>
              <w:spacing w:line="240" w:lineRule="auto"/>
              <w:ind w:firstLine="0" w:firstLineChars="0"/>
              <w:jc w:val="center"/>
              <w:rPr>
                <w:color w:val="000000" w:themeColor="text1"/>
                <w:kern w:val="0"/>
                <w:sz w:val="21"/>
                <w:szCs w:val="21"/>
                <w:highlight w:val="none"/>
                <w:lang w:bidi="ar"/>
              </w:rPr>
            </w:pPr>
            <w:r>
              <w:rPr>
                <w:color w:val="000000" w:themeColor="text1"/>
                <w:kern w:val="0"/>
                <w:sz w:val="21"/>
                <w:szCs w:val="21"/>
                <w:highlight w:val="none"/>
                <w:lang w:bidi="ar"/>
              </w:rPr>
              <w:t>废油桶</w:t>
            </w:r>
          </w:p>
        </w:tc>
        <w:tc>
          <w:tcPr>
            <w:tcW w:w="14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21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620"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w:t>
            </w:r>
          </w:p>
        </w:tc>
        <w:tc>
          <w:tcPr>
            <w:tcW w:w="148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0.5</w:t>
            </w:r>
            <w:r>
              <w:rPr>
                <w:rFonts w:hint="eastAsia" w:ascii="Times New Roman"/>
                <w:snapToGrid w:val="0"/>
                <w:color w:val="000000" w:themeColor="text1"/>
                <w:kern w:val="21"/>
                <w:sz w:val="21"/>
                <w:szCs w:val="21"/>
                <w:highlight w:val="none"/>
                <w:lang w:val="en-US" w:eastAsia="zh-CN"/>
              </w:rPr>
              <w:t>t/a</w:t>
            </w:r>
          </w:p>
        </w:tc>
        <w:tc>
          <w:tcPr>
            <w:tcW w:w="139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rPr>
              <w:t>0</w:t>
            </w:r>
          </w:p>
        </w:tc>
        <w:tc>
          <w:tcPr>
            <w:tcW w:w="1935"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snapToGrid w:val="0"/>
                <w:color w:val="000000" w:themeColor="text1"/>
                <w:kern w:val="21"/>
                <w:sz w:val="21"/>
                <w:szCs w:val="21"/>
                <w:highlight w:val="none"/>
              </w:rPr>
              <w:t>0.5</w:t>
            </w:r>
            <w:r>
              <w:rPr>
                <w:rFonts w:hint="eastAsia" w:ascii="Times New Roman"/>
                <w:snapToGrid w:val="0"/>
                <w:color w:val="000000" w:themeColor="text1"/>
                <w:kern w:val="21"/>
                <w:sz w:val="21"/>
                <w:szCs w:val="21"/>
                <w:highlight w:val="none"/>
                <w:lang w:val="en-US" w:eastAsia="zh-CN"/>
              </w:rPr>
              <w:t>t/a</w:t>
            </w:r>
          </w:p>
        </w:tc>
        <w:tc>
          <w:tcPr>
            <w:tcW w:w="1638" w:type="dxa"/>
            <w:noWrap/>
            <w:vAlign w:val="center"/>
          </w:tcPr>
          <w:p>
            <w:pPr>
              <w:widowControl/>
              <w:spacing w:line="240" w:lineRule="auto"/>
              <w:ind w:firstLine="0" w:firstLineChars="0"/>
              <w:jc w:val="center"/>
              <w:rPr>
                <w:snapToGrid w:val="0"/>
                <w:color w:val="000000" w:themeColor="text1"/>
                <w:kern w:val="21"/>
                <w:sz w:val="21"/>
                <w:szCs w:val="21"/>
                <w:highlight w:val="none"/>
              </w:rPr>
            </w:pPr>
            <w:r>
              <w:rPr>
                <w:rFonts w:hint="eastAsia"/>
                <w:snapToGrid w:val="0"/>
                <w:color w:val="000000" w:themeColor="text1"/>
                <w:kern w:val="21"/>
                <w:sz w:val="21"/>
                <w:szCs w:val="21"/>
                <w:highlight w:val="none"/>
                <w:lang w:val="en-US" w:eastAsia="zh-CN"/>
              </w:rPr>
              <w:t>+</w:t>
            </w:r>
            <w:r>
              <w:rPr>
                <w:snapToGrid w:val="0"/>
                <w:color w:val="000000" w:themeColor="text1"/>
                <w:kern w:val="21"/>
                <w:sz w:val="21"/>
                <w:szCs w:val="21"/>
                <w:highlight w:val="none"/>
              </w:rPr>
              <w:t>0.5</w:t>
            </w:r>
            <w:r>
              <w:rPr>
                <w:rFonts w:hint="eastAsia" w:ascii="Times New Roman"/>
                <w:snapToGrid w:val="0"/>
                <w:color w:val="000000" w:themeColor="text1"/>
                <w:kern w:val="21"/>
                <w:sz w:val="21"/>
                <w:szCs w:val="21"/>
                <w:highlight w:val="none"/>
                <w:lang w:val="en-US" w:eastAsia="zh-CN"/>
              </w:rPr>
              <w:t>t/a</w:t>
            </w:r>
          </w:p>
        </w:tc>
      </w:tr>
    </w:tbl>
    <w:p>
      <w:pPr>
        <w:pStyle w:val="36"/>
        <w:spacing w:before="192" w:beforeLines="80" w:after="24"/>
        <w:ind w:firstLine="420"/>
        <w:jc w:val="left"/>
        <w:rPr>
          <w:rFonts w:hAnsi="宋体"/>
          <w:snapToGrid w:val="0"/>
          <w:color w:val="000000" w:themeColor="text1"/>
          <w:kern w:val="21"/>
          <w:szCs w:val="21"/>
        </w:rPr>
      </w:pPr>
      <w:r>
        <w:rPr>
          <w:rFonts w:hAnsi="宋体"/>
          <w:snapToGrid w:val="0"/>
          <w:color w:val="000000" w:themeColor="text1"/>
          <w:kern w:val="21"/>
          <w:szCs w:val="21"/>
        </w:rPr>
        <w:t>注：</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6 \* GB3 \* MERGEFORMAT </w:instrText>
      </w:r>
      <w:r>
        <w:rPr>
          <w:rFonts w:hAnsi="宋体"/>
          <w:snapToGrid w:val="0"/>
          <w:color w:val="000000" w:themeColor="text1"/>
          <w:kern w:val="21"/>
          <w:szCs w:val="21"/>
        </w:rPr>
        <w:fldChar w:fldCharType="separate"/>
      </w:r>
      <w:r>
        <w:rPr>
          <w:rFonts w:hint="eastAsia" w:hAnsi="宋体"/>
          <w:color w:val="000000" w:themeColor="text1"/>
          <w:kern w:val="21"/>
          <w:szCs w:val="21"/>
        </w:rPr>
        <w:t>⑥</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1 \* GB3 \* MERGEFORMAT </w:instrText>
      </w:r>
      <w:r>
        <w:rPr>
          <w:rFonts w:hAnsi="宋体"/>
          <w:snapToGrid w:val="0"/>
          <w:color w:val="000000" w:themeColor="text1"/>
          <w:kern w:val="21"/>
          <w:szCs w:val="21"/>
        </w:rPr>
        <w:fldChar w:fldCharType="separate"/>
      </w:r>
      <w:r>
        <w:rPr>
          <w:rFonts w:hint="eastAsia" w:hAnsi="宋体"/>
          <w:color w:val="000000" w:themeColor="text1"/>
          <w:kern w:val="21"/>
          <w:szCs w:val="21"/>
        </w:rPr>
        <w:t>①</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3 \* GB3 \* MERGEFORMAT </w:instrText>
      </w:r>
      <w:r>
        <w:rPr>
          <w:rFonts w:hAnsi="宋体"/>
          <w:snapToGrid w:val="0"/>
          <w:color w:val="000000" w:themeColor="text1"/>
          <w:kern w:val="21"/>
          <w:szCs w:val="21"/>
        </w:rPr>
        <w:fldChar w:fldCharType="separate"/>
      </w:r>
      <w:r>
        <w:rPr>
          <w:rFonts w:hint="eastAsia" w:hAnsi="宋体"/>
          <w:color w:val="000000" w:themeColor="text1"/>
          <w:kern w:val="21"/>
          <w:szCs w:val="21"/>
        </w:rPr>
        <w:t>③</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4 \* GB3 \* MERGEFORMAT </w:instrText>
      </w:r>
      <w:r>
        <w:rPr>
          <w:rFonts w:hAnsi="宋体"/>
          <w:snapToGrid w:val="0"/>
          <w:color w:val="000000" w:themeColor="text1"/>
          <w:kern w:val="21"/>
          <w:szCs w:val="21"/>
        </w:rPr>
        <w:fldChar w:fldCharType="separate"/>
      </w:r>
      <w:r>
        <w:rPr>
          <w:rFonts w:hint="eastAsia" w:hAnsi="宋体"/>
          <w:color w:val="000000" w:themeColor="text1"/>
          <w:kern w:val="21"/>
          <w:szCs w:val="21"/>
        </w:rPr>
        <w:t>④</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5 \* GB3 \* MERGEFORMAT </w:instrText>
      </w:r>
      <w:r>
        <w:rPr>
          <w:rFonts w:hAnsi="宋体"/>
          <w:snapToGrid w:val="0"/>
          <w:color w:val="000000" w:themeColor="text1"/>
          <w:kern w:val="21"/>
          <w:szCs w:val="21"/>
        </w:rPr>
        <w:fldChar w:fldCharType="separate"/>
      </w:r>
      <w:r>
        <w:rPr>
          <w:rFonts w:hint="eastAsia" w:hAnsi="宋体"/>
          <w:color w:val="000000" w:themeColor="text1"/>
          <w:kern w:val="21"/>
          <w:szCs w:val="21"/>
        </w:rPr>
        <w:t>⑤</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7 \* GB3 \* MERGEFORMAT </w:instrText>
      </w:r>
      <w:r>
        <w:rPr>
          <w:rFonts w:hAnsi="宋体"/>
          <w:snapToGrid w:val="0"/>
          <w:color w:val="000000" w:themeColor="text1"/>
          <w:kern w:val="21"/>
          <w:szCs w:val="21"/>
        </w:rPr>
        <w:fldChar w:fldCharType="separate"/>
      </w:r>
      <w:r>
        <w:rPr>
          <w:rFonts w:hint="eastAsia" w:hAnsi="宋体"/>
          <w:color w:val="000000" w:themeColor="text1"/>
          <w:kern w:val="21"/>
          <w:szCs w:val="21"/>
        </w:rPr>
        <w:t>⑦</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6 \* GB3 \* MERGEFORMAT </w:instrText>
      </w:r>
      <w:r>
        <w:rPr>
          <w:rFonts w:hAnsi="宋体"/>
          <w:snapToGrid w:val="0"/>
          <w:color w:val="000000" w:themeColor="text1"/>
          <w:kern w:val="21"/>
          <w:szCs w:val="21"/>
        </w:rPr>
        <w:fldChar w:fldCharType="separate"/>
      </w:r>
      <w:r>
        <w:rPr>
          <w:rFonts w:hint="eastAsia" w:hAnsi="宋体"/>
          <w:color w:val="000000" w:themeColor="text1"/>
          <w:kern w:val="21"/>
          <w:szCs w:val="21"/>
        </w:rPr>
        <w:t>⑥</w:t>
      </w:r>
      <w:r>
        <w:rPr>
          <w:rFonts w:hAnsi="宋体"/>
          <w:snapToGrid w:val="0"/>
          <w:color w:val="000000" w:themeColor="text1"/>
          <w:kern w:val="21"/>
          <w:szCs w:val="21"/>
        </w:rPr>
        <w:fldChar w:fldCharType="end"/>
      </w:r>
      <w:r>
        <w:rPr>
          <w:rFonts w:hAnsi="宋体"/>
          <w:snapToGrid w:val="0"/>
          <w:color w:val="000000" w:themeColor="text1"/>
          <w:kern w:val="21"/>
          <w:szCs w:val="21"/>
        </w:rPr>
        <w:t>-</w:t>
      </w:r>
      <w:r>
        <w:rPr>
          <w:rFonts w:hAnsi="宋体"/>
          <w:snapToGrid w:val="0"/>
          <w:color w:val="000000" w:themeColor="text1"/>
          <w:kern w:val="21"/>
          <w:szCs w:val="21"/>
        </w:rPr>
        <w:fldChar w:fldCharType="begin"/>
      </w:r>
      <w:r>
        <w:rPr>
          <w:rFonts w:hAnsi="宋体"/>
          <w:snapToGrid w:val="0"/>
          <w:color w:val="000000" w:themeColor="text1"/>
          <w:kern w:val="21"/>
          <w:szCs w:val="21"/>
        </w:rPr>
        <w:instrText xml:space="preserve"> = 1 \* GB3 \* MERGEFORMAT </w:instrText>
      </w:r>
      <w:r>
        <w:rPr>
          <w:rFonts w:hAnsi="宋体"/>
          <w:snapToGrid w:val="0"/>
          <w:color w:val="000000" w:themeColor="text1"/>
          <w:kern w:val="21"/>
          <w:szCs w:val="21"/>
        </w:rPr>
        <w:fldChar w:fldCharType="separate"/>
      </w:r>
      <w:r>
        <w:rPr>
          <w:rFonts w:hint="eastAsia" w:hAnsi="宋体"/>
          <w:color w:val="000000" w:themeColor="text1"/>
          <w:kern w:val="21"/>
          <w:szCs w:val="21"/>
        </w:rPr>
        <w:t>①</w:t>
      </w:r>
      <w:r>
        <w:rPr>
          <w:rFonts w:hAnsi="宋体"/>
          <w:snapToGrid w:val="0"/>
          <w:color w:val="000000" w:themeColor="text1"/>
          <w:kern w:val="21"/>
          <w:szCs w:val="21"/>
        </w:rPr>
        <w:fldChar w:fldCharType="end"/>
      </w:r>
    </w:p>
    <w:p>
      <w:pPr>
        <w:ind w:firstLine="420"/>
        <w:rPr>
          <w:rFonts w:eastAsia="黑体"/>
          <w:color w:val="000000" w:themeColor="text1"/>
          <w:sz w:val="21"/>
          <w:szCs w:val="21"/>
        </w:rPr>
        <w:sectPr>
          <w:footerReference r:id="rId13" w:type="default"/>
          <w:pgSz w:w="16838" w:h="11906" w:orient="landscape"/>
          <w:pgMar w:top="1134" w:right="1531" w:bottom="1701" w:left="1531" w:header="851" w:footer="851" w:gutter="0"/>
          <w:cols w:space="720" w:num="1"/>
          <w:docGrid w:linePitch="312" w:charSpace="0"/>
        </w:sectPr>
      </w:pPr>
      <w:r>
        <w:rPr>
          <w:rFonts w:hint="eastAsia" w:eastAsia="黑体"/>
          <w:color w:val="000000" w:themeColor="text1"/>
          <w:sz w:val="21"/>
          <w:szCs w:val="21"/>
        </w:rPr>
        <w:t>（注：</w:t>
      </w:r>
      <w:r>
        <w:rPr>
          <w:rFonts w:hint="eastAsia"/>
          <w:color w:val="000000" w:themeColor="text1"/>
          <w:sz w:val="21"/>
          <w:szCs w:val="21"/>
        </w:rPr>
        <w:t>填写建设项目污染物排放量汇总表，其中现有工程污染物排放情况根据排污许可证执行报告填写，无排污许可证执行报告或执行报告中无相关内容的，通过监测数据核算现有工程污染物排放情况。</w:t>
      </w:r>
      <w:r>
        <w:rPr>
          <w:rFonts w:hint="eastAsia" w:eastAsia="黑体"/>
          <w:color w:val="000000" w:themeColor="text1"/>
          <w:sz w:val="21"/>
          <w:szCs w:val="21"/>
        </w:rPr>
        <w:t>）</w:t>
      </w:r>
    </w:p>
    <w:p>
      <w:pPr>
        <w:spacing w:line="240" w:lineRule="auto"/>
        <w:ind w:firstLine="0" w:firstLineChars="0"/>
        <w:jc w:val="center"/>
        <w:rPr>
          <w:color w:val="000000" w:themeColor="text1"/>
        </w:rPr>
      </w:pPr>
      <w:r>
        <w:rPr>
          <w:color w:val="000000" w:themeColor="text1"/>
        </w:rPr>
        <w:pict>
          <v:shape id="_x0000_i1034" o:spt="75" type="#_x0000_t75" style="height:433.9pt;width:695.6pt;" filled="f" o:preferrelative="t" stroked="f" coordsize="21600,21600">
            <v:path/>
            <v:fill on="f" focussize="0,0"/>
            <v:stroke on="f" joinstyle="miter"/>
            <v:imagedata r:id="rId25" o:title=""/>
            <o:lock v:ext="edit" aspectratio="t"/>
            <w10:wrap type="none"/>
            <w10:anchorlock/>
          </v:shape>
        </w:pict>
      </w:r>
    </w:p>
    <w:p>
      <w:pPr>
        <w:spacing w:line="240" w:lineRule="auto"/>
        <w:ind w:firstLine="0" w:firstLineChars="0"/>
        <w:jc w:val="center"/>
        <w:rPr>
          <w:b/>
          <w:color w:val="000000" w:themeColor="text1"/>
        </w:rPr>
        <w:sectPr>
          <w:footerReference r:id="rId14" w:type="default"/>
          <w:pgSz w:w="16838" w:h="11906" w:orient="landscape"/>
          <w:pgMar w:top="1587" w:right="1417" w:bottom="1134" w:left="1417" w:header="624" w:footer="624" w:gutter="0"/>
          <w:cols w:space="720" w:num="1"/>
          <w:docGrid w:linePitch="312" w:charSpace="0"/>
        </w:sectPr>
      </w:pPr>
      <w:r>
        <w:rPr>
          <w:b/>
          <w:color w:val="000000" w:themeColor="text1"/>
        </w:rPr>
        <w:t>附图</w:t>
      </w:r>
      <w:r>
        <w:rPr>
          <w:rFonts w:hint="eastAsia"/>
          <w:b/>
          <w:color w:val="000000" w:themeColor="text1"/>
        </w:rPr>
        <w:t xml:space="preserve">1  </w:t>
      </w:r>
      <w:r>
        <w:rPr>
          <w:b/>
          <w:color w:val="000000" w:themeColor="text1"/>
        </w:rPr>
        <w:t>项目地理位置</w:t>
      </w:r>
      <w:r>
        <w:rPr>
          <w:rFonts w:hint="eastAsia"/>
          <w:b/>
          <w:color w:val="000000" w:themeColor="text1"/>
        </w:rPr>
        <w:t>图</w:t>
      </w:r>
    </w:p>
    <w:p>
      <w:pPr>
        <w:pStyle w:val="30"/>
        <w:spacing w:line="240" w:lineRule="auto"/>
        <w:ind w:left="0" w:leftChars="0"/>
        <w:rPr>
          <w:color w:val="000000" w:themeColor="text1"/>
        </w:rPr>
      </w:pPr>
      <w:r>
        <w:rPr>
          <w:color w:val="000000" w:themeColor="text1"/>
        </w:rPr>
        <w:pict>
          <v:shape id="_x0000_s1397" o:spid="_x0000_s1397" o:spt="75" type="#_x0000_t75" style="position:absolute;left:0pt;margin-left:638pt;margin-top:12.45pt;height:50.55pt;width:48.75pt;z-index:251660288;mso-width-relative:page;mso-height-relative:page;" filled="f" o:preferrelative="t" stroked="f" coordsize="21600,21600">
            <v:path/>
            <v:fill on="f" focussize="0,0"/>
            <v:stroke on="f" joinstyle="miter"/>
            <v:imagedata r:id="rId26" cropbottom="2434f" o:title=""/>
            <o:lock v:ext="edit" aspectratio="t"/>
          </v:shape>
        </w:pict>
      </w:r>
      <w:r>
        <w:rPr>
          <w:color w:val="000000" w:themeColor="text1"/>
        </w:rPr>
        <w:pict>
          <v:shape id="_x0000_i1035" o:spt="75" type="#_x0000_t75" style="height:430.75pt;width:699.35pt;" filled="f" o:preferrelative="t" stroked="f" coordsize="21600,21600">
            <v:path/>
            <v:fill on="f" focussize="0,0"/>
            <v:stroke on="f" joinstyle="miter"/>
            <v:imagedata r:id="rId27" o:title=""/>
            <o:lock v:ext="edit" aspectratio="t"/>
            <w10:wrap type="none"/>
            <w10:anchorlock/>
          </v:shape>
        </w:pict>
      </w:r>
    </w:p>
    <w:p>
      <w:pPr>
        <w:spacing w:line="240" w:lineRule="auto"/>
        <w:ind w:firstLine="0" w:firstLineChars="0"/>
        <w:jc w:val="center"/>
        <w:rPr>
          <w:b/>
          <w:color w:val="000000" w:themeColor="text1"/>
        </w:rPr>
      </w:pPr>
      <w:r>
        <w:rPr>
          <w:b/>
          <w:color w:val="000000" w:themeColor="text1"/>
        </w:rPr>
        <w:t>附图</w:t>
      </w:r>
      <w:r>
        <w:rPr>
          <w:rFonts w:hint="eastAsia"/>
          <w:b/>
          <w:color w:val="000000" w:themeColor="text1"/>
        </w:rPr>
        <w:t xml:space="preserve">2  </w:t>
      </w:r>
      <w:r>
        <w:rPr>
          <w:b/>
          <w:color w:val="000000" w:themeColor="text1"/>
          <w:szCs w:val="21"/>
        </w:rPr>
        <w:t>项目</w:t>
      </w:r>
      <w:r>
        <w:rPr>
          <w:rFonts w:hint="eastAsia"/>
          <w:b/>
          <w:color w:val="000000" w:themeColor="text1"/>
          <w:szCs w:val="21"/>
        </w:rPr>
        <w:t>平面布置</w:t>
      </w:r>
      <w:r>
        <w:rPr>
          <w:b/>
          <w:color w:val="000000" w:themeColor="text1"/>
          <w:szCs w:val="21"/>
        </w:rPr>
        <w:t>图</w:t>
      </w:r>
    </w:p>
    <w:p>
      <w:pPr>
        <w:pStyle w:val="30"/>
        <w:ind w:left="0" w:leftChars="0"/>
        <w:rPr>
          <w:color w:val="000000" w:themeColor="text1"/>
        </w:rPr>
      </w:pPr>
      <w:r>
        <w:rPr>
          <w:rFonts w:hint="eastAsia"/>
          <w:color w:val="000000" w:themeColor="text1"/>
        </w:rPr>
        <w:br w:type="page"/>
      </w:r>
      <w:r>
        <w:rPr>
          <w:color w:val="000000" w:themeColor="text1"/>
        </w:rPr>
        <w:pict>
          <v:shape id="_x0000_i1036" o:spt="75" type="#_x0000_t75" style="height:404.6pt;width:699.45pt;" filled="f" o:preferrelative="t" stroked="f" coordsize="21600,21600">
            <v:path/>
            <v:fill on="f" focussize="0,0"/>
            <v:stroke on="f"/>
            <v:imagedata r:id="rId28" o:title=""/>
            <o:lock v:ext="edit" aspectratio="t"/>
            <w10:wrap type="none"/>
            <w10:anchorlock/>
          </v:shape>
        </w:pict>
      </w:r>
    </w:p>
    <w:p>
      <w:pPr>
        <w:ind w:firstLine="0" w:firstLineChars="0"/>
        <w:jc w:val="center"/>
        <w:rPr>
          <w:b/>
          <w:color w:val="000000" w:themeColor="text1"/>
          <w:szCs w:val="21"/>
        </w:rPr>
      </w:pPr>
      <w:r>
        <w:rPr>
          <w:b/>
          <w:color w:val="000000" w:themeColor="text1"/>
          <w:szCs w:val="21"/>
        </w:rPr>
        <w:t>附图</w:t>
      </w:r>
      <w:r>
        <w:rPr>
          <w:rFonts w:hint="eastAsia"/>
          <w:b/>
          <w:color w:val="000000" w:themeColor="text1"/>
          <w:szCs w:val="21"/>
        </w:rPr>
        <w:t>3</w:t>
      </w:r>
      <w:r>
        <w:rPr>
          <w:b/>
          <w:color w:val="000000" w:themeColor="text1"/>
          <w:szCs w:val="21"/>
        </w:rPr>
        <w:t xml:space="preserve">  </w:t>
      </w:r>
      <w:r>
        <w:rPr>
          <w:b/>
          <w:color w:val="000000" w:themeColor="text1"/>
        </w:rPr>
        <w:t>项目</w:t>
      </w:r>
      <w:r>
        <w:rPr>
          <w:rFonts w:hint="eastAsia"/>
          <w:b/>
          <w:bCs/>
          <w:color w:val="000000" w:themeColor="text1"/>
        </w:rPr>
        <w:t>环境保护目标分布图</w:t>
      </w:r>
    </w:p>
    <w:p>
      <w:pPr>
        <w:spacing w:line="240" w:lineRule="auto"/>
        <w:ind w:firstLine="0" w:firstLineChars="0"/>
        <w:jc w:val="center"/>
        <w:rPr>
          <w:b/>
          <w:color w:val="000000" w:themeColor="text1"/>
          <w:szCs w:val="21"/>
        </w:rPr>
      </w:pPr>
      <w:r>
        <w:rPr>
          <w:color w:val="000000" w:themeColor="text1"/>
        </w:rPr>
        <w:pict>
          <v:shape id="_x0000_i1037" o:spt="75" type="#_x0000_t75" style="height:415.1pt;width:699.35pt;" filled="f" o:preferrelative="t" stroked="f" coordsize="21600,21600">
            <v:path/>
            <v:fill on="f" focussize="0,0"/>
            <v:stroke on="f" joinstyle="miter"/>
            <v:imagedata r:id="rId29" o:title=""/>
            <o:lock v:ext="edit" aspectratio="t"/>
            <w10:wrap type="none"/>
            <w10:anchorlock/>
          </v:shape>
        </w:pict>
      </w:r>
    </w:p>
    <w:p>
      <w:pPr>
        <w:spacing w:line="240" w:lineRule="auto"/>
        <w:ind w:firstLine="0" w:firstLineChars="0"/>
        <w:jc w:val="center"/>
        <w:rPr>
          <w:b/>
          <w:color w:val="000000" w:themeColor="text1"/>
          <w:szCs w:val="21"/>
        </w:rPr>
      </w:pPr>
      <w:r>
        <w:rPr>
          <w:rFonts w:hint="eastAsia"/>
          <w:b/>
          <w:color w:val="000000" w:themeColor="text1"/>
          <w:szCs w:val="21"/>
        </w:rPr>
        <w:t xml:space="preserve">附图4  </w:t>
      </w:r>
      <w:r>
        <w:rPr>
          <w:rFonts w:hint="eastAsia"/>
          <w:b/>
          <w:bCs/>
          <w:color w:val="000000" w:themeColor="text1"/>
        </w:rPr>
        <w:t>项目与生态红线位置关系图</w:t>
      </w:r>
    </w:p>
    <w:p>
      <w:pPr>
        <w:spacing w:line="240" w:lineRule="auto"/>
        <w:ind w:firstLine="0" w:firstLineChars="0"/>
        <w:jc w:val="center"/>
        <w:rPr>
          <w:b/>
          <w:color w:val="000000" w:themeColor="text1"/>
          <w:szCs w:val="21"/>
        </w:rPr>
      </w:pPr>
      <w:r>
        <w:rPr>
          <w:color w:val="000000" w:themeColor="text1"/>
        </w:rPr>
        <w:pict>
          <v:shape id="_x0000_s1395" o:spid="_x0000_s1395" o:spt="75" alt="1672122585(1)" type="#_x0000_t75" style="position:absolute;left:0pt;margin-left:9.75pt;margin-top:9.75pt;height:82.55pt;width:140.35pt;z-index:251660288;mso-width-relative:page;mso-height-relative:page;" filled="f" o:preferrelative="t" stroked="t" coordsize="21600,21600">
            <v:path/>
            <v:fill on="f" focussize="0,0"/>
            <v:stroke joinstyle="miter"/>
            <v:imagedata r:id="rId30" o:title="1672122585(1)"/>
            <o:lock v:ext="edit" aspectratio="t"/>
          </v:shape>
        </w:pict>
      </w:r>
      <w:r>
        <w:rPr>
          <w:color w:val="000000" w:themeColor="text1"/>
        </w:rPr>
        <w:pict>
          <v:shape id="_x0000_i1038" o:spt="75" type="#_x0000_t75" style="height:441.4pt;width:699.95pt;" filled="f" o:preferrelative="t" stroked="f" coordsize="21600,21600">
            <v:path/>
            <v:fill on="f" focussize="0,0"/>
            <v:stroke on="f" joinstyle="miter"/>
            <v:imagedata r:id="rId31" o:title=""/>
            <o:lock v:ext="edit" aspectratio="t"/>
            <w10:wrap type="none"/>
            <w10:anchorlock/>
          </v:shape>
        </w:pict>
      </w:r>
    </w:p>
    <w:p>
      <w:pPr>
        <w:spacing w:line="240" w:lineRule="auto"/>
        <w:ind w:firstLine="0" w:firstLineChars="0"/>
        <w:jc w:val="center"/>
        <w:rPr>
          <w:b/>
          <w:color w:val="000000" w:themeColor="text1"/>
          <w:szCs w:val="21"/>
        </w:rPr>
      </w:pPr>
      <w:r>
        <w:rPr>
          <w:rFonts w:hint="eastAsia"/>
          <w:b/>
          <w:color w:val="000000" w:themeColor="text1"/>
          <w:szCs w:val="21"/>
        </w:rPr>
        <w:t>附图5 项目</w:t>
      </w:r>
      <w:r>
        <w:rPr>
          <w:rFonts w:hint="eastAsia"/>
          <w:b/>
          <w:bCs/>
          <w:color w:val="000000" w:themeColor="text1"/>
        </w:rPr>
        <w:t>监测点位布置图</w:t>
      </w:r>
    </w:p>
    <w:sectPr>
      <w:pgSz w:w="16838" w:h="11906" w:orient="landscape"/>
      <w:pgMar w:top="1587" w:right="1417" w:bottom="1134" w:left="1417" w:header="624" w:footer="624"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ind w:firstLine="360"/>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5"/>
                  <w:ind w:firstLine="0" w:firstLineChars="0"/>
                  <w:jc w:val="center"/>
                  <w:rPr>
                    <w:rStyle w:val="26"/>
                    <w:rFonts w:ascii="宋体" w:hAnsi="宋体"/>
                    <w:sz w:val="28"/>
                    <w:szCs w:val="28"/>
                  </w:rPr>
                </w:pPr>
                <w:r>
                  <w:rPr>
                    <w:rStyle w:val="26"/>
                    <w:rFonts w:hint="eastAsia" w:ascii="宋体" w:hAnsi="宋体"/>
                    <w:sz w:val="28"/>
                    <w:szCs w:val="28"/>
                  </w:rPr>
                  <w:t>—</w:t>
                </w: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30</w:t>
                </w:r>
                <w:r>
                  <w:rPr>
                    <w:sz w:val="21"/>
                    <w:szCs w:val="21"/>
                  </w:rPr>
                  <w:fldChar w:fldCharType="end"/>
                </w:r>
                <w:r>
                  <w:rPr>
                    <w:rStyle w:val="26"/>
                    <w:rFonts w:hint="eastAsia" w:ascii="宋体" w:hAnsi="宋体"/>
                    <w:sz w:val="28"/>
                    <w:szCs w:val="28"/>
                  </w:rPr>
                  <w:t>—</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5"/>
                  <w:ind w:firstLine="0" w:firstLineChars="0"/>
                  <w:jc w:val="center"/>
                  <w:rPr>
                    <w:rStyle w:val="26"/>
                    <w:rFonts w:ascii="宋体" w:hAnsi="宋体"/>
                    <w:sz w:val="28"/>
                    <w:szCs w:val="28"/>
                  </w:rPr>
                </w:pPr>
                <w:r>
                  <w:rPr>
                    <w:rStyle w:val="26"/>
                    <w:rFonts w:hint="eastAsia" w:ascii="宋体" w:hAnsi="宋体"/>
                    <w:sz w:val="28"/>
                    <w:szCs w:val="28"/>
                  </w:rPr>
                  <w:t>—</w:t>
                </w: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30</w:t>
                </w:r>
                <w:r>
                  <w:rPr>
                    <w:sz w:val="21"/>
                    <w:szCs w:val="21"/>
                  </w:rPr>
                  <w:fldChar w:fldCharType="end"/>
                </w:r>
                <w:r>
                  <w:rPr>
                    <w:rStyle w:val="26"/>
                    <w:rFonts w:hint="eastAsia" w:ascii="宋体" w:hAnsi="宋体"/>
                    <w:sz w:val="28"/>
                    <w:szCs w:val="28"/>
                  </w:rPr>
                  <w:t>—</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5"/>
                  <w:ind w:firstLine="560"/>
                  <w:rPr>
                    <w:rStyle w:val="26"/>
                    <w:rFonts w:ascii="宋体" w:hAnsi="宋体"/>
                    <w:sz w:val="28"/>
                    <w:szCs w:val="28"/>
                  </w:rPr>
                </w:pPr>
                <w:r>
                  <w:rPr>
                    <w:rStyle w:val="26"/>
                    <w:rFonts w:hint="eastAsia" w:ascii="宋体" w:hAnsi="宋体"/>
                    <w:sz w:val="28"/>
                    <w:szCs w:val="28"/>
                  </w:rPr>
                  <w:t>—</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46</w:t>
                </w:r>
                <w:r>
                  <w:rPr>
                    <w:rFonts w:ascii="宋体" w:hAnsi="宋体"/>
                    <w:sz w:val="26"/>
                    <w:szCs w:val="26"/>
                  </w:rPr>
                  <w:fldChar w:fldCharType="end"/>
                </w:r>
                <w:r>
                  <w:rPr>
                    <w:rStyle w:val="26"/>
                    <w:rFonts w:hint="eastAsia" w:ascii="宋体" w:hAnsi="宋体"/>
                    <w:sz w:val="28"/>
                    <w:szCs w:val="28"/>
                  </w:rPr>
                  <w:t>—</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ECBAFB"/>
    <w:multiLevelType w:val="singleLevel"/>
    <w:tmpl w:val="EEECBAFB"/>
    <w:lvl w:ilvl="0" w:tentative="0">
      <w:start w:val="5"/>
      <w:numFmt w:val="decimal"/>
      <w:suff w:val="nothing"/>
      <w:lvlText w:val="（%1）"/>
      <w:lvlJc w:val="left"/>
    </w:lvl>
  </w:abstractNum>
  <w:abstractNum w:abstractNumId="1">
    <w:nsid w:val="0EF045E3"/>
    <w:multiLevelType w:val="multilevel"/>
    <w:tmpl w:val="0EF045E3"/>
    <w:lvl w:ilvl="0" w:tentative="0">
      <w:start w:val="1"/>
      <w:numFmt w:val="decimal"/>
      <w:lvlText w:val="表3-%1"/>
      <w:lvlJc w:val="left"/>
      <w:pPr>
        <w:ind w:left="420" w:hanging="420"/>
      </w:pPr>
      <w:rPr>
        <w:rFonts w:hint="default" w:ascii="Times New Roman" w:hAnsi="Times New Roman" w:eastAsia="宋体" w:cs="Times New Roman"/>
        <w:b/>
        <w:bCs/>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DA1AE5"/>
    <w:multiLevelType w:val="multilevel"/>
    <w:tmpl w:val="11DA1AE5"/>
    <w:lvl w:ilvl="0" w:tentative="0">
      <w:start w:val="1"/>
      <w:numFmt w:val="decimal"/>
      <w:lvlText w:val="图4-%1"/>
      <w:lvlJc w:val="left"/>
      <w:pPr>
        <w:ind w:left="900" w:hanging="420"/>
      </w:pPr>
      <w:rPr>
        <w:rFonts w:hint="default" w:ascii="Times New Roman" w:hAnsi="Times New Roman" w:eastAsia="宋体" w:cs="Times New Roman"/>
        <w:b/>
        <w:bCs/>
        <w:sz w:val="21"/>
        <w:szCs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C5AF1D8"/>
    <w:multiLevelType w:val="singleLevel"/>
    <w:tmpl w:val="1C5AF1D8"/>
    <w:lvl w:ilvl="0" w:tentative="0">
      <w:start w:val="6"/>
      <w:numFmt w:val="chineseCounting"/>
      <w:suff w:val="nothing"/>
      <w:lvlText w:val="%1、"/>
      <w:lvlJc w:val="left"/>
      <w:rPr>
        <w:rFonts w:hint="eastAsia"/>
      </w:rPr>
    </w:lvl>
  </w:abstractNum>
  <w:abstractNum w:abstractNumId="4">
    <w:nsid w:val="28AA3041"/>
    <w:multiLevelType w:val="singleLevel"/>
    <w:tmpl w:val="28AA3041"/>
    <w:lvl w:ilvl="0" w:tentative="0">
      <w:start w:val="2"/>
      <w:numFmt w:val="decimal"/>
      <w:suff w:val="nothing"/>
      <w:lvlText w:val="（%1）"/>
      <w:lvlJc w:val="left"/>
    </w:lvl>
  </w:abstractNum>
  <w:abstractNum w:abstractNumId="5">
    <w:nsid w:val="33EA7713"/>
    <w:multiLevelType w:val="multilevel"/>
    <w:tmpl w:val="33EA7713"/>
    <w:lvl w:ilvl="0" w:tentative="0">
      <w:start w:val="1"/>
      <w:numFmt w:val="decimal"/>
      <w:lvlText w:val="表4-%1"/>
      <w:lvlJc w:val="left"/>
      <w:pPr>
        <w:ind w:left="420" w:hanging="420"/>
      </w:pPr>
      <w:rPr>
        <w:rFonts w:hint="default" w:ascii="Times New Roman" w:hAnsi="Times New Roman" w:eastAsia="宋体" w:cs="宋体"/>
        <w:b/>
        <w:bCs/>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8A15314"/>
    <w:multiLevelType w:val="multilevel"/>
    <w:tmpl w:val="58A15314"/>
    <w:lvl w:ilvl="0" w:tentative="0">
      <w:start w:val="1"/>
      <w:numFmt w:val="decimal"/>
      <w:isLgl/>
      <w:suff w:val="space"/>
      <w:lvlText w:val="%1"/>
      <w:lvlJc w:val="left"/>
      <w:pPr>
        <w:tabs>
          <w:tab w:val="left" w:pos="420"/>
        </w:tabs>
        <w:ind w:left="0" w:firstLine="0"/>
      </w:pPr>
      <w:rPr>
        <w:rFonts w:hint="default" w:ascii="Times New Roman" w:hAnsi="Times New Roman" w:eastAsia="黑体" w:cs="宋体"/>
        <w:sz w:val="32"/>
      </w:rPr>
    </w:lvl>
    <w:lvl w:ilvl="1" w:tentative="0">
      <w:start w:val="1"/>
      <w:numFmt w:val="decimal"/>
      <w:isLgl/>
      <w:suff w:val="space"/>
      <w:lvlText w:val="%1.%2"/>
      <w:lvlJc w:val="left"/>
      <w:pPr>
        <w:tabs>
          <w:tab w:val="left" w:pos="0"/>
        </w:tabs>
        <w:ind w:left="0" w:firstLine="0"/>
      </w:pPr>
      <w:rPr>
        <w:rFonts w:hint="default" w:ascii="Times New Roman" w:hAnsi="Times New Roman" w:eastAsia="黑体" w:cs="宋体"/>
        <w:sz w:val="28"/>
      </w:rPr>
    </w:lvl>
    <w:lvl w:ilvl="2" w:tentative="0">
      <w:start w:val="1"/>
      <w:numFmt w:val="decimal"/>
      <w:isLgl/>
      <w:suff w:val="space"/>
      <w:lvlText w:val="%1.%2.%3"/>
      <w:lvlJc w:val="left"/>
      <w:pPr>
        <w:tabs>
          <w:tab w:val="left" w:pos="0"/>
        </w:tabs>
        <w:ind w:left="0" w:firstLine="0"/>
      </w:pPr>
      <w:rPr>
        <w:rFonts w:hint="default" w:ascii="Times New Roman" w:hAnsi="Times New Roman" w:eastAsia="黑体" w:cs="宋体"/>
        <w:sz w:val="24"/>
      </w:rPr>
    </w:lvl>
    <w:lvl w:ilvl="3" w:tentative="0">
      <w:start w:val="1"/>
      <w:numFmt w:val="decimal"/>
      <w:isLgl/>
      <w:suff w:val="nothing"/>
      <w:lvlText w:val="%1.%2.%3.%4 "/>
      <w:lvlJc w:val="left"/>
      <w:pPr>
        <w:tabs>
          <w:tab w:val="left" w:pos="420"/>
        </w:tabs>
        <w:ind w:left="0" w:firstLine="0"/>
      </w:pPr>
      <w:rPr>
        <w:rFonts w:hint="default" w:ascii="宋体" w:hAnsi="宋体" w:eastAsia="宋体" w:cs="宋体"/>
        <w:sz w:val="24"/>
      </w:rPr>
    </w:lvl>
    <w:lvl w:ilvl="4" w:tentative="0">
      <w:start w:val="1"/>
      <w:numFmt w:val="decimal"/>
      <w:pStyle w:val="70"/>
      <w:suff w:val="nothing"/>
      <w:lvlText w:val="（%5）"/>
      <w:lvlJc w:val="left"/>
      <w:pPr>
        <w:tabs>
          <w:tab w:val="left" w:pos="420"/>
        </w:tabs>
        <w:ind w:left="0" w:firstLine="0"/>
      </w:pPr>
      <w:rPr>
        <w:rFonts w:hint="default" w:ascii="宋体" w:hAnsi="宋体" w:eastAsia="宋体" w:cs="宋体"/>
        <w:sz w:val="24"/>
      </w:rPr>
    </w:lvl>
    <w:lvl w:ilvl="5" w:tentative="0">
      <w:start w:val="1"/>
      <w:numFmt w:val="decimal"/>
      <w:lvlRestart w:val="1"/>
      <w:isLgl/>
      <w:suff w:val="space"/>
      <w:lvlText w:val="图%1-%6 "/>
      <w:lvlJc w:val="center"/>
      <w:pPr>
        <w:tabs>
          <w:tab w:val="left" w:pos="420"/>
        </w:tabs>
        <w:ind w:left="0" w:firstLine="0"/>
      </w:pPr>
      <w:rPr>
        <w:rFonts w:hint="default" w:ascii="Times New Roman" w:hAnsi="Times New Roman" w:eastAsia="黑体" w:cs="宋体"/>
        <w:sz w:val="21"/>
      </w:rPr>
    </w:lvl>
    <w:lvl w:ilvl="6" w:tentative="0">
      <w:start w:val="1"/>
      <w:numFmt w:val="decimal"/>
      <w:lvlRestart w:val="1"/>
      <w:isLgl/>
      <w:suff w:val="space"/>
      <w:lvlText w:val="表%1-%7 "/>
      <w:lvlJc w:val="center"/>
      <w:pPr>
        <w:tabs>
          <w:tab w:val="left" w:pos="0"/>
        </w:tabs>
        <w:ind w:left="0" w:firstLine="0"/>
      </w:pPr>
      <w:rPr>
        <w:rFonts w:hint="default" w:ascii="Times New Roman" w:hAnsi="Times New Roman" w:eastAsia="黑体" w:cs="宋体"/>
        <w:sz w:val="21"/>
      </w:rPr>
    </w:lvl>
    <w:lvl w:ilvl="7" w:tentative="0">
      <w:start w:val="1"/>
      <w:numFmt w:val="decimalEnclosedCircleChinese"/>
      <w:lvlRestart w:val="4"/>
      <w:suff w:val="nothing"/>
      <w:lvlText w:val="%8"/>
      <w:lvlJc w:val="left"/>
      <w:pPr>
        <w:tabs>
          <w:tab w:val="left" w:pos="420"/>
        </w:tabs>
        <w:ind w:left="0" w:firstLine="0"/>
      </w:pPr>
      <w:rPr>
        <w:rFonts w:hint="eastAsia" w:ascii="Times New Roman" w:hAnsi="Times New Roman" w:eastAsia="宋体" w:cs="宋体"/>
        <w:sz w:val="21"/>
        <w:szCs w:val="24"/>
      </w:rPr>
    </w:lvl>
    <w:lvl w:ilvl="8" w:tentative="0">
      <w:start w:val="1"/>
      <w:numFmt w:val="decimal"/>
      <w:lvlText w:val="%1.%2.%3.%4.%5.%6.%7.%8.%9."/>
      <w:lvlJc w:val="left"/>
      <w:pPr>
        <w:tabs>
          <w:tab w:val="left" w:pos="420"/>
        </w:tabs>
        <w:ind w:left="1558" w:hanging="1558"/>
      </w:pPr>
      <w:rPr>
        <w:rFonts w:hint="default" w:ascii="宋体" w:hAnsi="宋体" w:eastAsia="宋体" w:cs="宋体"/>
      </w:rPr>
    </w:lvl>
  </w:abstractNum>
  <w:num w:numId="1">
    <w:abstractNumId w:val="6"/>
  </w:num>
  <w:num w:numId="2">
    <w:abstractNumId w:val="3"/>
  </w:num>
  <w:num w:numId="3">
    <w:abstractNumId w:val="0"/>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jA3MGFjNzNjOTVkZDIyM2VjMjgxZTQzMmNlYzc4ZmUifQ=="/>
  </w:docVars>
  <w:rsids>
    <w:rsidRoot w:val="00A14947"/>
    <w:rsid w:val="00000D2E"/>
    <w:rsid w:val="000060B3"/>
    <w:rsid w:val="00006F69"/>
    <w:rsid w:val="00010E42"/>
    <w:rsid w:val="0003093C"/>
    <w:rsid w:val="000337D7"/>
    <w:rsid w:val="00034DF6"/>
    <w:rsid w:val="0004364B"/>
    <w:rsid w:val="000459AB"/>
    <w:rsid w:val="00055A52"/>
    <w:rsid w:val="000609E4"/>
    <w:rsid w:val="00061B1F"/>
    <w:rsid w:val="00061FAE"/>
    <w:rsid w:val="000625B9"/>
    <w:rsid w:val="000733C4"/>
    <w:rsid w:val="00074783"/>
    <w:rsid w:val="00075A7A"/>
    <w:rsid w:val="0008070B"/>
    <w:rsid w:val="000810AC"/>
    <w:rsid w:val="00081A02"/>
    <w:rsid w:val="00082231"/>
    <w:rsid w:val="00090177"/>
    <w:rsid w:val="00092D38"/>
    <w:rsid w:val="0009377B"/>
    <w:rsid w:val="000A20C9"/>
    <w:rsid w:val="000A2BAC"/>
    <w:rsid w:val="000A3F91"/>
    <w:rsid w:val="000B058F"/>
    <w:rsid w:val="000B4467"/>
    <w:rsid w:val="000B4DB9"/>
    <w:rsid w:val="000C07A4"/>
    <w:rsid w:val="000C09AC"/>
    <w:rsid w:val="000C767F"/>
    <w:rsid w:val="000D5A44"/>
    <w:rsid w:val="000E3ED2"/>
    <w:rsid w:val="000E466C"/>
    <w:rsid w:val="000E57A8"/>
    <w:rsid w:val="000E6119"/>
    <w:rsid w:val="000F1CCC"/>
    <w:rsid w:val="0010145D"/>
    <w:rsid w:val="00103412"/>
    <w:rsid w:val="00115C86"/>
    <w:rsid w:val="0012699A"/>
    <w:rsid w:val="00131F42"/>
    <w:rsid w:val="00132C5B"/>
    <w:rsid w:val="001357F1"/>
    <w:rsid w:val="00136AAA"/>
    <w:rsid w:val="00137807"/>
    <w:rsid w:val="00140519"/>
    <w:rsid w:val="00140FA8"/>
    <w:rsid w:val="00141E86"/>
    <w:rsid w:val="00142FEB"/>
    <w:rsid w:val="001436D7"/>
    <w:rsid w:val="00143A2D"/>
    <w:rsid w:val="00143BF4"/>
    <w:rsid w:val="00145A41"/>
    <w:rsid w:val="00151675"/>
    <w:rsid w:val="00157435"/>
    <w:rsid w:val="00162451"/>
    <w:rsid w:val="001650C7"/>
    <w:rsid w:val="0017504D"/>
    <w:rsid w:val="0017671A"/>
    <w:rsid w:val="00177422"/>
    <w:rsid w:val="00181A73"/>
    <w:rsid w:val="00184590"/>
    <w:rsid w:val="001870D1"/>
    <w:rsid w:val="001876CC"/>
    <w:rsid w:val="0018781E"/>
    <w:rsid w:val="0019044B"/>
    <w:rsid w:val="0019262D"/>
    <w:rsid w:val="001969EF"/>
    <w:rsid w:val="001A1B35"/>
    <w:rsid w:val="001A21EF"/>
    <w:rsid w:val="001A48A2"/>
    <w:rsid w:val="001A6F61"/>
    <w:rsid w:val="001B1BC0"/>
    <w:rsid w:val="001B3A42"/>
    <w:rsid w:val="001B631E"/>
    <w:rsid w:val="001B72B8"/>
    <w:rsid w:val="001C69B3"/>
    <w:rsid w:val="001C6D5F"/>
    <w:rsid w:val="001D5595"/>
    <w:rsid w:val="001D7874"/>
    <w:rsid w:val="001D7F22"/>
    <w:rsid w:val="001E0EC5"/>
    <w:rsid w:val="001E0EF1"/>
    <w:rsid w:val="001F0F17"/>
    <w:rsid w:val="001F2753"/>
    <w:rsid w:val="001F2B8A"/>
    <w:rsid w:val="001F3347"/>
    <w:rsid w:val="001F3D1A"/>
    <w:rsid w:val="001F69E4"/>
    <w:rsid w:val="0020421B"/>
    <w:rsid w:val="00205A4A"/>
    <w:rsid w:val="00207B68"/>
    <w:rsid w:val="002125B4"/>
    <w:rsid w:val="002151F3"/>
    <w:rsid w:val="002155B8"/>
    <w:rsid w:val="00224839"/>
    <w:rsid w:val="002249B2"/>
    <w:rsid w:val="00226574"/>
    <w:rsid w:val="002278EC"/>
    <w:rsid w:val="0023280E"/>
    <w:rsid w:val="002377D1"/>
    <w:rsid w:val="002506BC"/>
    <w:rsid w:val="00254345"/>
    <w:rsid w:val="00264557"/>
    <w:rsid w:val="002659BC"/>
    <w:rsid w:val="002805AB"/>
    <w:rsid w:val="0028129D"/>
    <w:rsid w:val="00284204"/>
    <w:rsid w:val="00291773"/>
    <w:rsid w:val="00291AE8"/>
    <w:rsid w:val="00291EAD"/>
    <w:rsid w:val="002A168C"/>
    <w:rsid w:val="002A3DC7"/>
    <w:rsid w:val="002B49E2"/>
    <w:rsid w:val="002B7B00"/>
    <w:rsid w:val="002B7C44"/>
    <w:rsid w:val="002B7CF8"/>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437B3"/>
    <w:rsid w:val="00344D51"/>
    <w:rsid w:val="00353259"/>
    <w:rsid w:val="0035505B"/>
    <w:rsid w:val="00356653"/>
    <w:rsid w:val="0035743F"/>
    <w:rsid w:val="00357BE2"/>
    <w:rsid w:val="0036170C"/>
    <w:rsid w:val="003620E0"/>
    <w:rsid w:val="00366E0F"/>
    <w:rsid w:val="0037419E"/>
    <w:rsid w:val="00375201"/>
    <w:rsid w:val="00377D0C"/>
    <w:rsid w:val="00380969"/>
    <w:rsid w:val="00381A72"/>
    <w:rsid w:val="00384676"/>
    <w:rsid w:val="00390857"/>
    <w:rsid w:val="00393277"/>
    <w:rsid w:val="003A4BF3"/>
    <w:rsid w:val="003A6FB3"/>
    <w:rsid w:val="003B1894"/>
    <w:rsid w:val="003B420D"/>
    <w:rsid w:val="003C6C16"/>
    <w:rsid w:val="003C7D15"/>
    <w:rsid w:val="003D794D"/>
    <w:rsid w:val="003E3058"/>
    <w:rsid w:val="003E76A9"/>
    <w:rsid w:val="003F0635"/>
    <w:rsid w:val="003F0809"/>
    <w:rsid w:val="003F6A8C"/>
    <w:rsid w:val="003F755C"/>
    <w:rsid w:val="003F78A1"/>
    <w:rsid w:val="003F79B5"/>
    <w:rsid w:val="00406F01"/>
    <w:rsid w:val="00412CCA"/>
    <w:rsid w:val="0041398B"/>
    <w:rsid w:val="00416D50"/>
    <w:rsid w:val="00416FD5"/>
    <w:rsid w:val="00417772"/>
    <w:rsid w:val="00420E6A"/>
    <w:rsid w:val="00425A9E"/>
    <w:rsid w:val="00426C73"/>
    <w:rsid w:val="00426D6B"/>
    <w:rsid w:val="00431E6C"/>
    <w:rsid w:val="00433CE7"/>
    <w:rsid w:val="00436F45"/>
    <w:rsid w:val="00452738"/>
    <w:rsid w:val="004548C6"/>
    <w:rsid w:val="00454BA5"/>
    <w:rsid w:val="00456091"/>
    <w:rsid w:val="00466321"/>
    <w:rsid w:val="00471562"/>
    <w:rsid w:val="00483092"/>
    <w:rsid w:val="00484B9B"/>
    <w:rsid w:val="004855F6"/>
    <w:rsid w:val="0048661E"/>
    <w:rsid w:val="00494670"/>
    <w:rsid w:val="004A3823"/>
    <w:rsid w:val="004A5C8E"/>
    <w:rsid w:val="004A6E1F"/>
    <w:rsid w:val="004C1EAE"/>
    <w:rsid w:val="004D2426"/>
    <w:rsid w:val="004D79EC"/>
    <w:rsid w:val="004E6946"/>
    <w:rsid w:val="004F1AD8"/>
    <w:rsid w:val="005039CB"/>
    <w:rsid w:val="0050558F"/>
    <w:rsid w:val="00506286"/>
    <w:rsid w:val="00510813"/>
    <w:rsid w:val="00511990"/>
    <w:rsid w:val="00511DE0"/>
    <w:rsid w:val="00514705"/>
    <w:rsid w:val="00514870"/>
    <w:rsid w:val="00514B9B"/>
    <w:rsid w:val="00514F64"/>
    <w:rsid w:val="00517F02"/>
    <w:rsid w:val="00524303"/>
    <w:rsid w:val="005258A2"/>
    <w:rsid w:val="005401AE"/>
    <w:rsid w:val="00542E07"/>
    <w:rsid w:val="00545424"/>
    <w:rsid w:val="00554A7B"/>
    <w:rsid w:val="0055572C"/>
    <w:rsid w:val="0056106A"/>
    <w:rsid w:val="005720AE"/>
    <w:rsid w:val="0057276A"/>
    <w:rsid w:val="00574CE2"/>
    <w:rsid w:val="005810A1"/>
    <w:rsid w:val="00584B74"/>
    <w:rsid w:val="005934B6"/>
    <w:rsid w:val="00594D77"/>
    <w:rsid w:val="005969E4"/>
    <w:rsid w:val="005A06B7"/>
    <w:rsid w:val="005A1759"/>
    <w:rsid w:val="005A68A7"/>
    <w:rsid w:val="005B2322"/>
    <w:rsid w:val="005B3B00"/>
    <w:rsid w:val="005B654F"/>
    <w:rsid w:val="005C75BD"/>
    <w:rsid w:val="005D36AB"/>
    <w:rsid w:val="005D58C4"/>
    <w:rsid w:val="005D5944"/>
    <w:rsid w:val="005E509A"/>
    <w:rsid w:val="005F256E"/>
    <w:rsid w:val="005F2AE6"/>
    <w:rsid w:val="00603D3E"/>
    <w:rsid w:val="00617CC3"/>
    <w:rsid w:val="00621BC1"/>
    <w:rsid w:val="0063684A"/>
    <w:rsid w:val="006377A6"/>
    <w:rsid w:val="00637A3D"/>
    <w:rsid w:val="006411EF"/>
    <w:rsid w:val="00643F71"/>
    <w:rsid w:val="00646707"/>
    <w:rsid w:val="0066087C"/>
    <w:rsid w:val="00663BB8"/>
    <w:rsid w:val="0066742F"/>
    <w:rsid w:val="006748B8"/>
    <w:rsid w:val="00676D06"/>
    <w:rsid w:val="006775C3"/>
    <w:rsid w:val="00690903"/>
    <w:rsid w:val="0069290A"/>
    <w:rsid w:val="0069775A"/>
    <w:rsid w:val="00697813"/>
    <w:rsid w:val="006A263A"/>
    <w:rsid w:val="006A3EE8"/>
    <w:rsid w:val="006A72BF"/>
    <w:rsid w:val="006B03F2"/>
    <w:rsid w:val="006B0CF6"/>
    <w:rsid w:val="006B37DC"/>
    <w:rsid w:val="006B3D74"/>
    <w:rsid w:val="006B4F68"/>
    <w:rsid w:val="006C0592"/>
    <w:rsid w:val="006C272E"/>
    <w:rsid w:val="006C5479"/>
    <w:rsid w:val="006D13B5"/>
    <w:rsid w:val="006D6E8F"/>
    <w:rsid w:val="006D7CD8"/>
    <w:rsid w:val="006E12FF"/>
    <w:rsid w:val="006E3E2A"/>
    <w:rsid w:val="006E57A1"/>
    <w:rsid w:val="006E607E"/>
    <w:rsid w:val="00703C48"/>
    <w:rsid w:val="00706C5D"/>
    <w:rsid w:val="00712B59"/>
    <w:rsid w:val="00717D57"/>
    <w:rsid w:val="00732922"/>
    <w:rsid w:val="00734523"/>
    <w:rsid w:val="0075162E"/>
    <w:rsid w:val="00754034"/>
    <w:rsid w:val="00756556"/>
    <w:rsid w:val="00757281"/>
    <w:rsid w:val="007618C4"/>
    <w:rsid w:val="00766273"/>
    <w:rsid w:val="00766DA0"/>
    <w:rsid w:val="00767980"/>
    <w:rsid w:val="00770B19"/>
    <w:rsid w:val="0077463F"/>
    <w:rsid w:val="00776CF9"/>
    <w:rsid w:val="007836EA"/>
    <w:rsid w:val="00784CDA"/>
    <w:rsid w:val="007906C4"/>
    <w:rsid w:val="007940EA"/>
    <w:rsid w:val="007967E8"/>
    <w:rsid w:val="007A2170"/>
    <w:rsid w:val="007A22BF"/>
    <w:rsid w:val="007A3323"/>
    <w:rsid w:val="007B242D"/>
    <w:rsid w:val="007B43E0"/>
    <w:rsid w:val="007B52D6"/>
    <w:rsid w:val="007B72B8"/>
    <w:rsid w:val="007B7A58"/>
    <w:rsid w:val="007C1709"/>
    <w:rsid w:val="007C21B5"/>
    <w:rsid w:val="007E2877"/>
    <w:rsid w:val="007E3CD4"/>
    <w:rsid w:val="007E4BD2"/>
    <w:rsid w:val="007F2A53"/>
    <w:rsid w:val="007F4B3A"/>
    <w:rsid w:val="00800680"/>
    <w:rsid w:val="00800E0C"/>
    <w:rsid w:val="00801393"/>
    <w:rsid w:val="00802F88"/>
    <w:rsid w:val="0080520D"/>
    <w:rsid w:val="0081293E"/>
    <w:rsid w:val="00815465"/>
    <w:rsid w:val="00815635"/>
    <w:rsid w:val="00817E9A"/>
    <w:rsid w:val="00824FCE"/>
    <w:rsid w:val="008306BD"/>
    <w:rsid w:val="00831A80"/>
    <w:rsid w:val="00833743"/>
    <w:rsid w:val="008340A4"/>
    <w:rsid w:val="0087135F"/>
    <w:rsid w:val="00872D94"/>
    <w:rsid w:val="0087371A"/>
    <w:rsid w:val="00880364"/>
    <w:rsid w:val="00884D03"/>
    <w:rsid w:val="008852E8"/>
    <w:rsid w:val="00891592"/>
    <w:rsid w:val="00891E9E"/>
    <w:rsid w:val="008A1431"/>
    <w:rsid w:val="008A2F68"/>
    <w:rsid w:val="008B4FA6"/>
    <w:rsid w:val="008B5282"/>
    <w:rsid w:val="008B7C17"/>
    <w:rsid w:val="008C0B5E"/>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1F4"/>
    <w:rsid w:val="00905125"/>
    <w:rsid w:val="00907CEB"/>
    <w:rsid w:val="009129B8"/>
    <w:rsid w:val="0091736D"/>
    <w:rsid w:val="00922F16"/>
    <w:rsid w:val="009250E0"/>
    <w:rsid w:val="0093037A"/>
    <w:rsid w:val="00931695"/>
    <w:rsid w:val="0094154D"/>
    <w:rsid w:val="0095155F"/>
    <w:rsid w:val="00954429"/>
    <w:rsid w:val="009563CE"/>
    <w:rsid w:val="00964B57"/>
    <w:rsid w:val="009650BC"/>
    <w:rsid w:val="009677BD"/>
    <w:rsid w:val="00976328"/>
    <w:rsid w:val="0097680D"/>
    <w:rsid w:val="00982438"/>
    <w:rsid w:val="009838E5"/>
    <w:rsid w:val="0098404C"/>
    <w:rsid w:val="00984A51"/>
    <w:rsid w:val="00985283"/>
    <w:rsid w:val="0099338D"/>
    <w:rsid w:val="009937EF"/>
    <w:rsid w:val="00995992"/>
    <w:rsid w:val="009A0090"/>
    <w:rsid w:val="009A03E5"/>
    <w:rsid w:val="009A0F3B"/>
    <w:rsid w:val="009A1BB4"/>
    <w:rsid w:val="009A2628"/>
    <w:rsid w:val="009A28B2"/>
    <w:rsid w:val="009A3200"/>
    <w:rsid w:val="009B0897"/>
    <w:rsid w:val="009B0906"/>
    <w:rsid w:val="009B7BD9"/>
    <w:rsid w:val="009C21B4"/>
    <w:rsid w:val="009C7DD5"/>
    <w:rsid w:val="009D3FCF"/>
    <w:rsid w:val="009E227D"/>
    <w:rsid w:val="009E365D"/>
    <w:rsid w:val="009E43CA"/>
    <w:rsid w:val="009E5019"/>
    <w:rsid w:val="009F02F6"/>
    <w:rsid w:val="00A04F1B"/>
    <w:rsid w:val="00A0501B"/>
    <w:rsid w:val="00A05592"/>
    <w:rsid w:val="00A14947"/>
    <w:rsid w:val="00A14DF8"/>
    <w:rsid w:val="00A21B28"/>
    <w:rsid w:val="00A23C9C"/>
    <w:rsid w:val="00A304B9"/>
    <w:rsid w:val="00A32A83"/>
    <w:rsid w:val="00A368DB"/>
    <w:rsid w:val="00A423AA"/>
    <w:rsid w:val="00A426E6"/>
    <w:rsid w:val="00A47AD7"/>
    <w:rsid w:val="00A53EC6"/>
    <w:rsid w:val="00A55C0F"/>
    <w:rsid w:val="00A57F76"/>
    <w:rsid w:val="00A61C27"/>
    <w:rsid w:val="00A623C4"/>
    <w:rsid w:val="00A8713F"/>
    <w:rsid w:val="00A90BA1"/>
    <w:rsid w:val="00A97A9A"/>
    <w:rsid w:val="00AA0671"/>
    <w:rsid w:val="00AA2531"/>
    <w:rsid w:val="00AB1E09"/>
    <w:rsid w:val="00AB5330"/>
    <w:rsid w:val="00AB7747"/>
    <w:rsid w:val="00AC14CE"/>
    <w:rsid w:val="00AC2A56"/>
    <w:rsid w:val="00AD055E"/>
    <w:rsid w:val="00AD47A7"/>
    <w:rsid w:val="00AE3733"/>
    <w:rsid w:val="00AF0CBF"/>
    <w:rsid w:val="00AF257F"/>
    <w:rsid w:val="00AF33CF"/>
    <w:rsid w:val="00AF3C4B"/>
    <w:rsid w:val="00AF4D50"/>
    <w:rsid w:val="00AF6179"/>
    <w:rsid w:val="00AF772D"/>
    <w:rsid w:val="00B03398"/>
    <w:rsid w:val="00B0476E"/>
    <w:rsid w:val="00B1295A"/>
    <w:rsid w:val="00B137E7"/>
    <w:rsid w:val="00B17FF0"/>
    <w:rsid w:val="00B20A45"/>
    <w:rsid w:val="00B22C5C"/>
    <w:rsid w:val="00B24F30"/>
    <w:rsid w:val="00B31ABF"/>
    <w:rsid w:val="00B332E5"/>
    <w:rsid w:val="00B33BE3"/>
    <w:rsid w:val="00B530FD"/>
    <w:rsid w:val="00B53B5D"/>
    <w:rsid w:val="00B6055E"/>
    <w:rsid w:val="00B6317D"/>
    <w:rsid w:val="00B7723F"/>
    <w:rsid w:val="00B80534"/>
    <w:rsid w:val="00B8433C"/>
    <w:rsid w:val="00B87491"/>
    <w:rsid w:val="00BA29E9"/>
    <w:rsid w:val="00BA4B99"/>
    <w:rsid w:val="00BA7142"/>
    <w:rsid w:val="00BB237C"/>
    <w:rsid w:val="00BB41A3"/>
    <w:rsid w:val="00BC32DC"/>
    <w:rsid w:val="00BC35B6"/>
    <w:rsid w:val="00BD1B51"/>
    <w:rsid w:val="00BD2BE8"/>
    <w:rsid w:val="00BD4596"/>
    <w:rsid w:val="00BD4D58"/>
    <w:rsid w:val="00BD7808"/>
    <w:rsid w:val="00BE1405"/>
    <w:rsid w:val="00BE312D"/>
    <w:rsid w:val="00BF1C20"/>
    <w:rsid w:val="00BF61D7"/>
    <w:rsid w:val="00C10578"/>
    <w:rsid w:val="00C135BC"/>
    <w:rsid w:val="00C15C95"/>
    <w:rsid w:val="00C211C9"/>
    <w:rsid w:val="00C21968"/>
    <w:rsid w:val="00C2596A"/>
    <w:rsid w:val="00C27537"/>
    <w:rsid w:val="00C328FE"/>
    <w:rsid w:val="00C33507"/>
    <w:rsid w:val="00C34AF2"/>
    <w:rsid w:val="00C409D1"/>
    <w:rsid w:val="00C4409D"/>
    <w:rsid w:val="00C44491"/>
    <w:rsid w:val="00C44E72"/>
    <w:rsid w:val="00C45A06"/>
    <w:rsid w:val="00C47E5B"/>
    <w:rsid w:val="00C61E4B"/>
    <w:rsid w:val="00C64BFF"/>
    <w:rsid w:val="00C704E9"/>
    <w:rsid w:val="00C755A8"/>
    <w:rsid w:val="00C763C9"/>
    <w:rsid w:val="00C80057"/>
    <w:rsid w:val="00C82232"/>
    <w:rsid w:val="00C82913"/>
    <w:rsid w:val="00C933B4"/>
    <w:rsid w:val="00C96E82"/>
    <w:rsid w:val="00C972B1"/>
    <w:rsid w:val="00CA2CCE"/>
    <w:rsid w:val="00CA37DB"/>
    <w:rsid w:val="00CA43FD"/>
    <w:rsid w:val="00CA7EF8"/>
    <w:rsid w:val="00CB0358"/>
    <w:rsid w:val="00CB4937"/>
    <w:rsid w:val="00CC0238"/>
    <w:rsid w:val="00CC10F2"/>
    <w:rsid w:val="00CC489B"/>
    <w:rsid w:val="00CD2BCD"/>
    <w:rsid w:val="00CD361A"/>
    <w:rsid w:val="00CD3A4C"/>
    <w:rsid w:val="00CE10E9"/>
    <w:rsid w:val="00CE2910"/>
    <w:rsid w:val="00CE5393"/>
    <w:rsid w:val="00CE7030"/>
    <w:rsid w:val="00CF36BE"/>
    <w:rsid w:val="00CF6000"/>
    <w:rsid w:val="00D003F3"/>
    <w:rsid w:val="00D0364F"/>
    <w:rsid w:val="00D06834"/>
    <w:rsid w:val="00D308ED"/>
    <w:rsid w:val="00D340AB"/>
    <w:rsid w:val="00D36D86"/>
    <w:rsid w:val="00D428AA"/>
    <w:rsid w:val="00D50A34"/>
    <w:rsid w:val="00D53EFA"/>
    <w:rsid w:val="00D624A7"/>
    <w:rsid w:val="00D65F5D"/>
    <w:rsid w:val="00D86F15"/>
    <w:rsid w:val="00D94A7C"/>
    <w:rsid w:val="00D95896"/>
    <w:rsid w:val="00D96DED"/>
    <w:rsid w:val="00DA6C88"/>
    <w:rsid w:val="00DB1F81"/>
    <w:rsid w:val="00DB2983"/>
    <w:rsid w:val="00DB3700"/>
    <w:rsid w:val="00DC1257"/>
    <w:rsid w:val="00DC3DC0"/>
    <w:rsid w:val="00DC5488"/>
    <w:rsid w:val="00DC5B2B"/>
    <w:rsid w:val="00DD318D"/>
    <w:rsid w:val="00DD5532"/>
    <w:rsid w:val="00DF2E12"/>
    <w:rsid w:val="00DF514A"/>
    <w:rsid w:val="00DF6690"/>
    <w:rsid w:val="00DF6804"/>
    <w:rsid w:val="00E01AD0"/>
    <w:rsid w:val="00E0358D"/>
    <w:rsid w:val="00E04323"/>
    <w:rsid w:val="00E05159"/>
    <w:rsid w:val="00E070A2"/>
    <w:rsid w:val="00E10B06"/>
    <w:rsid w:val="00E2030E"/>
    <w:rsid w:val="00E2656A"/>
    <w:rsid w:val="00E31F58"/>
    <w:rsid w:val="00E326A1"/>
    <w:rsid w:val="00E412D0"/>
    <w:rsid w:val="00E56322"/>
    <w:rsid w:val="00E60982"/>
    <w:rsid w:val="00E62C62"/>
    <w:rsid w:val="00E654C1"/>
    <w:rsid w:val="00E65D97"/>
    <w:rsid w:val="00E67F7B"/>
    <w:rsid w:val="00E72A5A"/>
    <w:rsid w:val="00E73354"/>
    <w:rsid w:val="00E865C2"/>
    <w:rsid w:val="00E9242D"/>
    <w:rsid w:val="00E948FC"/>
    <w:rsid w:val="00E94CB9"/>
    <w:rsid w:val="00E96285"/>
    <w:rsid w:val="00EA633D"/>
    <w:rsid w:val="00EA6BC0"/>
    <w:rsid w:val="00EB4A6E"/>
    <w:rsid w:val="00EB5255"/>
    <w:rsid w:val="00EB5C47"/>
    <w:rsid w:val="00EB69B6"/>
    <w:rsid w:val="00EB7D19"/>
    <w:rsid w:val="00ED0639"/>
    <w:rsid w:val="00EF4248"/>
    <w:rsid w:val="00EF4755"/>
    <w:rsid w:val="00EF7135"/>
    <w:rsid w:val="00EF7218"/>
    <w:rsid w:val="00EF7336"/>
    <w:rsid w:val="00F027DB"/>
    <w:rsid w:val="00F07995"/>
    <w:rsid w:val="00F111CB"/>
    <w:rsid w:val="00F11DCC"/>
    <w:rsid w:val="00F14A7A"/>
    <w:rsid w:val="00F22985"/>
    <w:rsid w:val="00F3383E"/>
    <w:rsid w:val="00F34C33"/>
    <w:rsid w:val="00F465A7"/>
    <w:rsid w:val="00F50B7C"/>
    <w:rsid w:val="00F50D2C"/>
    <w:rsid w:val="00F550E6"/>
    <w:rsid w:val="00F74345"/>
    <w:rsid w:val="00F80A0A"/>
    <w:rsid w:val="00F82B19"/>
    <w:rsid w:val="00F9212D"/>
    <w:rsid w:val="00F965DA"/>
    <w:rsid w:val="00FA006C"/>
    <w:rsid w:val="00FA406A"/>
    <w:rsid w:val="00FB399B"/>
    <w:rsid w:val="00FB503A"/>
    <w:rsid w:val="00FB516C"/>
    <w:rsid w:val="00FB5FFC"/>
    <w:rsid w:val="00FC64C9"/>
    <w:rsid w:val="00FD0236"/>
    <w:rsid w:val="00FD18F4"/>
    <w:rsid w:val="00FD54DB"/>
    <w:rsid w:val="00FD619F"/>
    <w:rsid w:val="00FE05BA"/>
    <w:rsid w:val="00FE4257"/>
    <w:rsid w:val="00FF51F3"/>
    <w:rsid w:val="01290F7E"/>
    <w:rsid w:val="012D2A2A"/>
    <w:rsid w:val="0150576A"/>
    <w:rsid w:val="015D1E09"/>
    <w:rsid w:val="017437ED"/>
    <w:rsid w:val="01973B44"/>
    <w:rsid w:val="01A26A78"/>
    <w:rsid w:val="01C71CB0"/>
    <w:rsid w:val="01D8359C"/>
    <w:rsid w:val="021138F7"/>
    <w:rsid w:val="021D6419"/>
    <w:rsid w:val="02391A70"/>
    <w:rsid w:val="02697903"/>
    <w:rsid w:val="026C2030"/>
    <w:rsid w:val="026F0225"/>
    <w:rsid w:val="02D45050"/>
    <w:rsid w:val="02F96569"/>
    <w:rsid w:val="030174C8"/>
    <w:rsid w:val="03240D63"/>
    <w:rsid w:val="03463800"/>
    <w:rsid w:val="038B16A8"/>
    <w:rsid w:val="03AD76A3"/>
    <w:rsid w:val="03B37E16"/>
    <w:rsid w:val="03D1158F"/>
    <w:rsid w:val="03DD3F88"/>
    <w:rsid w:val="03E959C4"/>
    <w:rsid w:val="03EA7B21"/>
    <w:rsid w:val="03FC7B8C"/>
    <w:rsid w:val="043449DC"/>
    <w:rsid w:val="043F474B"/>
    <w:rsid w:val="045E4AE4"/>
    <w:rsid w:val="04697A1A"/>
    <w:rsid w:val="047709E0"/>
    <w:rsid w:val="04777689"/>
    <w:rsid w:val="051A599C"/>
    <w:rsid w:val="052265A6"/>
    <w:rsid w:val="058727A8"/>
    <w:rsid w:val="05987DB0"/>
    <w:rsid w:val="059B4102"/>
    <w:rsid w:val="05AF3B52"/>
    <w:rsid w:val="05B744EF"/>
    <w:rsid w:val="05C80770"/>
    <w:rsid w:val="05F83EAE"/>
    <w:rsid w:val="06273177"/>
    <w:rsid w:val="063E7D85"/>
    <w:rsid w:val="06527A7A"/>
    <w:rsid w:val="06562AE2"/>
    <w:rsid w:val="06845C9A"/>
    <w:rsid w:val="0696261C"/>
    <w:rsid w:val="06FD3633"/>
    <w:rsid w:val="07145A7C"/>
    <w:rsid w:val="07293586"/>
    <w:rsid w:val="07295285"/>
    <w:rsid w:val="0745733D"/>
    <w:rsid w:val="07487DBA"/>
    <w:rsid w:val="07636392"/>
    <w:rsid w:val="077070E7"/>
    <w:rsid w:val="07770C56"/>
    <w:rsid w:val="07B51752"/>
    <w:rsid w:val="07D56347"/>
    <w:rsid w:val="07E65967"/>
    <w:rsid w:val="08065580"/>
    <w:rsid w:val="08380B00"/>
    <w:rsid w:val="086C3DA5"/>
    <w:rsid w:val="089B23AB"/>
    <w:rsid w:val="08B35DF0"/>
    <w:rsid w:val="08C90A87"/>
    <w:rsid w:val="08F54CD8"/>
    <w:rsid w:val="092217DD"/>
    <w:rsid w:val="093A7294"/>
    <w:rsid w:val="094D0CDA"/>
    <w:rsid w:val="0A263993"/>
    <w:rsid w:val="0A2D3AC2"/>
    <w:rsid w:val="0A2E266C"/>
    <w:rsid w:val="0A486CB8"/>
    <w:rsid w:val="0A66626B"/>
    <w:rsid w:val="0A7464E2"/>
    <w:rsid w:val="0A780920"/>
    <w:rsid w:val="0A830376"/>
    <w:rsid w:val="0A835A2D"/>
    <w:rsid w:val="0A8C4462"/>
    <w:rsid w:val="0AA755DF"/>
    <w:rsid w:val="0AB26E31"/>
    <w:rsid w:val="0ABB08A3"/>
    <w:rsid w:val="0ADD2F10"/>
    <w:rsid w:val="0AEB147C"/>
    <w:rsid w:val="0B0F299D"/>
    <w:rsid w:val="0B120D44"/>
    <w:rsid w:val="0B5B0786"/>
    <w:rsid w:val="0B5B5BCF"/>
    <w:rsid w:val="0B7C060F"/>
    <w:rsid w:val="0B8C3630"/>
    <w:rsid w:val="0BD27BF6"/>
    <w:rsid w:val="0C2D01D6"/>
    <w:rsid w:val="0C3433C9"/>
    <w:rsid w:val="0C3721AC"/>
    <w:rsid w:val="0C3B3C7D"/>
    <w:rsid w:val="0C59601F"/>
    <w:rsid w:val="0C925A93"/>
    <w:rsid w:val="0C9870EE"/>
    <w:rsid w:val="0CA62C9F"/>
    <w:rsid w:val="0CAB2EAE"/>
    <w:rsid w:val="0CBD1D04"/>
    <w:rsid w:val="0CC80117"/>
    <w:rsid w:val="0D4F0152"/>
    <w:rsid w:val="0D621C7D"/>
    <w:rsid w:val="0DCD0D0C"/>
    <w:rsid w:val="0DDE2D7D"/>
    <w:rsid w:val="0DEA2F67"/>
    <w:rsid w:val="0E22253D"/>
    <w:rsid w:val="0E245572"/>
    <w:rsid w:val="0E5B2823"/>
    <w:rsid w:val="0E73034D"/>
    <w:rsid w:val="0E9D4207"/>
    <w:rsid w:val="0E9E4169"/>
    <w:rsid w:val="0EE0568C"/>
    <w:rsid w:val="0EFC329C"/>
    <w:rsid w:val="0F080834"/>
    <w:rsid w:val="0F13775A"/>
    <w:rsid w:val="0F225B97"/>
    <w:rsid w:val="0F5F45FE"/>
    <w:rsid w:val="0F95746B"/>
    <w:rsid w:val="0F984D5B"/>
    <w:rsid w:val="0F9A112B"/>
    <w:rsid w:val="0F9E0A73"/>
    <w:rsid w:val="0FA77648"/>
    <w:rsid w:val="0FD348E1"/>
    <w:rsid w:val="10032664"/>
    <w:rsid w:val="103A670E"/>
    <w:rsid w:val="103C5FE2"/>
    <w:rsid w:val="10416F1F"/>
    <w:rsid w:val="106D2F64"/>
    <w:rsid w:val="109776BD"/>
    <w:rsid w:val="10B63710"/>
    <w:rsid w:val="10DB71DA"/>
    <w:rsid w:val="10F10820"/>
    <w:rsid w:val="111C2F7A"/>
    <w:rsid w:val="111D1392"/>
    <w:rsid w:val="11225391"/>
    <w:rsid w:val="11665CA1"/>
    <w:rsid w:val="11794330"/>
    <w:rsid w:val="11E2256F"/>
    <w:rsid w:val="122A25C8"/>
    <w:rsid w:val="12A24D79"/>
    <w:rsid w:val="13205DDD"/>
    <w:rsid w:val="132A0CBC"/>
    <w:rsid w:val="13516181"/>
    <w:rsid w:val="136A730B"/>
    <w:rsid w:val="137D703E"/>
    <w:rsid w:val="13951726"/>
    <w:rsid w:val="13D13ED1"/>
    <w:rsid w:val="14230DD2"/>
    <w:rsid w:val="1437543F"/>
    <w:rsid w:val="14385EE1"/>
    <w:rsid w:val="14396509"/>
    <w:rsid w:val="14755F67"/>
    <w:rsid w:val="147D0CCA"/>
    <w:rsid w:val="14AF3ABC"/>
    <w:rsid w:val="14BA600C"/>
    <w:rsid w:val="14DD2C3C"/>
    <w:rsid w:val="14E0463D"/>
    <w:rsid w:val="156D1119"/>
    <w:rsid w:val="1571672E"/>
    <w:rsid w:val="15A11907"/>
    <w:rsid w:val="15D13671"/>
    <w:rsid w:val="15D54F0F"/>
    <w:rsid w:val="15DB004C"/>
    <w:rsid w:val="16087E1D"/>
    <w:rsid w:val="166211D3"/>
    <w:rsid w:val="16956661"/>
    <w:rsid w:val="16AD5139"/>
    <w:rsid w:val="16CD3E38"/>
    <w:rsid w:val="16FA3301"/>
    <w:rsid w:val="171F5ED7"/>
    <w:rsid w:val="174340FA"/>
    <w:rsid w:val="175E3A04"/>
    <w:rsid w:val="17701D14"/>
    <w:rsid w:val="17735226"/>
    <w:rsid w:val="17A1208D"/>
    <w:rsid w:val="17D82A95"/>
    <w:rsid w:val="17DF482A"/>
    <w:rsid w:val="17E65C7F"/>
    <w:rsid w:val="17F6116D"/>
    <w:rsid w:val="18031D95"/>
    <w:rsid w:val="182B7925"/>
    <w:rsid w:val="18905226"/>
    <w:rsid w:val="18917413"/>
    <w:rsid w:val="18986F88"/>
    <w:rsid w:val="189F624C"/>
    <w:rsid w:val="18B23A69"/>
    <w:rsid w:val="18C87F64"/>
    <w:rsid w:val="18E04E3E"/>
    <w:rsid w:val="193C4FA0"/>
    <w:rsid w:val="19477F68"/>
    <w:rsid w:val="196B04C5"/>
    <w:rsid w:val="1988673C"/>
    <w:rsid w:val="1991777E"/>
    <w:rsid w:val="19A8293B"/>
    <w:rsid w:val="19B42820"/>
    <w:rsid w:val="19DE2EDD"/>
    <w:rsid w:val="1A1C66C0"/>
    <w:rsid w:val="1A402B73"/>
    <w:rsid w:val="1A42393B"/>
    <w:rsid w:val="1A657141"/>
    <w:rsid w:val="1A664BC3"/>
    <w:rsid w:val="1AAD45DE"/>
    <w:rsid w:val="1AC46EDB"/>
    <w:rsid w:val="1B046F80"/>
    <w:rsid w:val="1B1C0922"/>
    <w:rsid w:val="1B2F16CE"/>
    <w:rsid w:val="1B3267B5"/>
    <w:rsid w:val="1B3B3646"/>
    <w:rsid w:val="1B40161D"/>
    <w:rsid w:val="1B441859"/>
    <w:rsid w:val="1B6606B1"/>
    <w:rsid w:val="1B830F69"/>
    <w:rsid w:val="1B8527A7"/>
    <w:rsid w:val="1B8F43C7"/>
    <w:rsid w:val="1BA01B1B"/>
    <w:rsid w:val="1BA84A19"/>
    <w:rsid w:val="1C057BD0"/>
    <w:rsid w:val="1C41546D"/>
    <w:rsid w:val="1C5C73C3"/>
    <w:rsid w:val="1C5E7925"/>
    <w:rsid w:val="1C5F03A8"/>
    <w:rsid w:val="1C832B42"/>
    <w:rsid w:val="1CAA0778"/>
    <w:rsid w:val="1CC128B4"/>
    <w:rsid w:val="1CE04781"/>
    <w:rsid w:val="1CFD070F"/>
    <w:rsid w:val="1D5F6196"/>
    <w:rsid w:val="1D6132A5"/>
    <w:rsid w:val="1D6152DA"/>
    <w:rsid w:val="1D792624"/>
    <w:rsid w:val="1D8E56D5"/>
    <w:rsid w:val="1DDD7D99"/>
    <w:rsid w:val="1DFE0D7B"/>
    <w:rsid w:val="1E18008F"/>
    <w:rsid w:val="1E7A43DA"/>
    <w:rsid w:val="1E900C2C"/>
    <w:rsid w:val="1E9827C7"/>
    <w:rsid w:val="1EC827CE"/>
    <w:rsid w:val="1EF6243B"/>
    <w:rsid w:val="1EFF00E9"/>
    <w:rsid w:val="1F332CA6"/>
    <w:rsid w:val="1F481D86"/>
    <w:rsid w:val="1F523AE2"/>
    <w:rsid w:val="1F6E7565"/>
    <w:rsid w:val="1F737B21"/>
    <w:rsid w:val="1FAB4F33"/>
    <w:rsid w:val="1FE7539E"/>
    <w:rsid w:val="1FF24CA4"/>
    <w:rsid w:val="1FFC0F46"/>
    <w:rsid w:val="20012D1F"/>
    <w:rsid w:val="20671BE0"/>
    <w:rsid w:val="20744BE8"/>
    <w:rsid w:val="208B39E5"/>
    <w:rsid w:val="209470A0"/>
    <w:rsid w:val="20963CB8"/>
    <w:rsid w:val="20A81A1B"/>
    <w:rsid w:val="20B07FB6"/>
    <w:rsid w:val="20B41BC5"/>
    <w:rsid w:val="20B646FB"/>
    <w:rsid w:val="20BA379C"/>
    <w:rsid w:val="20C77B4A"/>
    <w:rsid w:val="20DA0788"/>
    <w:rsid w:val="211B258C"/>
    <w:rsid w:val="213B74B1"/>
    <w:rsid w:val="21415B46"/>
    <w:rsid w:val="2150316F"/>
    <w:rsid w:val="215A2310"/>
    <w:rsid w:val="216444DF"/>
    <w:rsid w:val="21657A51"/>
    <w:rsid w:val="21667363"/>
    <w:rsid w:val="21CD1091"/>
    <w:rsid w:val="21D27FE9"/>
    <w:rsid w:val="21DE318A"/>
    <w:rsid w:val="21EF5B80"/>
    <w:rsid w:val="22333A53"/>
    <w:rsid w:val="22576990"/>
    <w:rsid w:val="22AC1FCB"/>
    <w:rsid w:val="22AF265D"/>
    <w:rsid w:val="22F47480"/>
    <w:rsid w:val="23024E6A"/>
    <w:rsid w:val="234A5A9A"/>
    <w:rsid w:val="23586819"/>
    <w:rsid w:val="238A5F5C"/>
    <w:rsid w:val="238C0BD7"/>
    <w:rsid w:val="23BD5497"/>
    <w:rsid w:val="23C40371"/>
    <w:rsid w:val="23DC4C9A"/>
    <w:rsid w:val="23DE1C48"/>
    <w:rsid w:val="240210CD"/>
    <w:rsid w:val="24070130"/>
    <w:rsid w:val="240C069F"/>
    <w:rsid w:val="24A633FE"/>
    <w:rsid w:val="24BF09F7"/>
    <w:rsid w:val="24D8157B"/>
    <w:rsid w:val="24DD6751"/>
    <w:rsid w:val="252D53FE"/>
    <w:rsid w:val="25560278"/>
    <w:rsid w:val="25560F8D"/>
    <w:rsid w:val="25727878"/>
    <w:rsid w:val="257306D6"/>
    <w:rsid w:val="25867FD4"/>
    <w:rsid w:val="25B04B74"/>
    <w:rsid w:val="25EC2D81"/>
    <w:rsid w:val="26084E8D"/>
    <w:rsid w:val="263F0183"/>
    <w:rsid w:val="265D7F2A"/>
    <w:rsid w:val="26655E3B"/>
    <w:rsid w:val="267B1302"/>
    <w:rsid w:val="26961EDB"/>
    <w:rsid w:val="26B66213"/>
    <w:rsid w:val="26D10DD8"/>
    <w:rsid w:val="27177B85"/>
    <w:rsid w:val="271B474C"/>
    <w:rsid w:val="273C35D0"/>
    <w:rsid w:val="277057A2"/>
    <w:rsid w:val="27A02EA3"/>
    <w:rsid w:val="27D726B6"/>
    <w:rsid w:val="28043432"/>
    <w:rsid w:val="28285600"/>
    <w:rsid w:val="286B1BB5"/>
    <w:rsid w:val="28740CCB"/>
    <w:rsid w:val="28B3558B"/>
    <w:rsid w:val="28BC00F7"/>
    <w:rsid w:val="28F54A16"/>
    <w:rsid w:val="29206EB8"/>
    <w:rsid w:val="294E096F"/>
    <w:rsid w:val="29595666"/>
    <w:rsid w:val="29824D65"/>
    <w:rsid w:val="29874881"/>
    <w:rsid w:val="2991569A"/>
    <w:rsid w:val="299A643C"/>
    <w:rsid w:val="29BA0995"/>
    <w:rsid w:val="29E325E0"/>
    <w:rsid w:val="2A452503"/>
    <w:rsid w:val="2A45762F"/>
    <w:rsid w:val="2A4D1DCF"/>
    <w:rsid w:val="2A6308E4"/>
    <w:rsid w:val="2A86410B"/>
    <w:rsid w:val="2A961714"/>
    <w:rsid w:val="2ACA2496"/>
    <w:rsid w:val="2AD4279C"/>
    <w:rsid w:val="2B2C517A"/>
    <w:rsid w:val="2B2F6A18"/>
    <w:rsid w:val="2B3002E1"/>
    <w:rsid w:val="2B5926E0"/>
    <w:rsid w:val="2B871A11"/>
    <w:rsid w:val="2BA936A8"/>
    <w:rsid w:val="2C1603F9"/>
    <w:rsid w:val="2C315A5A"/>
    <w:rsid w:val="2C4B1C25"/>
    <w:rsid w:val="2C5D2654"/>
    <w:rsid w:val="2CB34A44"/>
    <w:rsid w:val="2CB7287E"/>
    <w:rsid w:val="2CB83126"/>
    <w:rsid w:val="2CED4F2D"/>
    <w:rsid w:val="2CFC50D7"/>
    <w:rsid w:val="2D236108"/>
    <w:rsid w:val="2D621327"/>
    <w:rsid w:val="2D941A32"/>
    <w:rsid w:val="2D9E56F5"/>
    <w:rsid w:val="2DB3642B"/>
    <w:rsid w:val="2DFE0923"/>
    <w:rsid w:val="2E042F8E"/>
    <w:rsid w:val="2E371FFA"/>
    <w:rsid w:val="2E5F13C2"/>
    <w:rsid w:val="2E667F96"/>
    <w:rsid w:val="2E8226AB"/>
    <w:rsid w:val="2E823F8A"/>
    <w:rsid w:val="2EE7693B"/>
    <w:rsid w:val="2F2C3040"/>
    <w:rsid w:val="2F3B3145"/>
    <w:rsid w:val="2F3D7770"/>
    <w:rsid w:val="2F5754AB"/>
    <w:rsid w:val="2F76174D"/>
    <w:rsid w:val="2F990904"/>
    <w:rsid w:val="2FA653B8"/>
    <w:rsid w:val="2FA86F72"/>
    <w:rsid w:val="2FD065E6"/>
    <w:rsid w:val="2FD96870"/>
    <w:rsid w:val="2FDB4229"/>
    <w:rsid w:val="2FEA669B"/>
    <w:rsid w:val="30167778"/>
    <w:rsid w:val="3037780B"/>
    <w:rsid w:val="30580BC9"/>
    <w:rsid w:val="3075311F"/>
    <w:rsid w:val="30857BAB"/>
    <w:rsid w:val="30A423FB"/>
    <w:rsid w:val="30D62DDD"/>
    <w:rsid w:val="3105192A"/>
    <w:rsid w:val="311E2ED7"/>
    <w:rsid w:val="31376626"/>
    <w:rsid w:val="314423A4"/>
    <w:rsid w:val="315619EE"/>
    <w:rsid w:val="315C449C"/>
    <w:rsid w:val="317B5F07"/>
    <w:rsid w:val="317E4255"/>
    <w:rsid w:val="31B82709"/>
    <w:rsid w:val="31D05482"/>
    <w:rsid w:val="31FA3731"/>
    <w:rsid w:val="31FB7654"/>
    <w:rsid w:val="32147917"/>
    <w:rsid w:val="323F381C"/>
    <w:rsid w:val="32400B34"/>
    <w:rsid w:val="329E6876"/>
    <w:rsid w:val="32E06A23"/>
    <w:rsid w:val="33117901"/>
    <w:rsid w:val="33274E21"/>
    <w:rsid w:val="333015F2"/>
    <w:rsid w:val="33314C02"/>
    <w:rsid w:val="334B61C4"/>
    <w:rsid w:val="334B6320"/>
    <w:rsid w:val="334D51BC"/>
    <w:rsid w:val="33554543"/>
    <w:rsid w:val="336B3E77"/>
    <w:rsid w:val="33A0288D"/>
    <w:rsid w:val="33B54CB8"/>
    <w:rsid w:val="33D934D4"/>
    <w:rsid w:val="33FE2F6A"/>
    <w:rsid w:val="340622E0"/>
    <w:rsid w:val="340E07E5"/>
    <w:rsid w:val="34235BF7"/>
    <w:rsid w:val="348F45A8"/>
    <w:rsid w:val="34BC75F3"/>
    <w:rsid w:val="34C22001"/>
    <w:rsid w:val="351729F7"/>
    <w:rsid w:val="358C5FA8"/>
    <w:rsid w:val="35A76722"/>
    <w:rsid w:val="35C15DF1"/>
    <w:rsid w:val="36074A7F"/>
    <w:rsid w:val="36147CAD"/>
    <w:rsid w:val="362859B5"/>
    <w:rsid w:val="36286A1C"/>
    <w:rsid w:val="365C268B"/>
    <w:rsid w:val="367754BE"/>
    <w:rsid w:val="36875C8B"/>
    <w:rsid w:val="36923549"/>
    <w:rsid w:val="369A2A06"/>
    <w:rsid w:val="36A52284"/>
    <w:rsid w:val="36A95791"/>
    <w:rsid w:val="36B2483B"/>
    <w:rsid w:val="36B35215"/>
    <w:rsid w:val="36B75FBF"/>
    <w:rsid w:val="36BD0C45"/>
    <w:rsid w:val="36E53289"/>
    <w:rsid w:val="36F01751"/>
    <w:rsid w:val="37070849"/>
    <w:rsid w:val="372C383D"/>
    <w:rsid w:val="373D77AB"/>
    <w:rsid w:val="3743304B"/>
    <w:rsid w:val="374866C5"/>
    <w:rsid w:val="37737C8C"/>
    <w:rsid w:val="37B07478"/>
    <w:rsid w:val="37C93CC2"/>
    <w:rsid w:val="37CA0A0A"/>
    <w:rsid w:val="37DE5A4E"/>
    <w:rsid w:val="37E00298"/>
    <w:rsid w:val="3814594B"/>
    <w:rsid w:val="38431D54"/>
    <w:rsid w:val="387C6B1D"/>
    <w:rsid w:val="38A876B9"/>
    <w:rsid w:val="38B302F9"/>
    <w:rsid w:val="38C55CDD"/>
    <w:rsid w:val="38C962D6"/>
    <w:rsid w:val="38F12CD3"/>
    <w:rsid w:val="38F94775"/>
    <w:rsid w:val="391F701E"/>
    <w:rsid w:val="392971ED"/>
    <w:rsid w:val="39325651"/>
    <w:rsid w:val="394F4B33"/>
    <w:rsid w:val="3964632E"/>
    <w:rsid w:val="39693D53"/>
    <w:rsid w:val="39797E3C"/>
    <w:rsid w:val="39BC216A"/>
    <w:rsid w:val="39E92488"/>
    <w:rsid w:val="3A080674"/>
    <w:rsid w:val="3A8334DB"/>
    <w:rsid w:val="3A872856"/>
    <w:rsid w:val="3A9C4656"/>
    <w:rsid w:val="3AA87C52"/>
    <w:rsid w:val="3AB75076"/>
    <w:rsid w:val="3ACE73F7"/>
    <w:rsid w:val="3B3763D1"/>
    <w:rsid w:val="3B627E38"/>
    <w:rsid w:val="3BC81F51"/>
    <w:rsid w:val="3BFA0ABD"/>
    <w:rsid w:val="3C2679C3"/>
    <w:rsid w:val="3C2F6E1E"/>
    <w:rsid w:val="3C4E3291"/>
    <w:rsid w:val="3C4F64BA"/>
    <w:rsid w:val="3C614F2B"/>
    <w:rsid w:val="3CB6466C"/>
    <w:rsid w:val="3CDA245A"/>
    <w:rsid w:val="3CF25FA6"/>
    <w:rsid w:val="3D1551A1"/>
    <w:rsid w:val="3D1E06B7"/>
    <w:rsid w:val="3D434E45"/>
    <w:rsid w:val="3D5A278A"/>
    <w:rsid w:val="3D5D7415"/>
    <w:rsid w:val="3D782EAA"/>
    <w:rsid w:val="3D962926"/>
    <w:rsid w:val="3DB82755"/>
    <w:rsid w:val="3DCB25D0"/>
    <w:rsid w:val="3DD408C3"/>
    <w:rsid w:val="3E3B010A"/>
    <w:rsid w:val="3E5F631A"/>
    <w:rsid w:val="3E6155B1"/>
    <w:rsid w:val="3E8409D1"/>
    <w:rsid w:val="3E886F7E"/>
    <w:rsid w:val="3E89218F"/>
    <w:rsid w:val="3EAE4116"/>
    <w:rsid w:val="3EC521CE"/>
    <w:rsid w:val="3EC86A4B"/>
    <w:rsid w:val="3EDA0523"/>
    <w:rsid w:val="3F062AC7"/>
    <w:rsid w:val="3F50696D"/>
    <w:rsid w:val="3F5C54AA"/>
    <w:rsid w:val="3F642AB6"/>
    <w:rsid w:val="3FF62F88"/>
    <w:rsid w:val="407A6407"/>
    <w:rsid w:val="407D392A"/>
    <w:rsid w:val="40CC58A3"/>
    <w:rsid w:val="40D02652"/>
    <w:rsid w:val="40DF6ABD"/>
    <w:rsid w:val="412B1985"/>
    <w:rsid w:val="413B28D4"/>
    <w:rsid w:val="413E57AF"/>
    <w:rsid w:val="417756CE"/>
    <w:rsid w:val="417C1E33"/>
    <w:rsid w:val="41B50046"/>
    <w:rsid w:val="41B9630E"/>
    <w:rsid w:val="41FD7E04"/>
    <w:rsid w:val="4200449D"/>
    <w:rsid w:val="421328CC"/>
    <w:rsid w:val="42270CEC"/>
    <w:rsid w:val="423A3BCC"/>
    <w:rsid w:val="424E57D2"/>
    <w:rsid w:val="42776A9E"/>
    <w:rsid w:val="42940D46"/>
    <w:rsid w:val="42986572"/>
    <w:rsid w:val="42B26C49"/>
    <w:rsid w:val="42C5288E"/>
    <w:rsid w:val="42C76B3B"/>
    <w:rsid w:val="42FC654B"/>
    <w:rsid w:val="432647A2"/>
    <w:rsid w:val="43324E9F"/>
    <w:rsid w:val="43354F8D"/>
    <w:rsid w:val="433A6FE6"/>
    <w:rsid w:val="43480868"/>
    <w:rsid w:val="43482915"/>
    <w:rsid w:val="4350713C"/>
    <w:rsid w:val="436653E0"/>
    <w:rsid w:val="439B036D"/>
    <w:rsid w:val="43A04F19"/>
    <w:rsid w:val="43BE0ECD"/>
    <w:rsid w:val="43C4431A"/>
    <w:rsid w:val="43CA50D8"/>
    <w:rsid w:val="43DA5F2A"/>
    <w:rsid w:val="43E03343"/>
    <w:rsid w:val="443F6547"/>
    <w:rsid w:val="448C7B1F"/>
    <w:rsid w:val="44B951CC"/>
    <w:rsid w:val="44CD14E0"/>
    <w:rsid w:val="44F20B0B"/>
    <w:rsid w:val="45234C89"/>
    <w:rsid w:val="45283F0A"/>
    <w:rsid w:val="452E5F4C"/>
    <w:rsid w:val="45342243"/>
    <w:rsid w:val="4541586E"/>
    <w:rsid w:val="455C26A8"/>
    <w:rsid w:val="45612018"/>
    <w:rsid w:val="458946E9"/>
    <w:rsid w:val="458D1539"/>
    <w:rsid w:val="45A47C0E"/>
    <w:rsid w:val="45C16BE8"/>
    <w:rsid w:val="45D1274E"/>
    <w:rsid w:val="45E56B11"/>
    <w:rsid w:val="46225C83"/>
    <w:rsid w:val="46577FD6"/>
    <w:rsid w:val="46752090"/>
    <w:rsid w:val="46A873A7"/>
    <w:rsid w:val="46A97EAB"/>
    <w:rsid w:val="46D30747"/>
    <w:rsid w:val="46D955A7"/>
    <w:rsid w:val="46EB4AB7"/>
    <w:rsid w:val="46F5246C"/>
    <w:rsid w:val="47133957"/>
    <w:rsid w:val="47774724"/>
    <w:rsid w:val="478A1A03"/>
    <w:rsid w:val="47906970"/>
    <w:rsid w:val="479E38D8"/>
    <w:rsid w:val="47A07E0C"/>
    <w:rsid w:val="47FE760C"/>
    <w:rsid w:val="481C620A"/>
    <w:rsid w:val="483772B0"/>
    <w:rsid w:val="484E0CCB"/>
    <w:rsid w:val="48681D84"/>
    <w:rsid w:val="4870272E"/>
    <w:rsid w:val="487E1D5D"/>
    <w:rsid w:val="489107F2"/>
    <w:rsid w:val="48963E83"/>
    <w:rsid w:val="48B6648B"/>
    <w:rsid w:val="48F26C90"/>
    <w:rsid w:val="491A440C"/>
    <w:rsid w:val="494024AD"/>
    <w:rsid w:val="494D05AE"/>
    <w:rsid w:val="495F2766"/>
    <w:rsid w:val="499524F4"/>
    <w:rsid w:val="49B4132B"/>
    <w:rsid w:val="49CB3958"/>
    <w:rsid w:val="49CD76D0"/>
    <w:rsid w:val="49DC67B3"/>
    <w:rsid w:val="49DC7715"/>
    <w:rsid w:val="49FB484A"/>
    <w:rsid w:val="4A023139"/>
    <w:rsid w:val="4A076770"/>
    <w:rsid w:val="4A361719"/>
    <w:rsid w:val="4A520A07"/>
    <w:rsid w:val="4A563FB4"/>
    <w:rsid w:val="4A7B576F"/>
    <w:rsid w:val="4A8073FC"/>
    <w:rsid w:val="4AC60109"/>
    <w:rsid w:val="4AF561A9"/>
    <w:rsid w:val="4B042E74"/>
    <w:rsid w:val="4B1F269B"/>
    <w:rsid w:val="4B257098"/>
    <w:rsid w:val="4B692C1A"/>
    <w:rsid w:val="4B764AD6"/>
    <w:rsid w:val="4B92297F"/>
    <w:rsid w:val="4BFA337B"/>
    <w:rsid w:val="4BFC24EE"/>
    <w:rsid w:val="4C0F2EA3"/>
    <w:rsid w:val="4C4A0649"/>
    <w:rsid w:val="4C4C0F62"/>
    <w:rsid w:val="4C507767"/>
    <w:rsid w:val="4C5131E5"/>
    <w:rsid w:val="4C6A69CF"/>
    <w:rsid w:val="4C7E5ECA"/>
    <w:rsid w:val="4C820998"/>
    <w:rsid w:val="4C876AA5"/>
    <w:rsid w:val="4CA773BE"/>
    <w:rsid w:val="4CAE3158"/>
    <w:rsid w:val="4CC732A2"/>
    <w:rsid w:val="4CD72B63"/>
    <w:rsid w:val="4CD91495"/>
    <w:rsid w:val="4CEE4F83"/>
    <w:rsid w:val="4CFF75DA"/>
    <w:rsid w:val="4D0E00FB"/>
    <w:rsid w:val="4D176606"/>
    <w:rsid w:val="4D221AE1"/>
    <w:rsid w:val="4D302450"/>
    <w:rsid w:val="4D333749"/>
    <w:rsid w:val="4D571B68"/>
    <w:rsid w:val="4D59036B"/>
    <w:rsid w:val="4D600EC9"/>
    <w:rsid w:val="4D8B3376"/>
    <w:rsid w:val="4D987FF5"/>
    <w:rsid w:val="4DB210B7"/>
    <w:rsid w:val="4DC67E79"/>
    <w:rsid w:val="4DEC4FB0"/>
    <w:rsid w:val="4E037B64"/>
    <w:rsid w:val="4E0711E1"/>
    <w:rsid w:val="4E075D8A"/>
    <w:rsid w:val="4E417400"/>
    <w:rsid w:val="4E5403C0"/>
    <w:rsid w:val="4E7E2FA7"/>
    <w:rsid w:val="4EC00FAD"/>
    <w:rsid w:val="4ED01826"/>
    <w:rsid w:val="4EEB163A"/>
    <w:rsid w:val="4EF31379"/>
    <w:rsid w:val="4F4246BC"/>
    <w:rsid w:val="4F6A7C39"/>
    <w:rsid w:val="4F9843DC"/>
    <w:rsid w:val="4FB851EC"/>
    <w:rsid w:val="4FC62A8C"/>
    <w:rsid w:val="4FCF1FB6"/>
    <w:rsid w:val="4FE20F0D"/>
    <w:rsid w:val="4FE51552"/>
    <w:rsid w:val="4FE614EB"/>
    <w:rsid w:val="4FE90FDC"/>
    <w:rsid w:val="4FF008A2"/>
    <w:rsid w:val="500100D3"/>
    <w:rsid w:val="50143339"/>
    <w:rsid w:val="50504C4B"/>
    <w:rsid w:val="505636B2"/>
    <w:rsid w:val="508A3A70"/>
    <w:rsid w:val="508B5BEF"/>
    <w:rsid w:val="509C6E7C"/>
    <w:rsid w:val="509D6294"/>
    <w:rsid w:val="50A21659"/>
    <w:rsid w:val="50B8782D"/>
    <w:rsid w:val="50C76EAB"/>
    <w:rsid w:val="50D43A3A"/>
    <w:rsid w:val="50DF55B6"/>
    <w:rsid w:val="512B30F8"/>
    <w:rsid w:val="51462A5B"/>
    <w:rsid w:val="51577875"/>
    <w:rsid w:val="515A03F1"/>
    <w:rsid w:val="515D29A6"/>
    <w:rsid w:val="5162104E"/>
    <w:rsid w:val="51631C3A"/>
    <w:rsid w:val="51A4340C"/>
    <w:rsid w:val="51D32166"/>
    <w:rsid w:val="51DC780F"/>
    <w:rsid w:val="51F31C9E"/>
    <w:rsid w:val="52307302"/>
    <w:rsid w:val="524D13AE"/>
    <w:rsid w:val="52600F5C"/>
    <w:rsid w:val="52A14510"/>
    <w:rsid w:val="52A90634"/>
    <w:rsid w:val="52AC5768"/>
    <w:rsid w:val="52F7761E"/>
    <w:rsid w:val="53373E0C"/>
    <w:rsid w:val="535C665F"/>
    <w:rsid w:val="536E058C"/>
    <w:rsid w:val="53723E9A"/>
    <w:rsid w:val="53912714"/>
    <w:rsid w:val="53A039CC"/>
    <w:rsid w:val="53A1505A"/>
    <w:rsid w:val="53CF4DC8"/>
    <w:rsid w:val="53EE7D08"/>
    <w:rsid w:val="53F052C1"/>
    <w:rsid w:val="54063E08"/>
    <w:rsid w:val="540C63F7"/>
    <w:rsid w:val="543437E8"/>
    <w:rsid w:val="54512B17"/>
    <w:rsid w:val="5458228C"/>
    <w:rsid w:val="546C3B80"/>
    <w:rsid w:val="54A749AC"/>
    <w:rsid w:val="54B25E40"/>
    <w:rsid w:val="54C05F9B"/>
    <w:rsid w:val="54C82840"/>
    <w:rsid w:val="54F73313"/>
    <w:rsid w:val="54F80955"/>
    <w:rsid w:val="54FE4BE1"/>
    <w:rsid w:val="550363B0"/>
    <w:rsid w:val="55115E79"/>
    <w:rsid w:val="555170A7"/>
    <w:rsid w:val="55756FAC"/>
    <w:rsid w:val="5587536D"/>
    <w:rsid w:val="55907917"/>
    <w:rsid w:val="559B174B"/>
    <w:rsid w:val="55AA7D07"/>
    <w:rsid w:val="55B52E5A"/>
    <w:rsid w:val="55C1657C"/>
    <w:rsid w:val="55CE0CF4"/>
    <w:rsid w:val="55DF4A13"/>
    <w:rsid w:val="55EA175E"/>
    <w:rsid w:val="55F0584D"/>
    <w:rsid w:val="56241F02"/>
    <w:rsid w:val="5631384E"/>
    <w:rsid w:val="56343C80"/>
    <w:rsid w:val="564B20A8"/>
    <w:rsid w:val="567710EF"/>
    <w:rsid w:val="56B22A9C"/>
    <w:rsid w:val="56C80D3A"/>
    <w:rsid w:val="570D462C"/>
    <w:rsid w:val="573942F2"/>
    <w:rsid w:val="577E200A"/>
    <w:rsid w:val="57911D3D"/>
    <w:rsid w:val="579D4B86"/>
    <w:rsid w:val="57A7264F"/>
    <w:rsid w:val="57B72A76"/>
    <w:rsid w:val="57C3426C"/>
    <w:rsid w:val="57CD076E"/>
    <w:rsid w:val="57CE1F93"/>
    <w:rsid w:val="57E04195"/>
    <w:rsid w:val="580F677B"/>
    <w:rsid w:val="58187BB3"/>
    <w:rsid w:val="583C2E1B"/>
    <w:rsid w:val="584F6843"/>
    <w:rsid w:val="585A6C83"/>
    <w:rsid w:val="588743D1"/>
    <w:rsid w:val="5887701A"/>
    <w:rsid w:val="58A14202"/>
    <w:rsid w:val="58FE47DF"/>
    <w:rsid w:val="59586752"/>
    <w:rsid w:val="595D11D8"/>
    <w:rsid w:val="595D566A"/>
    <w:rsid w:val="598558D1"/>
    <w:rsid w:val="59C0439F"/>
    <w:rsid w:val="59E61643"/>
    <w:rsid w:val="59EE34C8"/>
    <w:rsid w:val="5A230B9F"/>
    <w:rsid w:val="5A4B234E"/>
    <w:rsid w:val="5A511C57"/>
    <w:rsid w:val="5A5B1DED"/>
    <w:rsid w:val="5A624E2F"/>
    <w:rsid w:val="5A86059B"/>
    <w:rsid w:val="5ABE2233"/>
    <w:rsid w:val="5B6B2435"/>
    <w:rsid w:val="5BA40CB5"/>
    <w:rsid w:val="5BCB1138"/>
    <w:rsid w:val="5BDF5D95"/>
    <w:rsid w:val="5BFE7528"/>
    <w:rsid w:val="5C0C2A35"/>
    <w:rsid w:val="5C6E4D42"/>
    <w:rsid w:val="5C904CB9"/>
    <w:rsid w:val="5CAE3CB3"/>
    <w:rsid w:val="5D0D6309"/>
    <w:rsid w:val="5D0F1086"/>
    <w:rsid w:val="5D236628"/>
    <w:rsid w:val="5DA90190"/>
    <w:rsid w:val="5DDC06A1"/>
    <w:rsid w:val="5DDC5CDC"/>
    <w:rsid w:val="5E2467F1"/>
    <w:rsid w:val="5E273154"/>
    <w:rsid w:val="5E457D25"/>
    <w:rsid w:val="5E734892"/>
    <w:rsid w:val="5E86427D"/>
    <w:rsid w:val="5EA37FCB"/>
    <w:rsid w:val="5ECD6940"/>
    <w:rsid w:val="5EE57FA4"/>
    <w:rsid w:val="5EED4B66"/>
    <w:rsid w:val="5EFA4F8E"/>
    <w:rsid w:val="5EFC46C0"/>
    <w:rsid w:val="5F1A2B43"/>
    <w:rsid w:val="5F66666A"/>
    <w:rsid w:val="5F8E2EF0"/>
    <w:rsid w:val="5F92579D"/>
    <w:rsid w:val="5FB837BB"/>
    <w:rsid w:val="5FE91459"/>
    <w:rsid w:val="5FEF1CF6"/>
    <w:rsid w:val="5FFE018B"/>
    <w:rsid w:val="6010320B"/>
    <w:rsid w:val="60630DE6"/>
    <w:rsid w:val="60831ABD"/>
    <w:rsid w:val="60972C39"/>
    <w:rsid w:val="60B35448"/>
    <w:rsid w:val="60CC405A"/>
    <w:rsid w:val="60E4589C"/>
    <w:rsid w:val="6109328C"/>
    <w:rsid w:val="61131A15"/>
    <w:rsid w:val="611D5DAB"/>
    <w:rsid w:val="6122290F"/>
    <w:rsid w:val="61302AF6"/>
    <w:rsid w:val="61381005"/>
    <w:rsid w:val="6138446C"/>
    <w:rsid w:val="61554044"/>
    <w:rsid w:val="616134F6"/>
    <w:rsid w:val="61D30753"/>
    <w:rsid w:val="61DE582F"/>
    <w:rsid w:val="61E215D8"/>
    <w:rsid w:val="61EF2482"/>
    <w:rsid w:val="61FA4E45"/>
    <w:rsid w:val="6200371E"/>
    <w:rsid w:val="621B3775"/>
    <w:rsid w:val="621B7258"/>
    <w:rsid w:val="6224457A"/>
    <w:rsid w:val="62261C1B"/>
    <w:rsid w:val="62364782"/>
    <w:rsid w:val="623D26D8"/>
    <w:rsid w:val="624327CD"/>
    <w:rsid w:val="6282406A"/>
    <w:rsid w:val="628506F0"/>
    <w:rsid w:val="629F6FB6"/>
    <w:rsid w:val="62BB6B60"/>
    <w:rsid w:val="62D33B51"/>
    <w:rsid w:val="62FB5026"/>
    <w:rsid w:val="634C707C"/>
    <w:rsid w:val="635B3FA8"/>
    <w:rsid w:val="637D3ABD"/>
    <w:rsid w:val="63827325"/>
    <w:rsid w:val="6394356A"/>
    <w:rsid w:val="639A7F59"/>
    <w:rsid w:val="639B1317"/>
    <w:rsid w:val="63AD5DF8"/>
    <w:rsid w:val="63C61B2C"/>
    <w:rsid w:val="63D40BE9"/>
    <w:rsid w:val="64102431"/>
    <w:rsid w:val="64191A38"/>
    <w:rsid w:val="64313F4E"/>
    <w:rsid w:val="64900CFF"/>
    <w:rsid w:val="64A5243A"/>
    <w:rsid w:val="64DB6CED"/>
    <w:rsid w:val="64F531DE"/>
    <w:rsid w:val="650A402B"/>
    <w:rsid w:val="65373578"/>
    <w:rsid w:val="65565289"/>
    <w:rsid w:val="65622F6B"/>
    <w:rsid w:val="65742EF0"/>
    <w:rsid w:val="6575166E"/>
    <w:rsid w:val="659A0ECE"/>
    <w:rsid w:val="65A75ABB"/>
    <w:rsid w:val="65A8701C"/>
    <w:rsid w:val="65AF0247"/>
    <w:rsid w:val="65EA67B6"/>
    <w:rsid w:val="65EE670F"/>
    <w:rsid w:val="664166AE"/>
    <w:rsid w:val="6676319A"/>
    <w:rsid w:val="669F4100"/>
    <w:rsid w:val="66BD1842"/>
    <w:rsid w:val="66CA0DC7"/>
    <w:rsid w:val="66CA526B"/>
    <w:rsid w:val="66DF1A43"/>
    <w:rsid w:val="66F7131F"/>
    <w:rsid w:val="670452A4"/>
    <w:rsid w:val="671F124A"/>
    <w:rsid w:val="67591070"/>
    <w:rsid w:val="6773320D"/>
    <w:rsid w:val="677963AC"/>
    <w:rsid w:val="677A33C6"/>
    <w:rsid w:val="678C2521"/>
    <w:rsid w:val="67A755AC"/>
    <w:rsid w:val="67C12948"/>
    <w:rsid w:val="67D343CA"/>
    <w:rsid w:val="67F9245C"/>
    <w:rsid w:val="67FF29D4"/>
    <w:rsid w:val="681F6961"/>
    <w:rsid w:val="68275F13"/>
    <w:rsid w:val="6837462A"/>
    <w:rsid w:val="68380B16"/>
    <w:rsid w:val="684B5F38"/>
    <w:rsid w:val="685E5C6B"/>
    <w:rsid w:val="68610A2F"/>
    <w:rsid w:val="68805514"/>
    <w:rsid w:val="689B6077"/>
    <w:rsid w:val="68B44968"/>
    <w:rsid w:val="68C61569"/>
    <w:rsid w:val="68DE1471"/>
    <w:rsid w:val="68E85F36"/>
    <w:rsid w:val="69316E2F"/>
    <w:rsid w:val="694A2DE1"/>
    <w:rsid w:val="694E2071"/>
    <w:rsid w:val="69602882"/>
    <w:rsid w:val="69766163"/>
    <w:rsid w:val="697A3B33"/>
    <w:rsid w:val="697C7CA4"/>
    <w:rsid w:val="69B813AB"/>
    <w:rsid w:val="69D16911"/>
    <w:rsid w:val="69D44760"/>
    <w:rsid w:val="6A0B01C4"/>
    <w:rsid w:val="6A520EC7"/>
    <w:rsid w:val="6A58493C"/>
    <w:rsid w:val="6A6B1726"/>
    <w:rsid w:val="6AD06BC8"/>
    <w:rsid w:val="6AF87E20"/>
    <w:rsid w:val="6AFF4D38"/>
    <w:rsid w:val="6B014FD4"/>
    <w:rsid w:val="6B2A0511"/>
    <w:rsid w:val="6B322639"/>
    <w:rsid w:val="6B330B13"/>
    <w:rsid w:val="6B33142C"/>
    <w:rsid w:val="6B615B30"/>
    <w:rsid w:val="6B6C68F1"/>
    <w:rsid w:val="6B8E7D27"/>
    <w:rsid w:val="6BAC4F3F"/>
    <w:rsid w:val="6BCE2E4D"/>
    <w:rsid w:val="6C0D17FD"/>
    <w:rsid w:val="6C424938"/>
    <w:rsid w:val="6C5B68C2"/>
    <w:rsid w:val="6C5C0184"/>
    <w:rsid w:val="6C636C38"/>
    <w:rsid w:val="6C942252"/>
    <w:rsid w:val="6C947EF2"/>
    <w:rsid w:val="6CA9147F"/>
    <w:rsid w:val="6CB21AF8"/>
    <w:rsid w:val="6CB340FA"/>
    <w:rsid w:val="6CC87B57"/>
    <w:rsid w:val="6CDF2779"/>
    <w:rsid w:val="6CF30226"/>
    <w:rsid w:val="6D2044C8"/>
    <w:rsid w:val="6D9E0063"/>
    <w:rsid w:val="6DB34098"/>
    <w:rsid w:val="6DB545B6"/>
    <w:rsid w:val="6DE02FB4"/>
    <w:rsid w:val="6E1D01E8"/>
    <w:rsid w:val="6E514CED"/>
    <w:rsid w:val="6EB563D5"/>
    <w:rsid w:val="6EC12E29"/>
    <w:rsid w:val="6EC56982"/>
    <w:rsid w:val="6ED0343B"/>
    <w:rsid w:val="6ED92677"/>
    <w:rsid w:val="6EE3085F"/>
    <w:rsid w:val="6EF2140A"/>
    <w:rsid w:val="6EF43588"/>
    <w:rsid w:val="6F064714"/>
    <w:rsid w:val="6F225983"/>
    <w:rsid w:val="6F9401C4"/>
    <w:rsid w:val="6FB15449"/>
    <w:rsid w:val="6FC5553B"/>
    <w:rsid w:val="6FD26F3F"/>
    <w:rsid w:val="6FEF1D95"/>
    <w:rsid w:val="6FFC5590"/>
    <w:rsid w:val="700953A5"/>
    <w:rsid w:val="705D39B8"/>
    <w:rsid w:val="70650190"/>
    <w:rsid w:val="706D1DD0"/>
    <w:rsid w:val="70776654"/>
    <w:rsid w:val="70856B87"/>
    <w:rsid w:val="70AB1C6A"/>
    <w:rsid w:val="70D527EE"/>
    <w:rsid w:val="70EE7005"/>
    <w:rsid w:val="715B5300"/>
    <w:rsid w:val="71665A17"/>
    <w:rsid w:val="718322AE"/>
    <w:rsid w:val="71863042"/>
    <w:rsid w:val="71B51AAF"/>
    <w:rsid w:val="71D27F8A"/>
    <w:rsid w:val="7216291D"/>
    <w:rsid w:val="72203554"/>
    <w:rsid w:val="722E059E"/>
    <w:rsid w:val="72514F81"/>
    <w:rsid w:val="72553024"/>
    <w:rsid w:val="727A287F"/>
    <w:rsid w:val="72904D13"/>
    <w:rsid w:val="729F07DB"/>
    <w:rsid w:val="72A916D5"/>
    <w:rsid w:val="72D0255F"/>
    <w:rsid w:val="73025627"/>
    <w:rsid w:val="73122968"/>
    <w:rsid w:val="731F5D5E"/>
    <w:rsid w:val="73531362"/>
    <w:rsid w:val="735C724B"/>
    <w:rsid w:val="73C51AD5"/>
    <w:rsid w:val="73F27BAF"/>
    <w:rsid w:val="741E793C"/>
    <w:rsid w:val="745E3944"/>
    <w:rsid w:val="74850DDC"/>
    <w:rsid w:val="7491561A"/>
    <w:rsid w:val="74B54916"/>
    <w:rsid w:val="74BB2697"/>
    <w:rsid w:val="74CC0427"/>
    <w:rsid w:val="74F57957"/>
    <w:rsid w:val="74FA6D1C"/>
    <w:rsid w:val="7503257F"/>
    <w:rsid w:val="750C5B34"/>
    <w:rsid w:val="75120509"/>
    <w:rsid w:val="752B58B2"/>
    <w:rsid w:val="752C11FA"/>
    <w:rsid w:val="753A4E1E"/>
    <w:rsid w:val="754601B3"/>
    <w:rsid w:val="7562763A"/>
    <w:rsid w:val="75652CA3"/>
    <w:rsid w:val="7570021D"/>
    <w:rsid w:val="75876349"/>
    <w:rsid w:val="758D193E"/>
    <w:rsid w:val="75C25917"/>
    <w:rsid w:val="75C335B1"/>
    <w:rsid w:val="761F01EE"/>
    <w:rsid w:val="7635099D"/>
    <w:rsid w:val="763B1155"/>
    <w:rsid w:val="763C362D"/>
    <w:rsid w:val="763D37E2"/>
    <w:rsid w:val="763E5C3B"/>
    <w:rsid w:val="76461D52"/>
    <w:rsid w:val="76526AA6"/>
    <w:rsid w:val="76537680"/>
    <w:rsid w:val="76564426"/>
    <w:rsid w:val="76777C07"/>
    <w:rsid w:val="767E01D4"/>
    <w:rsid w:val="769F1CB7"/>
    <w:rsid w:val="76C0086F"/>
    <w:rsid w:val="76F32056"/>
    <w:rsid w:val="77130569"/>
    <w:rsid w:val="77190EC5"/>
    <w:rsid w:val="77762421"/>
    <w:rsid w:val="777E57F6"/>
    <w:rsid w:val="77B56B1F"/>
    <w:rsid w:val="77E15F71"/>
    <w:rsid w:val="77F74DE8"/>
    <w:rsid w:val="780F09F4"/>
    <w:rsid w:val="781108E5"/>
    <w:rsid w:val="78372B32"/>
    <w:rsid w:val="78764DC8"/>
    <w:rsid w:val="78997A19"/>
    <w:rsid w:val="78A90480"/>
    <w:rsid w:val="78AA4BF4"/>
    <w:rsid w:val="78AC4606"/>
    <w:rsid w:val="78F5105B"/>
    <w:rsid w:val="78F849C2"/>
    <w:rsid w:val="790D0B72"/>
    <w:rsid w:val="79465E0A"/>
    <w:rsid w:val="79691170"/>
    <w:rsid w:val="798474FC"/>
    <w:rsid w:val="79A670BB"/>
    <w:rsid w:val="79A90D10"/>
    <w:rsid w:val="79AB2B07"/>
    <w:rsid w:val="79B35B0B"/>
    <w:rsid w:val="79CF0020"/>
    <w:rsid w:val="79D04D0A"/>
    <w:rsid w:val="79FB745F"/>
    <w:rsid w:val="7A364017"/>
    <w:rsid w:val="7A5F221B"/>
    <w:rsid w:val="7A6F1DB1"/>
    <w:rsid w:val="7A793CFE"/>
    <w:rsid w:val="7A8265E1"/>
    <w:rsid w:val="7AC0743F"/>
    <w:rsid w:val="7B31720F"/>
    <w:rsid w:val="7B437CCE"/>
    <w:rsid w:val="7B517E28"/>
    <w:rsid w:val="7B686D42"/>
    <w:rsid w:val="7B705F89"/>
    <w:rsid w:val="7B792EE0"/>
    <w:rsid w:val="7B841746"/>
    <w:rsid w:val="7B8B274D"/>
    <w:rsid w:val="7C0B3F04"/>
    <w:rsid w:val="7C2428D0"/>
    <w:rsid w:val="7C264A87"/>
    <w:rsid w:val="7C486C50"/>
    <w:rsid w:val="7C6C5AC7"/>
    <w:rsid w:val="7C733C49"/>
    <w:rsid w:val="7CBC51FE"/>
    <w:rsid w:val="7CC6544B"/>
    <w:rsid w:val="7CEF2EDE"/>
    <w:rsid w:val="7CF91FAF"/>
    <w:rsid w:val="7CFE72A2"/>
    <w:rsid w:val="7D0239FF"/>
    <w:rsid w:val="7D083B5C"/>
    <w:rsid w:val="7D1A19A0"/>
    <w:rsid w:val="7D230DDA"/>
    <w:rsid w:val="7D365721"/>
    <w:rsid w:val="7D4F7E21"/>
    <w:rsid w:val="7D5E0B07"/>
    <w:rsid w:val="7D5E40CD"/>
    <w:rsid w:val="7D7B0C16"/>
    <w:rsid w:val="7D9357F1"/>
    <w:rsid w:val="7DCD56F2"/>
    <w:rsid w:val="7E367B07"/>
    <w:rsid w:val="7E7B69EE"/>
    <w:rsid w:val="7E970BD8"/>
    <w:rsid w:val="7F001CE7"/>
    <w:rsid w:val="7F3C2549"/>
    <w:rsid w:val="7F5E120C"/>
    <w:rsid w:val="7F800765"/>
    <w:rsid w:val="7F863D22"/>
    <w:rsid w:val="7FA11740"/>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autoRedefine/>
    <w:qFormat/>
    <w:locked/>
    <w:uiPriority w:val="99"/>
    <w:pPr>
      <w:keepNext/>
      <w:overflowPunct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autoRedefine/>
    <w:qFormat/>
    <w:locked/>
    <w:uiPriority w:val="0"/>
    <w:pPr>
      <w:keepNext/>
      <w:keepLines/>
      <w:spacing w:before="260" w:after="260" w:line="416" w:lineRule="auto"/>
      <w:outlineLvl w:val="2"/>
    </w:pPr>
    <w:rPr>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Body Text 2"/>
    <w:basedOn w:val="1"/>
    <w:autoRedefine/>
    <w:qFormat/>
    <w:locked/>
    <w:uiPriority w:val="0"/>
    <w:pPr>
      <w:jc w:val="center"/>
    </w:pPr>
  </w:style>
  <w:style w:type="paragraph" w:styleId="5">
    <w:name w:val="Normal Indent"/>
    <w:basedOn w:val="1"/>
    <w:next w:val="1"/>
    <w:autoRedefine/>
    <w:qFormat/>
    <w:locked/>
    <w:uiPriority w:val="0"/>
    <w:pPr>
      <w:ind w:firstLine="420"/>
    </w:pPr>
    <w:rPr>
      <w:sz w:val="28"/>
    </w:rPr>
  </w:style>
  <w:style w:type="paragraph" w:styleId="6">
    <w:name w:val="Document Map"/>
    <w:basedOn w:val="1"/>
    <w:link w:val="66"/>
    <w:autoRedefine/>
    <w:qFormat/>
    <w:locked/>
    <w:uiPriority w:val="0"/>
    <w:rPr>
      <w:rFonts w:ascii="宋体"/>
      <w:sz w:val="18"/>
      <w:szCs w:val="18"/>
    </w:rPr>
  </w:style>
  <w:style w:type="paragraph" w:styleId="7">
    <w:name w:val="annotation text"/>
    <w:basedOn w:val="1"/>
    <w:link w:val="43"/>
    <w:autoRedefine/>
    <w:semiHidden/>
    <w:qFormat/>
    <w:uiPriority w:val="0"/>
    <w:pPr>
      <w:jc w:val="left"/>
    </w:pPr>
    <w:rPr>
      <w:kern w:val="0"/>
      <w:szCs w:val="20"/>
    </w:rPr>
  </w:style>
  <w:style w:type="paragraph" w:styleId="8">
    <w:name w:val="Body Text"/>
    <w:basedOn w:val="1"/>
    <w:next w:val="9"/>
    <w:link w:val="39"/>
    <w:autoRedefine/>
    <w:qFormat/>
    <w:uiPriority w:val="0"/>
    <w:pPr>
      <w:widowControl/>
      <w:spacing w:before="60" w:after="160" w:line="259" w:lineRule="auto"/>
      <w:ind w:right="113"/>
    </w:pPr>
    <w:rPr>
      <w:kern w:val="0"/>
      <w:sz w:val="18"/>
      <w:szCs w:val="20"/>
    </w:rPr>
  </w:style>
  <w:style w:type="paragraph" w:customStyle="1" w:styleId="9">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10">
    <w:name w:val="Body Text Indent"/>
    <w:basedOn w:val="1"/>
    <w:next w:val="8"/>
    <w:link w:val="71"/>
    <w:autoRedefine/>
    <w:qFormat/>
    <w:uiPriority w:val="0"/>
    <w:pPr>
      <w:spacing w:after="120"/>
      <w:ind w:left="420" w:leftChars="200"/>
    </w:pPr>
    <w:rPr>
      <w:kern w:val="0"/>
      <w:szCs w:val="20"/>
    </w:rPr>
  </w:style>
  <w:style w:type="paragraph" w:styleId="11">
    <w:name w:val="Block Text"/>
    <w:basedOn w:val="1"/>
    <w:autoRedefine/>
    <w:qFormat/>
    <w:locked/>
    <w:uiPriority w:val="0"/>
    <w:pPr>
      <w:ind w:left="102" w:right="102" w:firstLine="561" w:firstLineChars="0"/>
    </w:pPr>
    <w:rPr>
      <w:rFonts w:eastAsia="楷体_GB2312"/>
      <w:sz w:val="28"/>
    </w:rPr>
  </w:style>
  <w:style w:type="paragraph" w:styleId="12">
    <w:name w:val="Plain Text"/>
    <w:basedOn w:val="1"/>
    <w:autoRedefine/>
    <w:qFormat/>
    <w:locked/>
    <w:uiPriority w:val="0"/>
    <w:rPr>
      <w:rFonts w:ascii="宋体" w:hAnsi="Courier New"/>
      <w:sz w:val="28"/>
    </w:rPr>
  </w:style>
  <w:style w:type="paragraph" w:styleId="13">
    <w:name w:val="Date"/>
    <w:basedOn w:val="1"/>
    <w:next w:val="1"/>
    <w:link w:val="50"/>
    <w:autoRedefine/>
    <w:qFormat/>
    <w:uiPriority w:val="0"/>
    <w:pPr>
      <w:ind w:left="100" w:leftChars="2500"/>
    </w:pPr>
    <w:rPr>
      <w:kern w:val="0"/>
      <w:szCs w:val="20"/>
    </w:rPr>
  </w:style>
  <w:style w:type="paragraph" w:styleId="14">
    <w:name w:val="Balloon Text"/>
    <w:basedOn w:val="1"/>
    <w:link w:val="41"/>
    <w:autoRedefine/>
    <w:semiHidden/>
    <w:qFormat/>
    <w:uiPriority w:val="0"/>
    <w:rPr>
      <w:kern w:val="0"/>
      <w:sz w:val="18"/>
      <w:szCs w:val="20"/>
    </w:rPr>
  </w:style>
  <w:style w:type="paragraph" w:styleId="15">
    <w:name w:val="footer"/>
    <w:basedOn w:val="1"/>
    <w:next w:val="1"/>
    <w:link w:val="37"/>
    <w:autoRedefine/>
    <w:qFormat/>
    <w:uiPriority w:val="99"/>
    <w:pPr>
      <w:tabs>
        <w:tab w:val="center" w:pos="4153"/>
        <w:tab w:val="right" w:pos="8306"/>
      </w:tabs>
      <w:jc w:val="left"/>
    </w:pPr>
    <w:rPr>
      <w:kern w:val="0"/>
      <w:sz w:val="18"/>
      <w:szCs w:val="20"/>
    </w:rPr>
  </w:style>
  <w:style w:type="paragraph" w:styleId="16">
    <w:name w:val="header"/>
    <w:basedOn w:val="1"/>
    <w:link w:val="46"/>
    <w:autoRedefine/>
    <w:qFormat/>
    <w:uiPriority w:val="0"/>
    <w:pPr>
      <w:pBdr>
        <w:bottom w:val="single" w:color="auto" w:sz="6" w:space="1"/>
      </w:pBdr>
      <w:tabs>
        <w:tab w:val="center" w:pos="4153"/>
        <w:tab w:val="right" w:pos="8306"/>
      </w:tabs>
      <w:jc w:val="center"/>
    </w:pPr>
    <w:rPr>
      <w:kern w:val="0"/>
      <w:sz w:val="18"/>
      <w:szCs w:val="20"/>
    </w:rPr>
  </w:style>
  <w:style w:type="paragraph" w:styleId="17">
    <w:name w:val="toc 2"/>
    <w:basedOn w:val="1"/>
    <w:next w:val="1"/>
    <w:autoRedefine/>
    <w:qFormat/>
    <w:locked/>
    <w:uiPriority w:val="0"/>
    <w:pPr>
      <w:widowControl/>
      <w:ind w:left="420" w:leftChars="200"/>
      <w:jc w:val="left"/>
    </w:pPr>
    <w:rPr>
      <w:rFonts w:hint="eastAsia" w:ascii="宋体" w:hAnsi="宋体"/>
      <w:kern w:val="0"/>
    </w:rPr>
  </w:style>
  <w:style w:type="paragraph" w:styleId="18">
    <w:name w:val="Normal (Web)"/>
    <w:basedOn w:val="1"/>
    <w:link w:val="42"/>
    <w:autoRedefine/>
    <w:qFormat/>
    <w:uiPriority w:val="0"/>
    <w:pPr>
      <w:widowControl/>
      <w:spacing w:before="100" w:beforeAutospacing="1" w:after="100" w:afterAutospacing="1"/>
      <w:jc w:val="left"/>
    </w:pPr>
    <w:rPr>
      <w:rFonts w:ascii="宋体" w:hAnsi="宋体"/>
      <w:kern w:val="0"/>
      <w:szCs w:val="20"/>
    </w:rPr>
  </w:style>
  <w:style w:type="paragraph" w:styleId="19">
    <w:name w:val="annotation subject"/>
    <w:basedOn w:val="7"/>
    <w:next w:val="7"/>
    <w:link w:val="38"/>
    <w:autoRedefine/>
    <w:semiHidden/>
    <w:qFormat/>
    <w:uiPriority w:val="0"/>
    <w:rPr>
      <w:b/>
      <w:kern w:val="2"/>
    </w:rPr>
  </w:style>
  <w:style w:type="paragraph" w:styleId="20">
    <w:name w:val="Body Text First Indent"/>
    <w:basedOn w:val="8"/>
    <w:autoRedefine/>
    <w:unhideWhenUsed/>
    <w:qFormat/>
    <w:locked/>
    <w:uiPriority w:val="0"/>
    <w:pPr>
      <w:spacing w:after="0"/>
    </w:pPr>
    <w:rPr>
      <w:szCs w:val="24"/>
    </w:rPr>
  </w:style>
  <w:style w:type="paragraph" w:styleId="21">
    <w:name w:val="Body Text First Indent 2"/>
    <w:basedOn w:val="10"/>
    <w:autoRedefine/>
    <w:qFormat/>
    <w:locked/>
    <w:uiPriority w:val="0"/>
    <w:pPr>
      <w:ind w:firstLine="420"/>
    </w:pPr>
  </w:style>
  <w:style w:type="table" w:styleId="23">
    <w:name w:val="Table Grid"/>
    <w:basedOn w:val="2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locked/>
    <w:uiPriority w:val="0"/>
    <w:rPr>
      <w:b/>
      <w:bCs/>
    </w:rPr>
  </w:style>
  <w:style w:type="character" w:styleId="26">
    <w:name w:val="page number"/>
    <w:basedOn w:val="24"/>
    <w:autoRedefine/>
    <w:qFormat/>
    <w:locked/>
    <w:uiPriority w:val="0"/>
  </w:style>
  <w:style w:type="character" w:styleId="27">
    <w:name w:val="Emphasis"/>
    <w:autoRedefine/>
    <w:qFormat/>
    <w:locked/>
    <w:uiPriority w:val="0"/>
    <w:rPr>
      <w:b/>
      <w:sz w:val="21"/>
      <w:szCs w:val="21"/>
    </w:rPr>
  </w:style>
  <w:style w:type="character" w:styleId="28">
    <w:name w:val="annotation reference"/>
    <w:autoRedefine/>
    <w:semiHidden/>
    <w:qFormat/>
    <w:uiPriority w:val="0"/>
    <w:rPr>
      <w:sz w:val="21"/>
    </w:rPr>
  </w:style>
  <w:style w:type="paragraph" w:customStyle="1" w:styleId="29">
    <w:name w:val="_Style 4"/>
    <w:basedOn w:val="1"/>
    <w:autoRedefine/>
    <w:qFormat/>
    <w:uiPriority w:val="0"/>
  </w:style>
  <w:style w:type="paragraph" w:customStyle="1" w:styleId="30">
    <w:name w:val="样式 样式 样式 四号 左侧:  1.53 厘米 + 首行缩进:  2 字符 + 居中 左侧:  2 字符 首行缩进:  2..."/>
    <w:basedOn w:val="31"/>
    <w:next w:val="1"/>
    <w:autoRedefine/>
    <w:qFormat/>
    <w:uiPriority w:val="0"/>
    <w:pPr>
      <w:ind w:firstLine="0" w:firstLineChars="0"/>
      <w:jc w:val="center"/>
    </w:pPr>
  </w:style>
  <w:style w:type="paragraph" w:customStyle="1" w:styleId="31">
    <w:name w:val="样式 样式 四号 左侧:  1.53 厘米 + 首行缩进:  2 字符"/>
    <w:basedOn w:val="32"/>
    <w:autoRedefine/>
    <w:qFormat/>
    <w:uiPriority w:val="0"/>
    <w:pPr>
      <w:ind w:left="200" w:leftChars="200"/>
    </w:pPr>
    <w:rPr>
      <w:szCs w:val="20"/>
    </w:rPr>
  </w:style>
  <w:style w:type="paragraph" w:customStyle="1" w:styleId="32">
    <w:name w:val="样式 四号 左侧:  1.53 厘米"/>
    <w:basedOn w:val="1"/>
    <w:autoRedefine/>
    <w:qFormat/>
    <w:uiPriority w:val="0"/>
    <w:rPr>
      <w:w w:val="90"/>
      <w:sz w:val="28"/>
      <w:szCs w:val="28"/>
    </w:rPr>
  </w:style>
  <w:style w:type="paragraph" w:customStyle="1" w:styleId="3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5">
    <w:name w:val="普通(网站)2"/>
    <w:basedOn w:val="1"/>
    <w:autoRedefine/>
    <w:qFormat/>
    <w:uiPriority w:val="0"/>
    <w:pPr>
      <w:widowControl/>
      <w:spacing w:before="100" w:beforeAutospacing="1" w:after="100" w:afterAutospacing="1"/>
      <w:jc w:val="left"/>
    </w:pPr>
    <w:rPr>
      <w:rFonts w:ascii="宋体" w:hAnsi="宋体"/>
      <w:szCs w:val="20"/>
    </w:rPr>
  </w:style>
  <w:style w:type="paragraph" w:customStyle="1" w:styleId="36">
    <w:name w:val="表格"/>
    <w:basedOn w:val="1"/>
    <w:next w:val="1"/>
    <w:link w:val="48"/>
    <w:autoRedefine/>
    <w:qFormat/>
    <w:uiPriority w:val="0"/>
    <w:pPr>
      <w:spacing w:beforeLines="10" w:afterLines="10" w:line="259" w:lineRule="auto"/>
      <w:jc w:val="center"/>
    </w:pPr>
    <w:rPr>
      <w:rFonts w:ascii="宋体"/>
      <w:kern w:val="0"/>
      <w:sz w:val="21"/>
      <w:szCs w:val="20"/>
    </w:rPr>
  </w:style>
  <w:style w:type="character" w:customStyle="1" w:styleId="37">
    <w:name w:val="页脚 字符1"/>
    <w:link w:val="15"/>
    <w:autoRedefine/>
    <w:qFormat/>
    <w:locked/>
    <w:uiPriority w:val="99"/>
    <w:rPr>
      <w:sz w:val="18"/>
    </w:rPr>
  </w:style>
  <w:style w:type="character" w:customStyle="1" w:styleId="38">
    <w:name w:val="批注主题 字符"/>
    <w:link w:val="19"/>
    <w:autoRedefine/>
    <w:semiHidden/>
    <w:qFormat/>
    <w:locked/>
    <w:uiPriority w:val="0"/>
    <w:rPr>
      <w:rFonts w:ascii="Times New Roman" w:hAnsi="Times New Roman" w:eastAsia="宋体"/>
      <w:b/>
      <w:kern w:val="2"/>
      <w:sz w:val="24"/>
    </w:rPr>
  </w:style>
  <w:style w:type="character" w:customStyle="1" w:styleId="39">
    <w:name w:val="正文文本 字符"/>
    <w:link w:val="8"/>
    <w:autoRedefine/>
    <w:qFormat/>
    <w:locked/>
    <w:uiPriority w:val="0"/>
    <w:rPr>
      <w:sz w:val="18"/>
    </w:rPr>
  </w:style>
  <w:style w:type="character" w:customStyle="1" w:styleId="40">
    <w:name w:val="正文文本缩进 Char"/>
    <w:autoRedefine/>
    <w:semiHidden/>
    <w:qFormat/>
    <w:locked/>
    <w:uiPriority w:val="0"/>
    <w:rPr>
      <w:rFonts w:ascii="Times New Roman" w:hAnsi="Times New Roman" w:eastAsia="宋体"/>
      <w:sz w:val="24"/>
    </w:rPr>
  </w:style>
  <w:style w:type="character" w:customStyle="1" w:styleId="41">
    <w:name w:val="批注框文本 字符"/>
    <w:link w:val="14"/>
    <w:autoRedefine/>
    <w:semiHidden/>
    <w:qFormat/>
    <w:locked/>
    <w:uiPriority w:val="0"/>
    <w:rPr>
      <w:rFonts w:ascii="Times New Roman" w:hAnsi="Times New Roman" w:eastAsia="宋体"/>
      <w:sz w:val="18"/>
    </w:rPr>
  </w:style>
  <w:style w:type="character" w:customStyle="1" w:styleId="42">
    <w:name w:val="普通(网站) 字符"/>
    <w:link w:val="18"/>
    <w:autoRedefine/>
    <w:qFormat/>
    <w:locked/>
    <w:uiPriority w:val="0"/>
    <w:rPr>
      <w:rFonts w:ascii="宋体" w:hAnsi="宋体" w:eastAsia="宋体"/>
      <w:sz w:val="24"/>
    </w:rPr>
  </w:style>
  <w:style w:type="character" w:customStyle="1" w:styleId="43">
    <w:name w:val="批注文字 字符"/>
    <w:link w:val="7"/>
    <w:autoRedefine/>
    <w:qFormat/>
    <w:locked/>
    <w:uiPriority w:val="0"/>
    <w:rPr>
      <w:rFonts w:ascii="Times New Roman" w:hAnsi="Times New Roman" w:eastAsia="宋体"/>
      <w:sz w:val="24"/>
    </w:rPr>
  </w:style>
  <w:style w:type="character" w:customStyle="1" w:styleId="44">
    <w:name w:val="批注文字 字符1"/>
    <w:autoRedefine/>
    <w:semiHidden/>
    <w:qFormat/>
    <w:uiPriority w:val="0"/>
    <w:rPr>
      <w:rFonts w:ascii="Times New Roman" w:hAnsi="Times New Roman" w:eastAsia="宋体"/>
      <w:sz w:val="24"/>
    </w:rPr>
  </w:style>
  <w:style w:type="character" w:customStyle="1" w:styleId="45">
    <w:name w:val="页脚 字符"/>
    <w:basedOn w:val="24"/>
    <w:autoRedefine/>
    <w:qFormat/>
    <w:uiPriority w:val="99"/>
  </w:style>
  <w:style w:type="character" w:customStyle="1" w:styleId="46">
    <w:name w:val="页眉 字符"/>
    <w:link w:val="16"/>
    <w:autoRedefine/>
    <w:qFormat/>
    <w:locked/>
    <w:uiPriority w:val="0"/>
    <w:rPr>
      <w:sz w:val="18"/>
    </w:rPr>
  </w:style>
  <w:style w:type="character" w:customStyle="1" w:styleId="47">
    <w:name w:val="正文文本 字符1"/>
    <w:autoRedefine/>
    <w:semiHidden/>
    <w:qFormat/>
    <w:uiPriority w:val="0"/>
    <w:rPr>
      <w:rFonts w:ascii="Times New Roman" w:hAnsi="Times New Roman" w:eastAsia="宋体"/>
      <w:sz w:val="24"/>
    </w:rPr>
  </w:style>
  <w:style w:type="character" w:customStyle="1" w:styleId="48">
    <w:name w:val="表格 Char"/>
    <w:link w:val="36"/>
    <w:autoRedefine/>
    <w:qFormat/>
    <w:locked/>
    <w:uiPriority w:val="0"/>
    <w:rPr>
      <w:rFonts w:ascii="宋体"/>
      <w:sz w:val="21"/>
    </w:rPr>
  </w:style>
  <w:style w:type="character" w:customStyle="1" w:styleId="49">
    <w:name w:val="日期 字符"/>
    <w:autoRedefine/>
    <w:semiHidden/>
    <w:qFormat/>
    <w:uiPriority w:val="0"/>
    <w:rPr>
      <w:rFonts w:ascii="Times New Roman" w:hAnsi="Times New Roman" w:eastAsia="宋体"/>
      <w:sz w:val="24"/>
    </w:rPr>
  </w:style>
  <w:style w:type="character" w:customStyle="1" w:styleId="50">
    <w:name w:val="日期 字符1"/>
    <w:link w:val="13"/>
    <w:autoRedefine/>
    <w:qFormat/>
    <w:locked/>
    <w:uiPriority w:val="0"/>
    <w:rPr>
      <w:rFonts w:ascii="Times New Roman" w:hAnsi="Times New Roman" w:eastAsia="宋体"/>
      <w:sz w:val="24"/>
    </w:rPr>
  </w:style>
  <w:style w:type="paragraph" w:customStyle="1" w:styleId="51">
    <w:name w:val="+正文"/>
    <w:basedOn w:val="1"/>
    <w:autoRedefine/>
    <w:qFormat/>
    <w:uiPriority w:val="0"/>
    <w:rPr>
      <w:sz w:val="28"/>
      <w:szCs w:val="28"/>
    </w:rPr>
  </w:style>
  <w:style w:type="paragraph" w:customStyle="1" w:styleId="52">
    <w:name w:val="常用"/>
    <w:basedOn w:val="1"/>
    <w:autoRedefine/>
    <w:qFormat/>
    <w:uiPriority w:val="0"/>
    <w:pPr>
      <w:ind w:firstLine="420"/>
      <w:jc w:val="left"/>
    </w:pPr>
    <w:rPr>
      <w:szCs w:val="22"/>
    </w:rPr>
  </w:style>
  <w:style w:type="paragraph" w:customStyle="1" w:styleId="53">
    <w:name w:val="书表格内"/>
    <w:basedOn w:val="1"/>
    <w:autoRedefine/>
    <w:qFormat/>
    <w:uiPriority w:val="0"/>
    <w:pPr>
      <w:spacing w:line="0" w:lineRule="atLeast"/>
      <w:ind w:firstLine="0" w:firstLineChars="0"/>
      <w:jc w:val="center"/>
    </w:pPr>
    <w:rPr>
      <w:sz w:val="21"/>
      <w:szCs w:val="21"/>
    </w:rPr>
  </w:style>
  <w:style w:type="paragraph" w:customStyle="1" w:styleId="54">
    <w:name w:val="表格文字"/>
    <w:basedOn w:val="1"/>
    <w:autoRedefine/>
    <w:qFormat/>
    <w:uiPriority w:val="0"/>
    <w:pPr>
      <w:spacing w:line="240" w:lineRule="auto"/>
      <w:ind w:firstLine="0" w:firstLineChars="0"/>
      <w:jc w:val="center"/>
    </w:pPr>
  </w:style>
  <w:style w:type="paragraph" w:customStyle="1" w:styleId="55">
    <w:name w:val="0表-序号"/>
    <w:next w:val="56"/>
    <w:autoRedefine/>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56">
    <w:name w:val="000表格正文"/>
    <w:basedOn w:val="1"/>
    <w:next w:val="1"/>
    <w:autoRedefine/>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sz w:val="21"/>
    </w:rPr>
  </w:style>
  <w:style w:type="paragraph" w:customStyle="1" w:styleId="57">
    <w:name w:val="图表标题"/>
    <w:basedOn w:val="1"/>
    <w:autoRedefine/>
    <w:qFormat/>
    <w:uiPriority w:val="0"/>
    <w:pPr>
      <w:jc w:val="center"/>
    </w:pPr>
    <w:rPr>
      <w:b/>
      <w:szCs w:val="21"/>
    </w:rPr>
  </w:style>
  <w:style w:type="character" w:customStyle="1" w:styleId="58">
    <w:name w:val="font41"/>
    <w:autoRedefine/>
    <w:qFormat/>
    <w:uiPriority w:val="0"/>
    <w:rPr>
      <w:rFonts w:hint="default" w:ascii="Times New Roman" w:hAnsi="Times New Roman" w:cs="Times New Roman"/>
      <w:b/>
      <w:color w:val="000000"/>
      <w:sz w:val="21"/>
      <w:szCs w:val="21"/>
      <w:u w:val="none"/>
      <w:vertAlign w:val="subscript"/>
    </w:rPr>
  </w:style>
  <w:style w:type="paragraph" w:customStyle="1" w:styleId="59">
    <w:name w:val="Char5"/>
    <w:basedOn w:val="1"/>
    <w:autoRedefine/>
    <w:qFormat/>
    <w:uiPriority w:val="0"/>
    <w:rPr>
      <w:rFonts w:ascii="宋体" w:hAnsi="宋体" w:cs="宋体"/>
    </w:rPr>
  </w:style>
  <w:style w:type="paragraph" w:customStyle="1" w:styleId="60">
    <w:name w:val="样式 四号 首行缩进:  2 字符"/>
    <w:basedOn w:val="1"/>
    <w:autoRedefine/>
    <w:qFormat/>
    <w:uiPriority w:val="0"/>
    <w:pPr>
      <w:spacing w:line="480" w:lineRule="atLeast"/>
      <w:ind w:firstLine="200"/>
    </w:pPr>
  </w:style>
  <w:style w:type="paragraph" w:customStyle="1" w:styleId="61">
    <w:name w:val="0表格正文"/>
    <w:basedOn w:val="1"/>
    <w:next w:val="1"/>
    <w:autoRedefine/>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kern w:val="0"/>
      <w:sz w:val="21"/>
      <w:szCs w:val="20"/>
    </w:rPr>
  </w:style>
  <w:style w:type="paragraph" w:customStyle="1" w:styleId="62">
    <w:name w:val="书正"/>
    <w:basedOn w:val="1"/>
    <w:autoRedefine/>
    <w:qFormat/>
    <w:uiPriority w:val="0"/>
    <w:pPr>
      <w:ind w:firstLine="480"/>
    </w:pPr>
    <w:rPr>
      <w:snapToGrid w:val="0"/>
      <w:kern w:val="0"/>
      <w:lang w:val="zh-CN"/>
    </w:rPr>
  </w:style>
  <w:style w:type="paragraph" w:customStyle="1" w:styleId="63">
    <w:name w:val="Table Paragraph"/>
    <w:basedOn w:val="1"/>
    <w:autoRedefine/>
    <w:qFormat/>
    <w:uiPriority w:val="1"/>
    <w:rPr>
      <w:rFonts w:ascii="宋体" w:hAnsi="宋体" w:cs="宋体"/>
    </w:rPr>
  </w:style>
  <w:style w:type="paragraph" w:styleId="64">
    <w:name w:val="List Paragraph"/>
    <w:basedOn w:val="1"/>
    <w:autoRedefine/>
    <w:qFormat/>
    <w:uiPriority w:val="1"/>
    <w:pPr>
      <w:ind w:left="946" w:hanging="181"/>
    </w:pPr>
    <w:rPr>
      <w:rFonts w:ascii="宋体" w:hAnsi="宋体" w:cs="宋体"/>
    </w:rPr>
  </w:style>
  <w:style w:type="paragraph" w:customStyle="1" w:styleId="65">
    <w:name w:val="表内文字硕士"/>
    <w:autoRedefine/>
    <w:qFormat/>
    <w:uiPriority w:val="0"/>
    <w:pPr>
      <w:jc w:val="center"/>
    </w:pPr>
    <w:rPr>
      <w:rFonts w:ascii="Times New Roman" w:hAnsi="Times New Roman" w:eastAsia="宋体" w:cs="Times New Roman"/>
      <w:bCs/>
      <w:color w:val="000000"/>
      <w:kern w:val="44"/>
      <w:sz w:val="21"/>
      <w:szCs w:val="44"/>
      <w:lang w:val="en-US" w:eastAsia="zh-CN" w:bidi="ar-SA"/>
    </w:rPr>
  </w:style>
  <w:style w:type="character" w:customStyle="1" w:styleId="66">
    <w:name w:val="文档结构图 字符"/>
    <w:link w:val="6"/>
    <w:autoRedefine/>
    <w:qFormat/>
    <w:uiPriority w:val="0"/>
    <w:rPr>
      <w:rFonts w:ascii="宋体"/>
      <w:kern w:val="2"/>
      <w:sz w:val="18"/>
      <w:szCs w:val="18"/>
    </w:rPr>
  </w:style>
  <w:style w:type="character" w:customStyle="1" w:styleId="67">
    <w:name w:val="正文（首行缩进两字） Char Char Char Char Char Char Char Char Char Char Char Char Char Char Char Char Char Char Char Char Char Char Char  Char Char Char Char Char Char Char Char Char  Char"/>
    <w:autoRedefine/>
    <w:qFormat/>
    <w:uiPriority w:val="0"/>
    <w:rPr>
      <w:rFonts w:eastAsia="宋体"/>
      <w:kern w:val="2"/>
      <w:sz w:val="28"/>
      <w:lang w:val="en-US" w:eastAsia="zh-CN" w:bidi="ar-SA"/>
    </w:rPr>
  </w:style>
  <w:style w:type="paragraph" w:customStyle="1" w:styleId="68">
    <w:name w:val="4.表格"/>
    <w:autoRedefine/>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69">
    <w:name w:val="报告书表格"/>
    <w:basedOn w:val="1"/>
    <w:autoRedefine/>
    <w:qFormat/>
    <w:uiPriority w:val="0"/>
    <w:pPr>
      <w:spacing w:before="60" w:after="60" w:line="240" w:lineRule="atLeast"/>
      <w:ind w:firstLine="0" w:firstLineChars="0"/>
      <w:jc w:val="center"/>
      <w:textAlignment w:val="baseline"/>
    </w:pPr>
  </w:style>
  <w:style w:type="paragraph" w:customStyle="1" w:styleId="70">
    <w:name w:val="0序号（1）"/>
    <w:basedOn w:val="1"/>
    <w:next w:val="1"/>
    <w:autoRedefine/>
    <w:qFormat/>
    <w:uiPriority w:val="0"/>
    <w:pPr>
      <w:numPr>
        <w:ilvl w:val="4"/>
        <w:numId w:val="1"/>
      </w:numPr>
      <w:tabs>
        <w:tab w:val="left" w:pos="0"/>
      </w:tabs>
      <w:ind w:firstLine="320" w:firstLineChars="100"/>
    </w:pPr>
  </w:style>
  <w:style w:type="character" w:customStyle="1" w:styleId="71">
    <w:name w:val="正文文本缩进 字符"/>
    <w:link w:val="10"/>
    <w:autoRedefine/>
    <w:qFormat/>
    <w:uiPriority w:val="0"/>
  </w:style>
  <w:style w:type="paragraph" w:customStyle="1" w:styleId="72">
    <w:name w:val="我的表格文字"/>
    <w:basedOn w:val="1"/>
    <w:autoRedefine/>
    <w:qFormat/>
    <w:uiPriority w:val="0"/>
    <w:pPr>
      <w:widowControl/>
      <w:jc w:val="center"/>
      <w:textAlignment w:val="center"/>
    </w:pPr>
    <w:rPr>
      <w:color w:val="FF0000"/>
      <w:kern w:val="0"/>
      <w:szCs w:val="21"/>
    </w:rPr>
  </w:style>
  <w:style w:type="character" w:customStyle="1" w:styleId="73">
    <w:name w:val="font91"/>
    <w:autoRedefine/>
    <w:qFormat/>
    <w:uiPriority w:val="0"/>
    <w:rPr>
      <w:rFonts w:hint="default" w:ascii="Times New Roman" w:hAnsi="Times New Roman" w:cs="Times New Roman"/>
      <w:color w:val="FF0000"/>
      <w:sz w:val="21"/>
      <w:szCs w:val="21"/>
      <w:u w:val="none"/>
      <w:vertAlign w:val="subscript"/>
    </w:rPr>
  </w:style>
  <w:style w:type="paragraph" w:customStyle="1" w:styleId="74">
    <w:name w:val="0正文部分"/>
    <w:basedOn w:val="5"/>
    <w:autoRedefine/>
    <w:qFormat/>
    <w:uiPriority w:val="0"/>
    <w:pPr>
      <w:ind w:firstLine="200"/>
    </w:pPr>
    <w:rPr>
      <w:rFonts w:eastAsia="仿宋"/>
      <w:szCs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0"/>
    <customShpInfo spid="_x0000_s2055"/>
    <customShpInfo spid="_x0000_s2051"/>
    <customShpInfo spid="_x0000_s1370"/>
    <customShpInfo spid="_x0000_s1371"/>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34"/>
    <customShpInfo spid="_x0000_s1397"/>
    <customShpInfo spid="_x0000_s139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518EBD-D8E9-4D54-B61D-0A7464332F31}">
  <ds:schemaRefs/>
</ds:datastoreItem>
</file>

<file path=docProps/app.xml><?xml version="1.0" encoding="utf-8"?>
<Properties xmlns="http://schemas.openxmlformats.org/officeDocument/2006/extended-properties" xmlns:vt="http://schemas.openxmlformats.org/officeDocument/2006/docPropsVTypes">
  <Template>wdzx97.dot</Template>
  <Company>China</Company>
  <Pages>59</Pages>
  <Words>30190</Words>
  <Characters>36588</Characters>
  <Lines>280</Lines>
  <Paragraphs>78</Paragraphs>
  <TotalTime>17</TotalTime>
  <ScaleCrop>false</ScaleCrop>
  <LinksUpToDate>false</LinksUpToDate>
  <CharactersWithSpaces>36737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环环（微信号：eianet2016）</dc:creator>
  <cp:lastModifiedBy>Jacaranda1411039490</cp:lastModifiedBy>
  <cp:lastPrinted>2023-06-12T03:25:00Z</cp:lastPrinted>
  <dcterms:modified xsi:type="dcterms:W3CDTF">2024-04-30T01:11:29Z</dcterms:modified>
  <dc:title>建设项目环境影响报告表（污染影响类-填写指南）</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9523B0EDC8A54C0BA7843FB581A61CBF_13</vt:lpwstr>
  </property>
</Properties>
</file>